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highlight w:val="yellow"/>
        </w:rPr>
        <w:id w:val="120037484"/>
        <w:docPartObj>
          <w:docPartGallery w:val="Cover Pages"/>
          <w:docPartUnique/>
        </w:docPartObj>
      </w:sdtPr>
      <w:sdtEndPr>
        <w:rPr>
          <w:b/>
          <w:sz w:val="20"/>
          <w:szCs w:val="20"/>
        </w:rPr>
      </w:sdtEndPr>
      <w:sdtContent>
        <w:p w14:paraId="718E6546" w14:textId="3DEA865B" w:rsidR="00D80B6D" w:rsidRPr="002C00F6" w:rsidRDefault="00D80B6D">
          <w:pPr>
            <w:rPr>
              <w:rFonts w:asciiTheme="minorHAnsi" w:hAnsiTheme="minorHAnsi" w:cstheme="minorHAnsi"/>
              <w:highlight w:val="yellow"/>
            </w:rPr>
          </w:pPr>
        </w:p>
        <w:p w14:paraId="7ED014A1" w14:textId="77777777" w:rsidR="00D80B6D" w:rsidRPr="002C00F6" w:rsidRDefault="00D80B6D" w:rsidP="00D80B6D">
          <w:pPr>
            <w:pStyle w:val="Nadpis3"/>
            <w:spacing w:before="10"/>
            <w:rPr>
              <w:rFonts w:asciiTheme="minorHAnsi" w:hAnsiTheme="minorHAnsi" w:cstheme="minorHAnsi"/>
              <w:color w:val="1D1D1B"/>
              <w:highlight w:val="yellow"/>
            </w:rPr>
          </w:pPr>
        </w:p>
        <w:p w14:paraId="0FB45B67" w14:textId="77777777" w:rsidR="00D80B6D" w:rsidRPr="002C00F6" w:rsidRDefault="00D80B6D" w:rsidP="00D80B6D">
          <w:pPr>
            <w:spacing w:before="230"/>
            <w:ind w:left="165"/>
            <w:jc w:val="center"/>
            <w:rPr>
              <w:rFonts w:asciiTheme="minorHAnsi" w:hAnsiTheme="minorHAnsi" w:cstheme="minorHAnsi"/>
              <w:color w:val="CD1719"/>
              <w:sz w:val="24"/>
            </w:rPr>
          </w:pPr>
          <w:r w:rsidRPr="002C00F6">
            <w:rPr>
              <w:rFonts w:asciiTheme="minorHAnsi" w:hAnsiTheme="minorHAnsi" w:cstheme="minorHAnsi"/>
              <w:color w:val="1D1D1B"/>
              <w:sz w:val="24"/>
            </w:rPr>
            <w:t xml:space="preserve">INDEX HYPOTEČNÍCH ÚVĚRŮ </w:t>
          </w:r>
          <w:r w:rsidRPr="002C00F6">
            <w:rPr>
              <w:rFonts w:asciiTheme="minorHAnsi" w:hAnsiTheme="minorHAnsi" w:cstheme="minorHAnsi"/>
              <w:color w:val="CD1719"/>
              <w:sz w:val="24"/>
            </w:rPr>
            <w:t xml:space="preserve">| </w:t>
          </w:r>
          <w:r w:rsidRPr="002C00F6">
            <w:rPr>
              <w:rFonts w:asciiTheme="minorHAnsi" w:hAnsiTheme="minorHAnsi" w:cstheme="minorHAnsi"/>
              <w:color w:val="1D1D1B"/>
              <w:sz w:val="24"/>
            </w:rPr>
            <w:t xml:space="preserve">FIXINDEX </w:t>
          </w:r>
        </w:p>
        <w:p w14:paraId="6D3B5ACD" w14:textId="14F47C98" w:rsidR="00BC331D" w:rsidRPr="002C00F6" w:rsidRDefault="00BC331D"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REALINDEX</w:t>
          </w:r>
        </w:p>
        <w:p w14:paraId="32900BCE" w14:textId="16FEEC9E" w:rsidR="00D80B6D" w:rsidRPr="002C00F6" w:rsidRDefault="00A252BA"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POV</w:t>
          </w:r>
          <w:r w:rsidR="00D80B6D" w:rsidRPr="002C00F6">
            <w:rPr>
              <w:rFonts w:asciiTheme="minorHAnsi" w:hAnsiTheme="minorHAnsi" w:cstheme="minorHAnsi"/>
              <w:color w:val="1D1D1B"/>
              <w:sz w:val="24"/>
            </w:rPr>
            <w:t xml:space="preserve">INDEX </w:t>
          </w:r>
        </w:p>
        <w:p w14:paraId="35B1FBE8" w14:textId="77777777" w:rsidR="00BC331D" w:rsidRPr="002C00F6" w:rsidRDefault="00BC331D" w:rsidP="00BC331D">
          <w:pPr>
            <w:spacing w:before="240" w:line="288" w:lineRule="exact"/>
            <w:ind w:left="162"/>
            <w:jc w:val="center"/>
            <w:rPr>
              <w:rFonts w:asciiTheme="minorHAnsi" w:hAnsiTheme="minorHAnsi" w:cstheme="minorHAnsi"/>
              <w:color w:val="1D1D1B"/>
              <w:sz w:val="24"/>
            </w:rPr>
          </w:pPr>
          <w:r w:rsidRPr="002C00F6">
            <w:rPr>
              <w:rFonts w:asciiTheme="minorHAnsi" w:hAnsiTheme="minorHAnsi" w:cstheme="minorHAnsi"/>
              <w:color w:val="1D1D1B"/>
              <w:sz w:val="24"/>
            </w:rPr>
            <w:t>INDEX PODÍLOVÝCH FONDŮ</w:t>
          </w:r>
        </w:p>
        <w:p w14:paraId="5B21B8A6" w14:textId="616329FC" w:rsidR="00D80B6D" w:rsidRPr="002C00F6" w:rsidRDefault="00D80B6D" w:rsidP="00BC331D">
          <w:pPr>
            <w:spacing w:before="230"/>
            <w:jc w:val="center"/>
            <w:rPr>
              <w:rFonts w:asciiTheme="minorHAnsi" w:hAnsiTheme="minorHAnsi" w:cstheme="minorHAnsi"/>
              <w:b/>
              <w:color w:val="CD1719"/>
              <w:sz w:val="24"/>
            </w:rPr>
          </w:pPr>
          <w:r w:rsidRPr="002C00F6">
            <w:rPr>
              <w:rFonts w:asciiTheme="minorHAnsi" w:hAnsiTheme="minorHAnsi" w:cstheme="minorHAnsi"/>
              <w:b/>
              <w:color w:val="1D1D1B"/>
              <w:sz w:val="24"/>
            </w:rPr>
            <w:t>INDEX SPOTŘEBITELSKÝCH ÚVĚRŮ</w:t>
          </w:r>
        </w:p>
        <w:p w14:paraId="1FCC0C9E" w14:textId="77777777" w:rsidR="00D80B6D" w:rsidRPr="002C00F6" w:rsidRDefault="00D80B6D" w:rsidP="00D80B6D">
          <w:pPr>
            <w:pStyle w:val="Zkladntext"/>
            <w:spacing w:before="240"/>
            <w:rPr>
              <w:rFonts w:asciiTheme="minorHAnsi" w:hAnsiTheme="minorHAnsi" w:cstheme="minorHAnsi"/>
              <w:sz w:val="20"/>
              <w:highlight w:val="yellow"/>
            </w:rPr>
          </w:pPr>
        </w:p>
        <w:p w14:paraId="720CCDBB" w14:textId="77777777" w:rsidR="00D80B6D" w:rsidRPr="002C00F6" w:rsidRDefault="00D80B6D" w:rsidP="00D80B6D">
          <w:pPr>
            <w:pStyle w:val="Zkladntext"/>
            <w:spacing w:before="240"/>
            <w:rPr>
              <w:rFonts w:asciiTheme="minorHAnsi" w:hAnsiTheme="minorHAnsi" w:cstheme="minorHAnsi"/>
              <w:sz w:val="20"/>
              <w:highlight w:val="yellow"/>
            </w:rPr>
          </w:pPr>
        </w:p>
        <w:p w14:paraId="703D71F2" w14:textId="77777777" w:rsidR="00D80B6D" w:rsidRPr="002C00F6" w:rsidRDefault="00D80B6D" w:rsidP="00D80B6D">
          <w:pPr>
            <w:pStyle w:val="Zkladntext"/>
            <w:rPr>
              <w:rFonts w:asciiTheme="minorHAnsi" w:hAnsiTheme="minorHAnsi" w:cstheme="minorHAnsi"/>
              <w:sz w:val="20"/>
              <w:highlight w:val="yellow"/>
            </w:rPr>
          </w:pPr>
        </w:p>
        <w:p w14:paraId="00494A3A" w14:textId="77777777" w:rsidR="00D80B6D" w:rsidRPr="002C00F6" w:rsidRDefault="00D80B6D" w:rsidP="00D80B6D">
          <w:pPr>
            <w:pStyle w:val="Zkladntext"/>
            <w:rPr>
              <w:rFonts w:asciiTheme="minorHAnsi" w:hAnsiTheme="minorHAnsi" w:cstheme="minorHAnsi"/>
              <w:sz w:val="20"/>
              <w:highlight w:val="yellow"/>
            </w:rPr>
          </w:pPr>
          <w:r w:rsidRPr="002C00F6">
            <w:rPr>
              <w:rFonts w:asciiTheme="minorHAnsi" w:hAnsiTheme="minorHAnsi" w:cstheme="minorHAnsi"/>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2C00F6" w:rsidRDefault="00D80B6D" w:rsidP="00D80B6D">
          <w:pPr>
            <w:pStyle w:val="Zkladntext"/>
            <w:rPr>
              <w:rFonts w:asciiTheme="minorHAnsi" w:hAnsiTheme="minorHAnsi" w:cstheme="minorHAnsi"/>
              <w:sz w:val="20"/>
              <w:highlight w:val="yellow"/>
            </w:rPr>
          </w:pPr>
        </w:p>
        <w:p w14:paraId="2A5F355C" w14:textId="77777777" w:rsidR="00D80B6D" w:rsidRPr="002C00F6" w:rsidRDefault="00D80B6D" w:rsidP="00D80B6D">
          <w:pPr>
            <w:pStyle w:val="Zkladntext"/>
            <w:rPr>
              <w:rFonts w:asciiTheme="minorHAnsi" w:hAnsiTheme="minorHAnsi" w:cstheme="minorHAnsi"/>
              <w:sz w:val="20"/>
              <w:highlight w:val="yellow"/>
            </w:rPr>
          </w:pPr>
        </w:p>
        <w:p w14:paraId="218EE6CB" w14:textId="77777777" w:rsidR="00D80B6D" w:rsidRPr="002C00F6" w:rsidRDefault="00D80B6D" w:rsidP="00D80B6D">
          <w:pPr>
            <w:pStyle w:val="Zkladntext"/>
            <w:rPr>
              <w:rFonts w:asciiTheme="minorHAnsi" w:hAnsiTheme="minorHAnsi" w:cstheme="minorHAnsi"/>
              <w:sz w:val="20"/>
              <w:highlight w:val="yellow"/>
            </w:rPr>
          </w:pPr>
        </w:p>
        <w:p w14:paraId="0238B3AB" w14:textId="77777777" w:rsidR="00D80B6D" w:rsidRPr="002C00F6" w:rsidRDefault="00D80B6D" w:rsidP="00D80B6D">
          <w:pPr>
            <w:pStyle w:val="Zkladntext"/>
            <w:rPr>
              <w:rFonts w:asciiTheme="minorHAnsi" w:hAnsiTheme="minorHAnsi" w:cstheme="minorHAnsi"/>
              <w:sz w:val="20"/>
              <w:highlight w:val="yellow"/>
            </w:rPr>
          </w:pPr>
        </w:p>
        <w:p w14:paraId="54516A42" w14:textId="77777777" w:rsidR="00D80B6D" w:rsidRPr="002C00F6" w:rsidRDefault="00D80B6D" w:rsidP="00D80B6D">
          <w:pPr>
            <w:pStyle w:val="Zkladntext"/>
            <w:rPr>
              <w:rFonts w:asciiTheme="minorHAnsi" w:hAnsiTheme="minorHAnsi" w:cstheme="minorHAnsi"/>
              <w:sz w:val="20"/>
              <w:highlight w:val="yellow"/>
            </w:rPr>
          </w:pPr>
        </w:p>
        <w:p w14:paraId="5266363A" w14:textId="77777777" w:rsidR="00D80B6D" w:rsidRPr="002C00F6" w:rsidRDefault="00D80B6D" w:rsidP="00D80B6D">
          <w:pPr>
            <w:pStyle w:val="Zkladntext"/>
            <w:rPr>
              <w:rFonts w:asciiTheme="minorHAnsi" w:hAnsiTheme="minorHAnsi" w:cstheme="minorHAnsi"/>
              <w:sz w:val="20"/>
              <w:highlight w:val="yellow"/>
            </w:rPr>
          </w:pPr>
        </w:p>
        <w:p w14:paraId="363B2E28" w14:textId="77777777" w:rsidR="00D80B6D" w:rsidRPr="002C00F6" w:rsidRDefault="00D80B6D" w:rsidP="00D80B6D">
          <w:pPr>
            <w:pStyle w:val="Zkladntext"/>
            <w:rPr>
              <w:rFonts w:asciiTheme="minorHAnsi" w:hAnsiTheme="minorHAnsi" w:cstheme="minorHAnsi"/>
              <w:sz w:val="20"/>
              <w:highlight w:val="yellow"/>
            </w:rPr>
          </w:pPr>
        </w:p>
        <w:p w14:paraId="17667B44" w14:textId="77777777" w:rsidR="00D80B6D" w:rsidRPr="002C00F6" w:rsidRDefault="00D80B6D" w:rsidP="00D80B6D">
          <w:pPr>
            <w:pStyle w:val="Zkladntext"/>
            <w:jc w:val="both"/>
            <w:rPr>
              <w:rFonts w:asciiTheme="minorHAnsi" w:hAnsiTheme="minorHAnsi" w:cstheme="minorHAnsi"/>
              <w:color w:val="FFFFFF" w:themeColor="background1"/>
              <w:sz w:val="20"/>
              <w:highlight w:val="yellow"/>
            </w:rPr>
          </w:pPr>
        </w:p>
        <w:p w14:paraId="5193A529" w14:textId="77777777" w:rsidR="00D80B6D" w:rsidRPr="002C00F6" w:rsidRDefault="00D80B6D" w:rsidP="00D80B6D">
          <w:pPr>
            <w:pStyle w:val="Zkladntext"/>
            <w:jc w:val="both"/>
            <w:rPr>
              <w:rFonts w:asciiTheme="minorHAnsi" w:hAnsiTheme="minorHAnsi" w:cstheme="minorHAnsi"/>
              <w:b/>
              <w:sz w:val="20"/>
              <w:highlight w:val="yellow"/>
            </w:rPr>
          </w:pPr>
        </w:p>
        <w:p w14:paraId="2833FE59" w14:textId="77777777" w:rsidR="00D80B6D" w:rsidRPr="002C00F6" w:rsidRDefault="00D80B6D" w:rsidP="00D80B6D">
          <w:pPr>
            <w:pStyle w:val="Zkladntext"/>
            <w:jc w:val="both"/>
            <w:rPr>
              <w:rFonts w:asciiTheme="minorHAnsi" w:hAnsiTheme="minorHAnsi" w:cstheme="minorHAnsi"/>
              <w:b/>
              <w:sz w:val="20"/>
              <w:highlight w:val="yellow"/>
            </w:rPr>
          </w:pPr>
        </w:p>
        <w:p w14:paraId="6DB157BF" w14:textId="77777777" w:rsidR="00D80B6D" w:rsidRPr="002C00F6" w:rsidRDefault="00D80B6D" w:rsidP="00D80B6D">
          <w:pPr>
            <w:pStyle w:val="Zkladntext"/>
            <w:jc w:val="both"/>
            <w:rPr>
              <w:rFonts w:asciiTheme="minorHAnsi" w:hAnsiTheme="minorHAnsi" w:cstheme="minorHAnsi"/>
              <w:b/>
              <w:sz w:val="20"/>
              <w:highlight w:val="yellow"/>
            </w:rPr>
          </w:pPr>
        </w:p>
        <w:p w14:paraId="47803C2A" w14:textId="77777777" w:rsidR="00D80B6D" w:rsidRPr="002C00F6" w:rsidRDefault="00D80B6D" w:rsidP="00D80B6D">
          <w:pPr>
            <w:pStyle w:val="Zkladntext"/>
            <w:jc w:val="both"/>
            <w:rPr>
              <w:rFonts w:asciiTheme="minorHAnsi" w:hAnsiTheme="minorHAnsi" w:cstheme="minorHAnsi"/>
              <w:b/>
              <w:sz w:val="20"/>
              <w:highlight w:val="yellow"/>
            </w:rPr>
          </w:pPr>
        </w:p>
        <w:p w14:paraId="1D90E1D0" w14:textId="77777777" w:rsidR="00D80B6D" w:rsidRPr="002C00F6" w:rsidRDefault="00D80B6D" w:rsidP="00D80B6D">
          <w:pPr>
            <w:pStyle w:val="Zkladntext"/>
            <w:jc w:val="both"/>
            <w:rPr>
              <w:rFonts w:asciiTheme="minorHAnsi" w:hAnsiTheme="minorHAnsi" w:cstheme="minorHAnsi"/>
              <w:b/>
              <w:sz w:val="20"/>
              <w:highlight w:val="yellow"/>
            </w:rPr>
          </w:pPr>
        </w:p>
        <w:p w14:paraId="5A33B823" w14:textId="77777777" w:rsidR="00D80B6D" w:rsidRPr="002C00F6" w:rsidRDefault="00D80B6D" w:rsidP="00D80B6D">
          <w:pPr>
            <w:pStyle w:val="Zkladntext"/>
            <w:jc w:val="both"/>
            <w:rPr>
              <w:rFonts w:asciiTheme="minorHAnsi" w:hAnsiTheme="minorHAnsi" w:cstheme="minorHAnsi"/>
              <w:b/>
              <w:sz w:val="20"/>
              <w:highlight w:val="yellow"/>
            </w:rPr>
          </w:pPr>
        </w:p>
        <w:p w14:paraId="0D2BECD0" w14:textId="77777777" w:rsidR="00D80B6D" w:rsidRPr="002C00F6" w:rsidRDefault="00D80B6D" w:rsidP="00D80B6D">
          <w:pPr>
            <w:pStyle w:val="Zkladntext"/>
            <w:jc w:val="both"/>
            <w:rPr>
              <w:rFonts w:asciiTheme="minorHAnsi" w:hAnsiTheme="minorHAnsi" w:cstheme="minorHAnsi"/>
              <w:b/>
              <w:sz w:val="20"/>
              <w:highlight w:val="yellow"/>
            </w:rPr>
          </w:pPr>
        </w:p>
        <w:p w14:paraId="69288FB9" w14:textId="77777777" w:rsidR="00D80B6D" w:rsidRPr="002C00F6" w:rsidRDefault="00D80B6D" w:rsidP="00D80B6D">
          <w:pPr>
            <w:pStyle w:val="Zkladntext"/>
            <w:jc w:val="both"/>
            <w:rPr>
              <w:rFonts w:asciiTheme="minorHAnsi" w:hAnsiTheme="minorHAnsi" w:cstheme="minorHAnsi"/>
              <w:b/>
              <w:sz w:val="20"/>
              <w:highlight w:val="yellow"/>
            </w:rPr>
          </w:pPr>
        </w:p>
        <w:p w14:paraId="541E93D5" w14:textId="77777777" w:rsidR="00D80B6D" w:rsidRPr="002C00F6" w:rsidRDefault="00D80B6D" w:rsidP="00D80B6D">
          <w:pPr>
            <w:pStyle w:val="Zkladntext"/>
            <w:jc w:val="both"/>
            <w:rPr>
              <w:rFonts w:asciiTheme="minorHAnsi" w:hAnsiTheme="minorHAnsi" w:cstheme="minorHAnsi"/>
              <w:b/>
              <w:sz w:val="20"/>
              <w:highlight w:val="yellow"/>
            </w:rPr>
          </w:pPr>
        </w:p>
        <w:p w14:paraId="341A343C" w14:textId="77777777" w:rsidR="00D80B6D" w:rsidRPr="002C00F6" w:rsidRDefault="00D80B6D" w:rsidP="00D80B6D">
          <w:pPr>
            <w:pStyle w:val="Zkladntext"/>
            <w:jc w:val="both"/>
            <w:rPr>
              <w:rFonts w:asciiTheme="minorHAnsi" w:hAnsiTheme="minorHAnsi" w:cstheme="minorHAnsi"/>
              <w:b/>
              <w:sz w:val="20"/>
              <w:highlight w:val="yellow"/>
            </w:rPr>
          </w:pPr>
        </w:p>
        <w:p w14:paraId="6C52C42D" w14:textId="77777777" w:rsidR="00D80B6D" w:rsidRPr="002C00F6" w:rsidRDefault="00D80B6D" w:rsidP="00D80B6D">
          <w:pPr>
            <w:pStyle w:val="Zkladntext"/>
            <w:jc w:val="both"/>
            <w:rPr>
              <w:rFonts w:asciiTheme="minorHAnsi" w:hAnsiTheme="minorHAnsi" w:cstheme="minorHAnsi"/>
              <w:b/>
              <w:sz w:val="20"/>
              <w:highlight w:val="yellow"/>
            </w:rPr>
          </w:pPr>
        </w:p>
        <w:p w14:paraId="3E3CDF25" w14:textId="77777777" w:rsidR="00D80B6D" w:rsidRPr="002C00F6" w:rsidRDefault="00D80B6D" w:rsidP="00D80B6D">
          <w:pPr>
            <w:pStyle w:val="Zkladntext"/>
            <w:jc w:val="both"/>
            <w:rPr>
              <w:rFonts w:asciiTheme="minorHAnsi" w:hAnsiTheme="minorHAnsi" w:cstheme="minorHAnsi"/>
              <w:b/>
              <w:sz w:val="20"/>
              <w:highlight w:val="yellow"/>
            </w:rPr>
          </w:pPr>
        </w:p>
        <w:p w14:paraId="40495E64" w14:textId="77777777" w:rsidR="00D80B6D" w:rsidRPr="002C00F6" w:rsidRDefault="00D80B6D" w:rsidP="00D80B6D">
          <w:pPr>
            <w:pStyle w:val="Zkladntext"/>
            <w:jc w:val="both"/>
            <w:rPr>
              <w:rFonts w:asciiTheme="minorHAnsi" w:hAnsiTheme="minorHAnsi" w:cstheme="minorHAnsi"/>
              <w:b/>
              <w:sz w:val="20"/>
              <w:highlight w:val="yellow"/>
            </w:rPr>
          </w:pPr>
        </w:p>
        <w:p w14:paraId="59B6F4E6" w14:textId="77777777" w:rsidR="00D80B6D" w:rsidRPr="002C00F6" w:rsidRDefault="00D80B6D" w:rsidP="00D80B6D">
          <w:pPr>
            <w:pStyle w:val="Zkladntext"/>
            <w:jc w:val="both"/>
            <w:rPr>
              <w:rFonts w:asciiTheme="minorHAnsi" w:hAnsiTheme="minorHAnsi" w:cstheme="minorHAnsi"/>
              <w:b/>
              <w:sz w:val="20"/>
              <w:highlight w:val="yellow"/>
            </w:rPr>
          </w:pPr>
        </w:p>
        <w:p w14:paraId="5ADDFBD6" w14:textId="77777777" w:rsidR="00D80B6D" w:rsidRPr="002C00F6" w:rsidRDefault="00D80B6D" w:rsidP="00D80B6D">
          <w:pPr>
            <w:pStyle w:val="Zkladntext"/>
            <w:jc w:val="both"/>
            <w:rPr>
              <w:rFonts w:asciiTheme="minorHAnsi" w:hAnsiTheme="minorHAnsi" w:cstheme="minorHAnsi"/>
              <w:b/>
              <w:sz w:val="20"/>
              <w:highlight w:val="yellow"/>
            </w:rPr>
          </w:pPr>
        </w:p>
        <w:p w14:paraId="1CB27DF8" w14:textId="77777777" w:rsidR="007B358E" w:rsidRPr="002C00F6" w:rsidRDefault="007B358E" w:rsidP="00D80B6D">
          <w:pPr>
            <w:pStyle w:val="Zkladntext"/>
            <w:jc w:val="both"/>
            <w:rPr>
              <w:rFonts w:asciiTheme="minorHAnsi" w:hAnsiTheme="minorHAnsi" w:cstheme="minorHAnsi"/>
              <w:b/>
              <w:sz w:val="20"/>
              <w:highlight w:val="yellow"/>
            </w:rPr>
          </w:pPr>
        </w:p>
        <w:p w14:paraId="3A61C564" w14:textId="77777777" w:rsidR="0068617E" w:rsidRPr="002C00F6" w:rsidRDefault="0068617E" w:rsidP="00D80B6D">
          <w:pPr>
            <w:pStyle w:val="Zkladntext"/>
            <w:jc w:val="both"/>
            <w:rPr>
              <w:rFonts w:asciiTheme="minorHAnsi" w:hAnsiTheme="minorHAnsi" w:cstheme="minorHAnsi"/>
              <w:b/>
              <w:sz w:val="20"/>
              <w:highlight w:val="yellow"/>
            </w:rPr>
          </w:pPr>
        </w:p>
        <w:p w14:paraId="1414E639" w14:textId="77777777" w:rsidR="0068617E" w:rsidRPr="002C00F6" w:rsidRDefault="0068617E" w:rsidP="00D80B6D">
          <w:pPr>
            <w:pStyle w:val="Zkladntext"/>
            <w:jc w:val="both"/>
            <w:rPr>
              <w:rFonts w:asciiTheme="minorHAnsi" w:hAnsiTheme="minorHAnsi" w:cstheme="minorHAnsi"/>
              <w:b/>
              <w:sz w:val="20"/>
              <w:highlight w:val="yellow"/>
            </w:rPr>
          </w:pPr>
        </w:p>
        <w:p w14:paraId="11132A3F" w14:textId="53DE594E" w:rsidR="00D80B6D" w:rsidRPr="002C00F6" w:rsidRDefault="00D80B6D" w:rsidP="00D80B6D">
          <w:pPr>
            <w:pStyle w:val="Zkladntext"/>
            <w:jc w:val="both"/>
            <w:rPr>
              <w:rFonts w:asciiTheme="minorHAnsi" w:hAnsiTheme="minorHAnsi" w:cstheme="minorHAnsi"/>
              <w:b/>
              <w:sz w:val="20"/>
            </w:rPr>
          </w:pPr>
          <w:r w:rsidRPr="002C00F6">
            <w:rPr>
              <w:rFonts w:asciiTheme="minorHAnsi" w:hAnsiTheme="minorHAnsi" w:cstheme="minorHAnsi"/>
              <w:b/>
              <w:sz w:val="20"/>
            </w:rPr>
            <w:t>O společnosti Broker Consulting</w:t>
          </w:r>
        </w:p>
        <w:p w14:paraId="27485CC6" w14:textId="77777777" w:rsidR="00D80B6D" w:rsidRPr="002C00F6" w:rsidRDefault="00D80B6D" w:rsidP="00D80B6D">
          <w:pPr>
            <w:jc w:val="both"/>
            <w:rPr>
              <w:rFonts w:asciiTheme="minorHAnsi" w:hAnsiTheme="minorHAnsi" w:cstheme="minorHAnsi"/>
              <w:sz w:val="20"/>
            </w:rPr>
          </w:pPr>
        </w:p>
        <w:p w14:paraId="36418F0F" w14:textId="6B62FFBE" w:rsidR="007F5903" w:rsidRPr="002C00F6" w:rsidRDefault="007F5903" w:rsidP="007F5903">
          <w:pPr>
            <w:jc w:val="both"/>
            <w:rPr>
              <w:rStyle w:val="dn"/>
              <w:rFonts w:asciiTheme="minorHAnsi" w:hAnsiTheme="minorHAnsi" w:cstheme="minorHAnsi"/>
              <w:sz w:val="20"/>
              <w:szCs w:val="20"/>
            </w:rPr>
          </w:pPr>
          <w:r w:rsidRPr="002C00F6">
            <w:rPr>
              <w:rFonts w:asciiTheme="minorHAnsi" w:hAnsiTheme="minorHAnsi" w:cstheme="minorHAnsi"/>
              <w:sz w:val="20"/>
              <w:szCs w:val="20"/>
            </w:rPr>
            <w:t>Broker Consulting je jednou z největších společností na českém a slovenském trhu, která poskytuje služby v oblasti financí a realit. Od rok</w:t>
          </w:r>
          <w:r w:rsidR="003B4BD8" w:rsidRPr="002C00F6">
            <w:rPr>
              <w:rFonts w:asciiTheme="minorHAnsi" w:hAnsiTheme="minorHAnsi" w:cstheme="minorHAnsi"/>
              <w:sz w:val="20"/>
              <w:szCs w:val="20"/>
            </w:rPr>
            <w:t>u 1998 získala důvěru více než 7</w:t>
          </w:r>
          <w:r w:rsidRPr="002C00F6">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sidRPr="002C00F6">
            <w:rPr>
              <w:rFonts w:asciiTheme="minorHAnsi" w:hAnsiTheme="minorHAnsi" w:cstheme="minorHAnsi"/>
              <w:b/>
              <w:color w:val="FF0000"/>
              <w:sz w:val="20"/>
              <w:szCs w:val="20"/>
            </w:rPr>
            <w:t>Franchisor roku 2022</w:t>
          </w:r>
          <w:r w:rsidRPr="002C00F6">
            <w:rPr>
              <w:rFonts w:asciiTheme="minorHAnsi" w:hAnsiTheme="minorHAnsi" w:cstheme="minorHAnsi"/>
              <w:color w:val="FF0000"/>
              <w:sz w:val="20"/>
              <w:szCs w:val="20"/>
            </w:rPr>
            <w:t xml:space="preserve"> </w:t>
          </w:r>
          <w:r w:rsidRPr="002C00F6">
            <w:rPr>
              <w:rFonts w:asciiTheme="minorHAnsi" w:hAnsiTheme="minorHAnsi" w:cstheme="minorHAnsi"/>
              <w:sz w:val="20"/>
              <w:szCs w:val="20"/>
            </w:rPr>
            <w:t xml:space="preserve">od České asociace franchisingu. </w:t>
          </w:r>
          <w:r w:rsidRPr="002C00F6">
            <w:rPr>
              <w:rStyle w:val="dn"/>
              <w:rFonts w:asciiTheme="minorHAnsi" w:hAnsiTheme="minorHAnsi" w:cstheme="minorHAnsi"/>
              <w:sz w:val="20"/>
              <w:szCs w:val="20"/>
            </w:rPr>
            <w:t xml:space="preserve">Více na </w:t>
          </w:r>
          <w:hyperlink r:id="rId9" w:history="1">
            <w:r w:rsidRPr="002C00F6">
              <w:rPr>
                <w:rStyle w:val="Hypertextovodkaz"/>
                <w:rFonts w:asciiTheme="minorHAnsi" w:hAnsiTheme="minorHAnsi" w:cstheme="minorHAnsi"/>
                <w:sz w:val="20"/>
                <w:szCs w:val="20"/>
              </w:rPr>
              <w:t>bcas.cz</w:t>
            </w:r>
          </w:hyperlink>
          <w:r w:rsidRPr="002C00F6">
            <w:rPr>
              <w:rStyle w:val="Hypertextovodkaz"/>
              <w:rFonts w:asciiTheme="minorHAnsi" w:hAnsiTheme="minorHAnsi" w:cstheme="minorHAnsi"/>
              <w:sz w:val="20"/>
              <w:szCs w:val="20"/>
            </w:rPr>
            <w:t xml:space="preserve">, </w:t>
          </w:r>
          <w:hyperlink r:id="rId10" w:history="1">
            <w:r w:rsidRPr="002C00F6">
              <w:rPr>
                <w:rStyle w:val="Hypertextovodkaz"/>
                <w:rFonts w:asciiTheme="minorHAnsi" w:hAnsiTheme="minorHAnsi" w:cstheme="minorHAnsi"/>
                <w:sz w:val="20"/>
                <w:szCs w:val="20"/>
              </w:rPr>
              <w:t>brokerpointy.cz</w:t>
            </w:r>
          </w:hyperlink>
          <w:r w:rsidRPr="002C00F6">
            <w:rPr>
              <w:rStyle w:val="Hypertextovodkaz"/>
              <w:rFonts w:asciiTheme="minorHAnsi" w:hAnsiTheme="minorHAnsi" w:cstheme="minorHAnsi"/>
              <w:sz w:val="20"/>
              <w:szCs w:val="20"/>
            </w:rPr>
            <w:t>, brokerpoint</w:t>
          </w:r>
          <w:hyperlink r:id="rId11" w:history="1">
            <w:r w:rsidRPr="002C00F6">
              <w:rPr>
                <w:rStyle w:val="Hypertextovodkaz"/>
                <w:rFonts w:asciiTheme="minorHAnsi" w:hAnsiTheme="minorHAnsi" w:cstheme="minorHAnsi"/>
                <w:sz w:val="20"/>
                <w:szCs w:val="20"/>
              </w:rPr>
              <w:t>.tv</w:t>
            </w:r>
          </w:hyperlink>
          <w:r w:rsidRPr="002C00F6">
            <w:rPr>
              <w:rStyle w:val="dn"/>
              <w:rFonts w:asciiTheme="minorHAnsi" w:hAnsiTheme="minorHAnsi" w:cstheme="minorHAnsi"/>
              <w:sz w:val="20"/>
              <w:szCs w:val="20"/>
            </w:rPr>
            <w:t xml:space="preserve"> a na </w:t>
          </w:r>
          <w:hyperlink r:id="rId12" w:history="1">
            <w:r w:rsidRPr="002C00F6">
              <w:rPr>
                <w:rStyle w:val="Hypertextovodkaz"/>
                <w:rFonts w:asciiTheme="minorHAnsi" w:hAnsiTheme="minorHAnsi" w:cstheme="minorHAnsi"/>
                <w:sz w:val="20"/>
                <w:szCs w:val="20"/>
              </w:rPr>
              <w:t>realityspolu.cz</w:t>
            </w:r>
          </w:hyperlink>
          <w:r w:rsidRPr="002C00F6">
            <w:rPr>
              <w:rStyle w:val="Hypertextovodkaz"/>
              <w:rFonts w:asciiTheme="minorHAnsi" w:hAnsiTheme="minorHAnsi" w:cstheme="minorHAnsi"/>
              <w:sz w:val="20"/>
              <w:szCs w:val="20"/>
            </w:rPr>
            <w:t xml:space="preserve">. </w:t>
          </w:r>
          <w:r w:rsidRPr="002C00F6">
            <w:rPr>
              <w:rStyle w:val="dn"/>
              <w:rFonts w:asciiTheme="minorHAnsi" w:hAnsiTheme="minorHAnsi" w:cstheme="minorHAnsi"/>
              <w:sz w:val="20"/>
              <w:szCs w:val="20"/>
            </w:rPr>
            <w:t xml:space="preserve">Navštivte také náš </w:t>
          </w:r>
          <w:hyperlink r:id="rId13"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w:t>
          </w:r>
          <w:hyperlink r:id="rId14" w:history="1">
            <w:r w:rsidRPr="002C00F6">
              <w:rPr>
                <w:rStyle w:val="Hypertextovodkaz"/>
                <w:rFonts w:asciiTheme="minorHAnsi" w:hAnsiTheme="minorHAnsi" w:cstheme="minorHAnsi"/>
                <w:sz w:val="20"/>
                <w:szCs w:val="20"/>
              </w:rPr>
              <w:t>LinkedIN</w:t>
            </w:r>
          </w:hyperlink>
          <w:r w:rsidRPr="002C00F6">
            <w:rPr>
              <w:rStyle w:val="dn"/>
              <w:rFonts w:asciiTheme="minorHAnsi" w:hAnsiTheme="minorHAnsi" w:cstheme="minorHAnsi"/>
              <w:sz w:val="20"/>
              <w:szCs w:val="20"/>
            </w:rPr>
            <w:t xml:space="preserve"> Broker Consulting, Twitter </w:t>
          </w:r>
          <w:r w:rsidRPr="002C00F6">
            <w:rPr>
              <w:rFonts w:asciiTheme="minorHAnsi" w:hAnsiTheme="minorHAnsi" w:cstheme="minorHAnsi"/>
              <w:sz w:val="20"/>
              <w:szCs w:val="20"/>
              <w:shd w:val="clear" w:color="auto" w:fill="FFFFFF"/>
            </w:rPr>
            <w:t xml:space="preserve">@BC_oficialni, </w:t>
          </w:r>
          <w:r w:rsidRPr="002C00F6">
            <w:rPr>
              <w:rStyle w:val="dn"/>
              <w:rFonts w:asciiTheme="minorHAnsi" w:hAnsiTheme="minorHAnsi" w:cstheme="minorHAnsi"/>
              <w:sz w:val="20"/>
              <w:szCs w:val="20"/>
            </w:rPr>
            <w:t xml:space="preserve"> </w:t>
          </w:r>
          <w:hyperlink r:id="rId15"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a </w:t>
          </w:r>
          <w:hyperlink r:id="rId16" w:history="1">
            <w:r w:rsidRPr="002C00F6">
              <w:rPr>
                <w:rStyle w:val="Hypertextovodkaz"/>
                <w:rFonts w:asciiTheme="minorHAnsi" w:hAnsiTheme="minorHAnsi" w:cstheme="minorHAnsi"/>
                <w:sz w:val="20"/>
                <w:szCs w:val="20"/>
              </w:rPr>
              <w:t>LinkedI</w:t>
            </w:r>
          </w:hyperlink>
          <w:r w:rsidRPr="002C00F6">
            <w:rPr>
              <w:rStyle w:val="Hypertextovodkaz"/>
              <w:rFonts w:asciiTheme="minorHAnsi" w:hAnsiTheme="minorHAnsi" w:cstheme="minorHAnsi"/>
              <w:sz w:val="20"/>
              <w:szCs w:val="20"/>
            </w:rPr>
            <w:t>N</w:t>
          </w:r>
          <w:r w:rsidRPr="002C00F6">
            <w:rPr>
              <w:rStyle w:val="dn"/>
              <w:rFonts w:asciiTheme="minorHAnsi" w:hAnsiTheme="minorHAnsi" w:cstheme="minorHAnsi"/>
              <w:sz w:val="20"/>
              <w:szCs w:val="20"/>
            </w:rPr>
            <w:t xml:space="preserve"> Broker Point Premium. </w:t>
          </w:r>
        </w:p>
        <w:p w14:paraId="3F0EC976" w14:textId="3496D289" w:rsidR="00D80B6D" w:rsidRPr="002C00F6" w:rsidRDefault="00D80B6D" w:rsidP="0068617E">
          <w:pPr>
            <w:pStyle w:val="Zkladntext"/>
            <w:jc w:val="both"/>
            <w:rPr>
              <w:rFonts w:asciiTheme="minorHAnsi" w:hAnsiTheme="minorHAnsi" w:cstheme="minorHAnsi"/>
              <w:sz w:val="20"/>
              <w:highlight w:val="yellow"/>
            </w:rPr>
            <w:sectPr w:rsidR="00D80B6D" w:rsidRPr="002C00F6"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2C00F6" w:rsidRDefault="00CE5DBB" w:rsidP="0025264B">
          <w:pPr>
            <w:rPr>
              <w:rFonts w:asciiTheme="minorHAnsi" w:hAnsiTheme="minorHAnsi" w:cstheme="minorHAnsi"/>
              <w:b/>
              <w:sz w:val="20"/>
              <w:szCs w:val="20"/>
              <w:highlight w:val="yellow"/>
            </w:rPr>
            <w:sectPr w:rsidR="00D31127" w:rsidRPr="002C00F6"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2C00F6" w:rsidRDefault="00704D83" w:rsidP="00FB65BA">
      <w:pPr>
        <w:jc w:val="center"/>
        <w:rPr>
          <w:rFonts w:asciiTheme="minorHAnsi" w:hAnsiTheme="minorHAnsi" w:cstheme="minorHAnsi"/>
          <w:b/>
          <w:sz w:val="25"/>
          <w:szCs w:val="25"/>
        </w:rPr>
      </w:pPr>
    </w:p>
    <w:p w14:paraId="5144663E" w14:textId="28BACDC9" w:rsidR="00AA5141" w:rsidRPr="00FB65BA" w:rsidRDefault="00174009" w:rsidP="00FB65BA">
      <w:pPr>
        <w:spacing w:after="120"/>
        <w:jc w:val="center"/>
        <w:rPr>
          <w:rFonts w:ascii="Calibri" w:eastAsia="Times New Roman" w:hAnsi="Calibri" w:cs="Calibri"/>
          <w:b/>
          <w:bCs/>
          <w:color w:val="000000"/>
          <w:sz w:val="25"/>
          <w:szCs w:val="25"/>
        </w:rPr>
      </w:pPr>
      <w:r>
        <w:rPr>
          <w:rFonts w:ascii="Calibri" w:eastAsia="Times New Roman" w:hAnsi="Calibri" w:cs="Calibri"/>
          <w:b/>
          <w:bCs/>
          <w:color w:val="000000"/>
          <w:sz w:val="25"/>
          <w:szCs w:val="25"/>
        </w:rPr>
        <w:t>Duben přinesl zvýšení sazeb spotřebitelských úvěrů</w:t>
      </w:r>
    </w:p>
    <w:p w14:paraId="11B1AA43" w14:textId="516A2D05" w:rsidR="00174009" w:rsidRDefault="00453558" w:rsidP="00FB65BA">
      <w:pPr>
        <w:pStyle w:val="Odstavecseseznamem"/>
        <w:widowControl/>
        <w:numPr>
          <w:ilvl w:val="0"/>
          <w:numId w:val="13"/>
        </w:numPr>
        <w:autoSpaceDE/>
        <w:autoSpaceDN/>
        <w:spacing w:after="120"/>
        <w:ind w:right="0"/>
        <w:contextualSpacing/>
        <w:rPr>
          <w:rFonts w:ascii="Calibri" w:eastAsia="Times New Roman" w:hAnsi="Calibri" w:cs="Calibri"/>
          <w:b/>
          <w:color w:val="000000"/>
        </w:rPr>
      </w:pPr>
      <w:r>
        <w:rPr>
          <w:rFonts w:asciiTheme="minorHAnsi" w:eastAsiaTheme="minorHAnsi" w:hAnsiTheme="minorHAnsi" w:cstheme="minorHAnsi"/>
          <w:b/>
          <w:lang w:bidi="ar-SA"/>
        </w:rPr>
        <w:t>Broker Consulting Index ukázal na zvýšení úrokových sazeb půjček na cokoliv.</w:t>
      </w:r>
    </w:p>
    <w:p w14:paraId="2D53C7FF" w14:textId="65B94BF0" w:rsidR="00174009" w:rsidRDefault="00174009" w:rsidP="00FB65BA">
      <w:pPr>
        <w:pStyle w:val="Odstavecseseznamem"/>
        <w:widowControl/>
        <w:numPr>
          <w:ilvl w:val="0"/>
          <w:numId w:val="13"/>
        </w:numPr>
        <w:autoSpaceDE/>
        <w:autoSpaceDN/>
        <w:spacing w:after="120"/>
        <w:ind w:right="0"/>
        <w:contextualSpacing/>
        <w:rPr>
          <w:rFonts w:ascii="Calibri" w:eastAsia="Times New Roman" w:hAnsi="Calibri" w:cs="Calibri"/>
          <w:b/>
          <w:color w:val="000000"/>
        </w:rPr>
      </w:pPr>
      <w:r>
        <w:rPr>
          <w:rFonts w:ascii="Calibri" w:eastAsia="Times New Roman" w:hAnsi="Calibri" w:cs="Calibri"/>
          <w:b/>
          <w:color w:val="000000"/>
        </w:rPr>
        <w:t xml:space="preserve">Průměrná sazba spotřebitelských úvěrů vystoupala na hodnotu 7,64 procenta. </w:t>
      </w:r>
    </w:p>
    <w:p w14:paraId="73FBE8C6" w14:textId="52A3908E" w:rsidR="002C00F6" w:rsidRDefault="00174009" w:rsidP="00FB65BA">
      <w:pPr>
        <w:pStyle w:val="Odstavecseseznamem"/>
        <w:widowControl/>
        <w:numPr>
          <w:ilvl w:val="0"/>
          <w:numId w:val="13"/>
        </w:numPr>
        <w:autoSpaceDE/>
        <w:autoSpaceDN/>
        <w:spacing w:after="120"/>
        <w:ind w:right="0"/>
        <w:contextualSpacing/>
        <w:rPr>
          <w:rFonts w:ascii="Calibri" w:eastAsia="Times New Roman" w:hAnsi="Calibri" w:cs="Calibri"/>
          <w:b/>
          <w:color w:val="000000"/>
        </w:rPr>
      </w:pPr>
      <w:r>
        <w:rPr>
          <w:rFonts w:ascii="Calibri" w:eastAsia="Times New Roman" w:hAnsi="Calibri" w:cs="Calibri"/>
          <w:b/>
          <w:color w:val="000000"/>
        </w:rPr>
        <w:t xml:space="preserve">Proč se </w:t>
      </w:r>
      <w:r w:rsidR="008972CE">
        <w:rPr>
          <w:rFonts w:ascii="Calibri" w:eastAsia="Times New Roman" w:hAnsi="Calibri" w:cs="Calibri"/>
          <w:b/>
          <w:color w:val="000000"/>
        </w:rPr>
        <w:t xml:space="preserve">výsledné </w:t>
      </w:r>
      <w:bookmarkStart w:id="0" w:name="_GoBack"/>
      <w:bookmarkEnd w:id="0"/>
      <w:r>
        <w:rPr>
          <w:rFonts w:ascii="Calibri" w:eastAsia="Times New Roman" w:hAnsi="Calibri" w:cs="Calibri"/>
          <w:b/>
          <w:color w:val="000000"/>
        </w:rPr>
        <w:t>úrokové sazby mohou u jednotlivců lišit v řádech procent?</w:t>
      </w:r>
    </w:p>
    <w:p w14:paraId="4760F9AF" w14:textId="24BBFDD7" w:rsidR="00FB65BA" w:rsidRPr="00F65F8D" w:rsidRDefault="00FB65BA" w:rsidP="00F65F8D">
      <w:pPr>
        <w:widowControl/>
        <w:autoSpaceDE/>
        <w:autoSpaceDN/>
        <w:spacing w:after="120"/>
        <w:contextualSpacing/>
        <w:rPr>
          <w:rFonts w:ascii="Calibri" w:eastAsia="Times New Roman" w:hAnsi="Calibri" w:cs="Calibri"/>
          <w:b/>
          <w:color w:val="000000"/>
        </w:rPr>
      </w:pPr>
    </w:p>
    <w:p w14:paraId="3F434F3B" w14:textId="77777777" w:rsidR="008D33FC" w:rsidRDefault="00404530" w:rsidP="009E24B0">
      <w:pPr>
        <w:spacing w:after="120"/>
        <w:jc w:val="both"/>
        <w:rPr>
          <w:rFonts w:asciiTheme="minorHAnsi" w:hAnsiTheme="minorHAnsi" w:cstheme="minorHAnsi"/>
          <w:sz w:val="21"/>
          <w:szCs w:val="21"/>
        </w:rPr>
      </w:pPr>
      <w:r>
        <w:rPr>
          <w:rFonts w:asciiTheme="minorHAnsi" w:eastAsia="Times New Roman" w:hAnsiTheme="minorHAnsi" w:cstheme="minorHAnsi"/>
          <w:sz w:val="21"/>
          <w:szCs w:val="21"/>
          <w:lang w:bidi="ar-SA"/>
        </w:rPr>
        <w:t>P</w:t>
      </w:r>
      <w:r w:rsidR="008A0B01">
        <w:rPr>
          <w:rFonts w:asciiTheme="minorHAnsi" w:eastAsia="Times New Roman" w:hAnsiTheme="minorHAnsi" w:cstheme="minorHAnsi"/>
          <w:sz w:val="21"/>
          <w:szCs w:val="21"/>
          <w:lang w:bidi="ar-SA"/>
        </w:rPr>
        <w:t>raha, 15. května</w:t>
      </w:r>
      <w:r w:rsidR="00FB65BA">
        <w:rPr>
          <w:rFonts w:asciiTheme="minorHAnsi" w:eastAsia="Times New Roman" w:hAnsiTheme="minorHAnsi" w:cstheme="minorHAnsi"/>
          <w:sz w:val="21"/>
          <w:szCs w:val="21"/>
          <w:lang w:bidi="ar-SA"/>
        </w:rPr>
        <w:t xml:space="preserve"> 2025</w:t>
      </w:r>
      <w:r w:rsidR="002C00F6" w:rsidRPr="002C00F6">
        <w:rPr>
          <w:rFonts w:asciiTheme="minorHAnsi" w:eastAsia="Times New Roman" w:hAnsiTheme="minorHAnsi" w:cstheme="minorHAnsi"/>
          <w:sz w:val="21"/>
          <w:szCs w:val="21"/>
          <w:lang w:bidi="ar-SA"/>
        </w:rPr>
        <w:t xml:space="preserve"> – </w:t>
      </w:r>
      <w:r w:rsidR="005D72AF" w:rsidRPr="00B50DC6">
        <w:rPr>
          <w:rFonts w:asciiTheme="minorHAnsi" w:hAnsiTheme="minorHAnsi" w:cstheme="minorHAnsi"/>
          <w:i/>
          <w:sz w:val="21"/>
          <w:szCs w:val="21"/>
        </w:rPr>
        <w:t xml:space="preserve"> </w:t>
      </w:r>
      <w:r w:rsidR="005D72AF" w:rsidRPr="00B50DC6">
        <w:rPr>
          <w:rFonts w:asciiTheme="minorHAnsi" w:hAnsiTheme="minorHAnsi" w:cstheme="minorHAnsi"/>
          <w:b/>
          <w:sz w:val="21"/>
          <w:szCs w:val="21"/>
        </w:rPr>
        <w:t xml:space="preserve"> </w:t>
      </w:r>
      <w:r w:rsidR="005D72AF" w:rsidRPr="00B50DC6">
        <w:rPr>
          <w:rFonts w:asciiTheme="minorHAnsi" w:eastAsia="Times New Roman" w:hAnsiTheme="minorHAnsi" w:cstheme="minorHAnsi"/>
          <w:b/>
          <w:sz w:val="21"/>
          <w:szCs w:val="21"/>
        </w:rPr>
        <w:t xml:space="preserve">Průměrná úroková sazba </w:t>
      </w:r>
      <w:r w:rsidR="005D72AF">
        <w:rPr>
          <w:rFonts w:asciiTheme="minorHAnsi" w:eastAsia="Times New Roman" w:hAnsiTheme="minorHAnsi" w:cstheme="minorHAnsi"/>
          <w:b/>
          <w:sz w:val="21"/>
          <w:szCs w:val="21"/>
        </w:rPr>
        <w:t>u spotřebitelských úvěrů v dubnu</w:t>
      </w:r>
      <w:r w:rsidR="005D72AF" w:rsidRPr="00B50DC6">
        <w:rPr>
          <w:rFonts w:asciiTheme="minorHAnsi" w:eastAsia="Times New Roman" w:hAnsiTheme="minorHAnsi" w:cstheme="minorHAnsi"/>
          <w:b/>
          <w:sz w:val="21"/>
          <w:szCs w:val="21"/>
        </w:rPr>
        <w:t xml:space="preserve"> dosáhla, podl</w:t>
      </w:r>
      <w:r w:rsidR="005D72AF">
        <w:rPr>
          <w:rFonts w:asciiTheme="minorHAnsi" w:eastAsia="Times New Roman" w:hAnsiTheme="minorHAnsi" w:cstheme="minorHAnsi"/>
          <w:b/>
          <w:sz w:val="21"/>
          <w:szCs w:val="21"/>
        </w:rPr>
        <w:t>e Broker Consulting Indexu, na 7,6</w:t>
      </w:r>
      <w:r w:rsidR="005D72AF" w:rsidRPr="00B50DC6">
        <w:rPr>
          <w:rFonts w:asciiTheme="minorHAnsi" w:eastAsia="Times New Roman" w:hAnsiTheme="minorHAnsi" w:cstheme="minorHAnsi"/>
          <w:b/>
          <w:sz w:val="21"/>
          <w:szCs w:val="21"/>
        </w:rPr>
        <w:t xml:space="preserve">4 </w:t>
      </w:r>
      <w:r w:rsidR="00453558">
        <w:rPr>
          <w:rFonts w:asciiTheme="minorHAnsi" w:eastAsia="Times New Roman" w:hAnsiTheme="minorHAnsi" w:cstheme="minorHAnsi"/>
          <w:b/>
          <w:sz w:val="21"/>
          <w:szCs w:val="21"/>
        </w:rPr>
        <w:t>procenta, což představuje oproti předchozímu měsíci nárůst o 0,71 procentního bodu. Po dvou</w:t>
      </w:r>
      <w:r w:rsidR="005D72AF" w:rsidRPr="00B50DC6">
        <w:rPr>
          <w:rFonts w:asciiTheme="minorHAnsi" w:eastAsia="Times New Roman" w:hAnsiTheme="minorHAnsi" w:cstheme="minorHAnsi"/>
          <w:b/>
          <w:sz w:val="21"/>
          <w:szCs w:val="21"/>
        </w:rPr>
        <w:t xml:space="preserve"> měsících se tak sazby vrátil</w:t>
      </w:r>
      <w:r w:rsidR="00453558">
        <w:rPr>
          <w:rFonts w:asciiTheme="minorHAnsi" w:eastAsia="Times New Roman" w:hAnsiTheme="minorHAnsi" w:cstheme="minorHAnsi"/>
          <w:b/>
          <w:sz w:val="21"/>
          <w:szCs w:val="21"/>
        </w:rPr>
        <w:t xml:space="preserve">y na podobnou hodnotu, která zde panovala v ledu (7,63 %). </w:t>
      </w:r>
      <w:r w:rsidR="00453558" w:rsidRPr="003F40AA">
        <w:rPr>
          <w:rFonts w:asciiTheme="minorHAnsi" w:hAnsiTheme="minorHAnsi" w:cstheme="minorHAnsi"/>
          <w:b/>
          <w:sz w:val="21"/>
          <w:szCs w:val="21"/>
        </w:rPr>
        <w:t xml:space="preserve">Sazby spotřebitelských úvěrů jsou na trhu velmi různé a poskytovatelé půjček nastavují </w:t>
      </w:r>
      <w:r w:rsidR="008D33FC" w:rsidRPr="003F40AA">
        <w:rPr>
          <w:rFonts w:asciiTheme="minorHAnsi" w:hAnsiTheme="minorHAnsi" w:cstheme="minorHAnsi"/>
          <w:b/>
          <w:sz w:val="21"/>
          <w:szCs w:val="21"/>
        </w:rPr>
        <w:t>výši úroků s ohledem na konkrétního klienta.</w:t>
      </w:r>
      <w:r w:rsidR="008D33FC" w:rsidRPr="008D33FC">
        <w:rPr>
          <w:rFonts w:asciiTheme="minorHAnsi" w:hAnsiTheme="minorHAnsi" w:cstheme="minorHAnsi"/>
          <w:sz w:val="21"/>
          <w:szCs w:val="21"/>
        </w:rPr>
        <w:t xml:space="preserve"> </w:t>
      </w:r>
    </w:p>
    <w:p w14:paraId="7CCC2B91" w14:textId="23FBA97A" w:rsidR="008D33FC" w:rsidRDefault="008D33FC" w:rsidP="008D33FC">
      <w:pPr>
        <w:spacing w:after="120"/>
        <w:jc w:val="both"/>
        <w:rPr>
          <w:rFonts w:ascii="Calibri" w:eastAsia="Times New Roman" w:hAnsi="Calibri" w:cs="Calibri"/>
          <w:b/>
          <w:color w:val="000000"/>
          <w:sz w:val="21"/>
          <w:szCs w:val="21"/>
        </w:rPr>
      </w:pPr>
      <w:r w:rsidRPr="003F40AA">
        <w:rPr>
          <w:rFonts w:asciiTheme="minorHAnsi" w:hAnsiTheme="minorHAnsi" w:cstheme="minorHAnsi"/>
          <w:i/>
          <w:sz w:val="21"/>
          <w:szCs w:val="21"/>
        </w:rPr>
        <w:t>„</w:t>
      </w:r>
      <w:r w:rsidR="003F40AA">
        <w:rPr>
          <w:rFonts w:asciiTheme="minorHAnsi" w:hAnsiTheme="minorHAnsi" w:cstheme="minorHAnsi"/>
          <w:i/>
          <w:sz w:val="21"/>
          <w:szCs w:val="21"/>
        </w:rPr>
        <w:t xml:space="preserve">Pokud si chce člověk </w:t>
      </w:r>
      <w:r w:rsidRPr="003F40AA">
        <w:rPr>
          <w:rFonts w:asciiTheme="minorHAnsi" w:hAnsiTheme="minorHAnsi" w:cstheme="minorHAnsi"/>
          <w:i/>
          <w:sz w:val="21"/>
          <w:szCs w:val="21"/>
        </w:rPr>
        <w:t>sjednat spotřebitelský úvěr ať už v bance, nebo v nebankovní instituci, a úroková sazba je výrazněji vyšší než aktuální index, je potřeba zpozornět,“</w:t>
      </w:r>
      <w:r>
        <w:rPr>
          <w:rFonts w:asciiTheme="minorHAnsi" w:hAnsiTheme="minorHAnsi" w:cstheme="minorHAnsi"/>
          <w:sz w:val="21"/>
          <w:szCs w:val="21"/>
        </w:rPr>
        <w:t xml:space="preserve"> vysvětluje </w:t>
      </w:r>
      <w:r w:rsidRPr="00FB65BA">
        <w:rPr>
          <w:rFonts w:ascii="Calibri" w:eastAsia="Times New Roman" w:hAnsi="Calibri" w:cs="Calibri"/>
          <w:b/>
          <w:color w:val="000000"/>
          <w:sz w:val="21"/>
          <w:szCs w:val="21"/>
        </w:rPr>
        <w:t>Michaela Pudilová, analytička spotřebitelských a hypotečních úvěrů ze společnosti Broker Consulting.</w:t>
      </w:r>
    </w:p>
    <w:p w14:paraId="08A17A20" w14:textId="03ECE0B1" w:rsidR="003F40AA" w:rsidRDefault="003F40AA" w:rsidP="00E4267D">
      <w:pPr>
        <w:widowControl/>
        <w:autoSpaceDE/>
        <w:autoSpaceDN/>
        <w:spacing w:before="100" w:beforeAutospacing="1" w:after="100" w:afterAutospacing="1"/>
        <w:jc w:val="both"/>
        <w:rPr>
          <w:rFonts w:asciiTheme="minorHAnsi" w:eastAsia="Times New Roman" w:hAnsiTheme="minorHAnsi" w:cstheme="minorHAnsi"/>
          <w:sz w:val="21"/>
          <w:szCs w:val="21"/>
          <w:lang w:bidi="ar-SA"/>
        </w:rPr>
      </w:pPr>
      <w:r>
        <w:rPr>
          <w:rFonts w:asciiTheme="minorHAnsi" w:eastAsia="Times New Roman" w:hAnsiTheme="minorHAnsi" w:cstheme="minorHAnsi"/>
          <w:sz w:val="21"/>
          <w:szCs w:val="21"/>
          <w:lang w:bidi="ar-SA"/>
        </w:rPr>
        <w:t xml:space="preserve">Mírné výkyvy úrokových sazeb jsou u tohoto typu úvěrů poměrně časté. </w:t>
      </w:r>
      <w:r w:rsidR="007E11E7">
        <w:rPr>
          <w:rFonts w:asciiTheme="minorHAnsi" w:eastAsia="Times New Roman" w:hAnsiTheme="minorHAnsi" w:cstheme="minorHAnsi"/>
          <w:sz w:val="21"/>
          <w:szCs w:val="21"/>
          <w:lang w:bidi="ar-SA"/>
        </w:rPr>
        <w:t xml:space="preserve">V posledním roce se sazby pohybovaly v rozmezí sedmi až devíti procent, pod uvedenou hranici klesly pouze v únoru (6,86 %) a březnu (6,93 %) letošního roku. Nejvýrazněji pak stouply </w:t>
      </w:r>
      <w:r w:rsidR="00E4267D">
        <w:rPr>
          <w:rFonts w:asciiTheme="minorHAnsi" w:eastAsia="Times New Roman" w:hAnsiTheme="minorHAnsi" w:cstheme="minorHAnsi"/>
          <w:sz w:val="21"/>
          <w:szCs w:val="21"/>
          <w:lang w:bidi="ar-SA"/>
        </w:rPr>
        <w:t>v průběhu druhé</w:t>
      </w:r>
      <w:r w:rsidR="00481E79">
        <w:rPr>
          <w:rFonts w:asciiTheme="minorHAnsi" w:eastAsia="Times New Roman" w:hAnsiTheme="minorHAnsi" w:cstheme="minorHAnsi"/>
          <w:sz w:val="21"/>
          <w:szCs w:val="21"/>
          <w:lang w:bidi="ar-SA"/>
        </w:rPr>
        <w:t>ho prázdninového měsíce loňského</w:t>
      </w:r>
      <w:r w:rsidR="00E4267D">
        <w:rPr>
          <w:rFonts w:asciiTheme="minorHAnsi" w:eastAsia="Times New Roman" w:hAnsiTheme="minorHAnsi" w:cstheme="minorHAnsi"/>
          <w:sz w:val="21"/>
          <w:szCs w:val="21"/>
          <w:lang w:bidi="ar-SA"/>
        </w:rPr>
        <w:t xml:space="preserve"> roku (srpen – 8,94 %). </w:t>
      </w:r>
    </w:p>
    <w:p w14:paraId="142308C5" w14:textId="090FE2F1" w:rsidR="005D72AF" w:rsidRPr="00E4267D" w:rsidRDefault="00E4267D" w:rsidP="00E4267D">
      <w:pPr>
        <w:widowControl/>
        <w:autoSpaceDE/>
        <w:autoSpaceDN/>
        <w:spacing w:before="100" w:beforeAutospacing="1" w:after="100" w:afterAutospacing="1"/>
        <w:jc w:val="both"/>
        <w:rPr>
          <w:rFonts w:asciiTheme="minorHAnsi" w:eastAsia="Times New Roman" w:hAnsiTheme="minorHAnsi" w:cstheme="minorHAnsi"/>
          <w:sz w:val="21"/>
          <w:szCs w:val="21"/>
          <w:lang w:bidi="ar-SA"/>
        </w:rPr>
      </w:pPr>
      <w:r w:rsidRPr="00E4267D">
        <w:rPr>
          <w:rFonts w:asciiTheme="minorHAnsi" w:eastAsia="Times New Roman" w:hAnsiTheme="minorHAnsi" w:cstheme="minorHAnsi"/>
          <w:i/>
          <w:sz w:val="21"/>
          <w:szCs w:val="21"/>
          <w:lang w:bidi="ar-SA"/>
        </w:rPr>
        <w:t>„Zatímco sazby hypotečních úvěrů bývají stabilní a jejich změny mají dlouhodobější charakter, sazby bezúčelových půjček čelí pravidelným vý</w:t>
      </w:r>
      <w:r w:rsidR="00481E79">
        <w:rPr>
          <w:rFonts w:asciiTheme="minorHAnsi" w:eastAsia="Times New Roman" w:hAnsiTheme="minorHAnsi" w:cstheme="minorHAnsi"/>
          <w:i/>
          <w:sz w:val="21"/>
          <w:szCs w:val="21"/>
          <w:lang w:bidi="ar-SA"/>
        </w:rPr>
        <w:t xml:space="preserve">kyvům. Ty jsou mimo jiné dány i </w:t>
      </w:r>
      <w:r w:rsidRPr="00E4267D">
        <w:rPr>
          <w:rFonts w:asciiTheme="minorHAnsi" w:eastAsia="Times New Roman" w:hAnsiTheme="minorHAnsi" w:cstheme="minorHAnsi"/>
          <w:i/>
          <w:sz w:val="21"/>
          <w:szCs w:val="21"/>
          <w:lang w:bidi="ar-SA"/>
        </w:rPr>
        <w:t xml:space="preserve">konkurenčními akcemi jednotlivých bank,“ </w:t>
      </w:r>
      <w:r>
        <w:rPr>
          <w:rFonts w:asciiTheme="minorHAnsi" w:eastAsia="Times New Roman" w:hAnsiTheme="minorHAnsi" w:cstheme="minorHAnsi"/>
          <w:sz w:val="21"/>
          <w:szCs w:val="21"/>
          <w:lang w:bidi="ar-SA"/>
        </w:rPr>
        <w:t xml:space="preserve">vysvětluje </w:t>
      </w:r>
      <w:r w:rsidRPr="00481E79">
        <w:rPr>
          <w:rFonts w:asciiTheme="minorHAnsi" w:eastAsia="Times New Roman" w:hAnsiTheme="minorHAnsi" w:cstheme="minorHAnsi"/>
          <w:b/>
          <w:sz w:val="21"/>
          <w:szCs w:val="21"/>
          <w:lang w:bidi="ar-SA"/>
        </w:rPr>
        <w:t>Michaela Pudilová.</w:t>
      </w:r>
      <w:r>
        <w:rPr>
          <w:rFonts w:asciiTheme="minorHAnsi" w:eastAsia="Times New Roman" w:hAnsiTheme="minorHAnsi" w:cstheme="minorHAnsi"/>
          <w:sz w:val="21"/>
          <w:szCs w:val="21"/>
          <w:lang w:bidi="ar-SA"/>
        </w:rPr>
        <w:t xml:space="preserve"> </w:t>
      </w:r>
    </w:p>
    <w:p w14:paraId="53776754" w14:textId="4D4E9A9E" w:rsidR="00FB65BA" w:rsidRPr="00F65F8D" w:rsidRDefault="00F65F8D" w:rsidP="00F65F8D">
      <w:pPr>
        <w:spacing w:after="120"/>
        <w:jc w:val="both"/>
        <w:rPr>
          <w:rFonts w:ascii="Calibri" w:eastAsia="Times New Roman" w:hAnsi="Calibri" w:cs="Calibri"/>
          <w:b/>
          <w:bCs/>
          <w:color w:val="000000"/>
          <w:sz w:val="21"/>
          <w:szCs w:val="21"/>
        </w:rPr>
      </w:pPr>
      <w:r>
        <w:rPr>
          <w:rFonts w:ascii="Calibri" w:eastAsia="Times New Roman" w:hAnsi="Calibri" w:cs="Calibri"/>
          <w:b/>
          <w:bCs/>
          <w:noProof/>
          <w:color w:val="000000"/>
          <w:sz w:val="21"/>
          <w:szCs w:val="21"/>
          <w:lang w:bidi="ar-SA"/>
        </w:rPr>
        <w:drawing>
          <wp:inline distT="0" distB="0" distL="0" distR="0" wp14:anchorId="17F57A32" wp14:editId="456EC1BA">
            <wp:extent cx="6654800" cy="293326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a:blip r:embed="rId25">
                      <a:extLst>
                        <a:ext uri="{28A0092B-C50C-407E-A947-70E740481C1C}">
                          <a14:useLocalDpi xmlns:a14="http://schemas.microsoft.com/office/drawing/2010/main" val="0"/>
                        </a:ext>
                      </a:extLst>
                    </a:blip>
                    <a:stretch>
                      <a:fillRect/>
                    </a:stretch>
                  </pic:blipFill>
                  <pic:spPr>
                    <a:xfrm>
                      <a:off x="0" y="0"/>
                      <a:ext cx="6673630" cy="2941565"/>
                    </a:xfrm>
                    <a:prstGeom prst="rect">
                      <a:avLst/>
                    </a:prstGeom>
                  </pic:spPr>
                </pic:pic>
              </a:graphicData>
            </a:graphic>
          </wp:inline>
        </w:drawing>
      </w:r>
    </w:p>
    <w:p w14:paraId="1A269C57" w14:textId="61BEAB98" w:rsidR="00E968DA" w:rsidRPr="007F04C6" w:rsidRDefault="00E968DA" w:rsidP="007F04C6">
      <w:pPr>
        <w:pStyle w:val="Nadpis3"/>
        <w:ind w:left="0"/>
        <w:jc w:val="both"/>
        <w:rPr>
          <w:rFonts w:asciiTheme="minorHAnsi" w:hAnsiTheme="minorHAnsi" w:cstheme="minorHAnsi"/>
          <w:b/>
          <w:sz w:val="22"/>
          <w:szCs w:val="22"/>
        </w:rPr>
      </w:pPr>
      <w:r w:rsidRPr="007F04C6">
        <w:rPr>
          <w:rFonts w:asciiTheme="minorHAnsi" w:hAnsiTheme="minorHAnsi" w:cstheme="minorHAnsi"/>
          <w:b/>
          <w:sz w:val="22"/>
          <w:szCs w:val="22"/>
        </w:rPr>
        <w:t>Proč banky uvádějí úrokové sazby „</w:t>
      </w:r>
      <w:proofErr w:type="gramStart"/>
      <w:r w:rsidRPr="007F04C6">
        <w:rPr>
          <w:rFonts w:asciiTheme="minorHAnsi" w:hAnsiTheme="minorHAnsi" w:cstheme="minorHAnsi"/>
          <w:b/>
          <w:sz w:val="22"/>
          <w:szCs w:val="22"/>
        </w:rPr>
        <w:t>od</w:t>
      </w:r>
      <w:proofErr w:type="gramEnd"/>
      <w:r w:rsidRPr="007F04C6">
        <w:rPr>
          <w:rFonts w:asciiTheme="minorHAnsi" w:hAnsiTheme="minorHAnsi" w:cstheme="minorHAnsi"/>
          <w:b/>
          <w:sz w:val="22"/>
          <w:szCs w:val="22"/>
        </w:rPr>
        <w:t>“?</w:t>
      </w:r>
    </w:p>
    <w:p w14:paraId="13A3062B" w14:textId="77777777" w:rsidR="007F04C6" w:rsidRPr="007F04C6" w:rsidRDefault="007F04C6" w:rsidP="007F04C6">
      <w:pPr>
        <w:pStyle w:val="Nadpis3"/>
        <w:ind w:left="0"/>
        <w:jc w:val="both"/>
        <w:rPr>
          <w:rFonts w:asciiTheme="minorHAnsi" w:hAnsiTheme="minorHAnsi" w:cstheme="minorHAnsi"/>
          <w:sz w:val="22"/>
          <w:szCs w:val="22"/>
        </w:rPr>
      </w:pPr>
    </w:p>
    <w:p w14:paraId="6AC9CB38" w14:textId="2363EDEC" w:rsidR="007F04C6" w:rsidRPr="007F04C6" w:rsidRDefault="007F04C6" w:rsidP="007F04C6">
      <w:pPr>
        <w:pStyle w:val="Nadpis3"/>
        <w:ind w:left="0"/>
        <w:jc w:val="both"/>
        <w:rPr>
          <w:rFonts w:asciiTheme="minorHAnsi" w:eastAsia="Times New Roman" w:hAnsiTheme="minorHAnsi" w:cstheme="minorHAnsi"/>
          <w:b/>
          <w:sz w:val="22"/>
          <w:szCs w:val="22"/>
          <w:lang w:bidi="ar-SA"/>
        </w:rPr>
      </w:pPr>
      <w:r w:rsidRPr="007F04C6">
        <w:rPr>
          <w:rFonts w:asciiTheme="minorHAnsi" w:hAnsiTheme="minorHAnsi" w:cstheme="minorHAnsi"/>
          <w:sz w:val="22"/>
          <w:szCs w:val="22"/>
        </w:rPr>
        <w:t>Hodnota úrokové sazby, kterou banka uvádí jako výchozí, nemusí odpovídat té, kterou klient skutečně získá. Rozdíl mezi nabídko</w:t>
      </w:r>
      <w:r>
        <w:rPr>
          <w:rFonts w:asciiTheme="minorHAnsi" w:hAnsiTheme="minorHAnsi" w:cstheme="minorHAnsi"/>
          <w:sz w:val="22"/>
          <w:szCs w:val="22"/>
        </w:rPr>
        <w:t>vo</w:t>
      </w:r>
      <w:r w:rsidRPr="007F04C6">
        <w:rPr>
          <w:rFonts w:asciiTheme="minorHAnsi" w:hAnsiTheme="minorHAnsi" w:cstheme="minorHAnsi"/>
          <w:sz w:val="22"/>
          <w:szCs w:val="22"/>
        </w:rPr>
        <w:t>u a výs</w:t>
      </w:r>
      <w:r>
        <w:rPr>
          <w:rFonts w:asciiTheme="minorHAnsi" w:hAnsiTheme="minorHAnsi" w:cstheme="minorHAnsi"/>
          <w:sz w:val="22"/>
          <w:szCs w:val="22"/>
        </w:rPr>
        <w:t>lednou sazbou může být výrazný</w:t>
      </w:r>
      <w:r w:rsidRPr="007F04C6">
        <w:rPr>
          <w:rFonts w:asciiTheme="minorHAnsi" w:hAnsiTheme="minorHAnsi" w:cstheme="minorHAnsi"/>
          <w:sz w:val="22"/>
          <w:szCs w:val="22"/>
        </w:rPr>
        <w:t xml:space="preserve">. </w:t>
      </w:r>
      <w:r w:rsidRPr="007F04C6">
        <w:rPr>
          <w:rStyle w:val="Siln"/>
          <w:rFonts w:asciiTheme="minorHAnsi" w:hAnsiTheme="minorHAnsi" w:cstheme="minorHAnsi"/>
          <w:b w:val="0"/>
          <w:sz w:val="22"/>
          <w:szCs w:val="22"/>
        </w:rPr>
        <w:t>Finální podmínky totiž vždy závisí na individuálním posouzení žadatele.</w:t>
      </w:r>
    </w:p>
    <w:p w14:paraId="7F8433B2" w14:textId="16D43877" w:rsidR="007F04C6" w:rsidRPr="007F04C6" w:rsidRDefault="007F04C6" w:rsidP="007F04C6">
      <w:pPr>
        <w:spacing w:before="100" w:beforeAutospacing="1" w:after="100" w:afterAutospacing="1"/>
        <w:jc w:val="both"/>
        <w:rPr>
          <w:rFonts w:asciiTheme="minorHAnsi" w:hAnsiTheme="minorHAnsi" w:cstheme="minorHAnsi"/>
        </w:rPr>
      </w:pPr>
      <w:r w:rsidRPr="007F04C6">
        <w:rPr>
          <w:rFonts w:asciiTheme="minorHAnsi" w:hAnsiTheme="minorHAnsi" w:cstheme="minorHAnsi"/>
        </w:rPr>
        <w:t xml:space="preserve">Hlavní roli v tomto procesu hraje tzv. </w:t>
      </w:r>
      <w:r w:rsidRPr="007F04C6">
        <w:rPr>
          <w:rStyle w:val="Siln"/>
          <w:rFonts w:asciiTheme="minorHAnsi" w:hAnsiTheme="minorHAnsi" w:cstheme="minorHAnsi"/>
        </w:rPr>
        <w:t xml:space="preserve">risk </w:t>
      </w:r>
      <w:proofErr w:type="spellStart"/>
      <w:r w:rsidRPr="007F04C6">
        <w:rPr>
          <w:rStyle w:val="Siln"/>
          <w:rFonts w:asciiTheme="minorHAnsi" w:hAnsiTheme="minorHAnsi" w:cstheme="minorHAnsi"/>
        </w:rPr>
        <w:t>based</w:t>
      </w:r>
      <w:proofErr w:type="spellEnd"/>
      <w:r w:rsidRPr="007F04C6">
        <w:rPr>
          <w:rStyle w:val="Siln"/>
          <w:rFonts w:asciiTheme="minorHAnsi" w:hAnsiTheme="minorHAnsi" w:cstheme="minorHAnsi"/>
        </w:rPr>
        <w:t xml:space="preserve"> model</w:t>
      </w:r>
      <w:r w:rsidRPr="007F04C6">
        <w:rPr>
          <w:rFonts w:asciiTheme="minorHAnsi" w:hAnsiTheme="minorHAnsi" w:cstheme="minorHAnsi"/>
        </w:rPr>
        <w:t xml:space="preserve"> – tedy hodnocení rizikovosti klienta. Zohledňuje se například úvěrová historie, platební morálka napříč trhem, výše a stabilita příjmů, ale také aktuální výdaje. Sazbu pak může ovlivnit i výše půjčky nebo délka splácení.</w:t>
      </w:r>
    </w:p>
    <w:p w14:paraId="6D31B236" w14:textId="0C85AE81" w:rsidR="00E968DA" w:rsidRPr="007F04C6" w:rsidRDefault="007F04C6" w:rsidP="007F04C6">
      <w:pPr>
        <w:spacing w:before="100" w:beforeAutospacing="1" w:after="100" w:afterAutospacing="1"/>
        <w:jc w:val="both"/>
        <w:rPr>
          <w:rFonts w:asciiTheme="minorHAnsi" w:hAnsiTheme="minorHAnsi" w:cstheme="minorHAnsi"/>
        </w:rPr>
      </w:pPr>
      <w:r w:rsidRPr="007F04C6">
        <w:rPr>
          <w:rFonts w:asciiTheme="minorHAnsi" w:hAnsiTheme="minorHAnsi" w:cstheme="minorHAnsi"/>
          <w:i/>
        </w:rPr>
        <w:t xml:space="preserve"> </w:t>
      </w:r>
      <w:r w:rsidR="00E968DA" w:rsidRPr="007F04C6">
        <w:rPr>
          <w:rFonts w:asciiTheme="minorHAnsi" w:hAnsiTheme="minorHAnsi" w:cstheme="minorHAnsi"/>
          <w:i/>
        </w:rPr>
        <w:t>„Úroková sazba je výsledkem individuálního posouzení klienta. Záleží na jeho historii, příjmech, výdajích i chování u jiných poskytovatelů. Proto se skutečná nabídka může lišit od té inzerované i o několik procent,“</w:t>
      </w:r>
      <w:r w:rsidR="00E968DA" w:rsidRPr="007F04C6">
        <w:rPr>
          <w:rFonts w:asciiTheme="minorHAnsi" w:hAnsiTheme="minorHAnsi" w:cstheme="minorHAnsi"/>
        </w:rPr>
        <w:t xml:space="preserve"> vysvětluje analytička </w:t>
      </w:r>
      <w:r w:rsidR="00E968DA" w:rsidRPr="007F04C6">
        <w:rPr>
          <w:rFonts w:asciiTheme="minorHAnsi" w:hAnsiTheme="minorHAnsi" w:cstheme="minorHAnsi"/>
          <w:b/>
        </w:rPr>
        <w:t>Broker Consulting</w:t>
      </w:r>
      <w:r w:rsidR="00E968DA" w:rsidRPr="007F04C6">
        <w:rPr>
          <w:rFonts w:asciiTheme="minorHAnsi" w:hAnsiTheme="minorHAnsi" w:cstheme="minorHAnsi"/>
        </w:rPr>
        <w:t xml:space="preserve"> </w:t>
      </w:r>
      <w:r w:rsidR="00E968DA" w:rsidRPr="007F04C6">
        <w:rPr>
          <w:rStyle w:val="Siln"/>
          <w:rFonts w:asciiTheme="minorHAnsi" w:hAnsiTheme="minorHAnsi" w:cstheme="minorHAnsi"/>
        </w:rPr>
        <w:t>Michaela Pudilová</w:t>
      </w:r>
      <w:r w:rsidR="00E968DA" w:rsidRPr="007F04C6">
        <w:rPr>
          <w:rFonts w:asciiTheme="minorHAnsi" w:hAnsiTheme="minorHAnsi" w:cstheme="minorHAnsi"/>
        </w:rPr>
        <w:t>.</w:t>
      </w:r>
    </w:p>
    <w:p w14:paraId="45C75EE1" w14:textId="4BE1B089" w:rsidR="00C06684" w:rsidRPr="007F04C6" w:rsidRDefault="007F04C6" w:rsidP="007F04C6">
      <w:pPr>
        <w:spacing w:after="120"/>
        <w:jc w:val="both"/>
        <w:outlineLvl w:val="2"/>
        <w:rPr>
          <w:rFonts w:asciiTheme="minorHAnsi" w:eastAsia="Times New Roman" w:hAnsiTheme="minorHAnsi" w:cstheme="minorHAnsi"/>
          <w:b/>
          <w:bCs/>
          <w:color w:val="000000"/>
        </w:rPr>
      </w:pPr>
      <w:r w:rsidRPr="007F04C6">
        <w:rPr>
          <w:rFonts w:asciiTheme="minorHAnsi" w:hAnsiTheme="minorHAnsi" w:cstheme="minorHAnsi"/>
        </w:rPr>
        <w:lastRenderedPageBreak/>
        <w:t>Ačkoliv měsíční splátka nemusí být na první pohled vysoká</w:t>
      </w:r>
      <w:r w:rsidRPr="007F04C6">
        <w:rPr>
          <w:rFonts w:asciiTheme="minorHAnsi" w:hAnsiTheme="minorHAnsi" w:cstheme="minorHAnsi"/>
          <w:b/>
        </w:rPr>
        <w:t xml:space="preserve">, </w:t>
      </w:r>
      <w:r w:rsidRPr="007F04C6">
        <w:rPr>
          <w:rStyle w:val="Siln"/>
          <w:rFonts w:asciiTheme="minorHAnsi" w:hAnsiTheme="minorHAnsi" w:cstheme="minorHAnsi"/>
          <w:b w:val="0"/>
        </w:rPr>
        <w:t>dluh je třeba splácet pravidelně a často po mnoho let</w:t>
      </w:r>
      <w:r w:rsidRPr="007F04C6">
        <w:rPr>
          <w:rFonts w:asciiTheme="minorHAnsi" w:hAnsiTheme="minorHAnsi" w:cstheme="minorHAnsi"/>
          <w:b/>
        </w:rPr>
        <w:t>.</w:t>
      </w:r>
      <w:r>
        <w:rPr>
          <w:rFonts w:asciiTheme="minorHAnsi" w:hAnsiTheme="minorHAnsi" w:cstheme="minorHAnsi"/>
        </w:rPr>
        <w:t xml:space="preserve"> Proto je důležité</w:t>
      </w:r>
      <w:r w:rsidRPr="007F04C6">
        <w:rPr>
          <w:rFonts w:asciiTheme="minorHAnsi" w:hAnsiTheme="minorHAnsi" w:cstheme="minorHAnsi"/>
        </w:rPr>
        <w:t xml:space="preserve"> porovnávat nejen samotné sazby, ale i celkové podmínky</w:t>
      </w:r>
      <w:r w:rsidR="00CD2C10">
        <w:rPr>
          <w:rFonts w:asciiTheme="minorHAnsi" w:hAnsiTheme="minorHAnsi" w:cstheme="minorHAnsi"/>
        </w:rPr>
        <w:t xml:space="preserve"> a náklady na půjčku</w:t>
      </w:r>
      <w:r w:rsidRPr="007F04C6">
        <w:rPr>
          <w:rFonts w:asciiTheme="minorHAnsi" w:hAnsiTheme="minorHAnsi" w:cstheme="minorHAnsi"/>
        </w:rPr>
        <w:t>. Se správným výběrem a rozhodnutím může pomoci zkušený finanční konzultant.</w:t>
      </w:r>
    </w:p>
    <w:p w14:paraId="0D84E859" w14:textId="77777777" w:rsidR="00070317" w:rsidRPr="00EF6D8C" w:rsidRDefault="00070317" w:rsidP="00DF7709">
      <w:pPr>
        <w:pBdr>
          <w:bottom w:val="single" w:sz="4" w:space="1" w:color="auto"/>
        </w:pBdr>
        <w:jc w:val="both"/>
        <w:rPr>
          <w:rFonts w:asciiTheme="minorHAnsi" w:hAnsiTheme="minorHAnsi" w:cstheme="minorHAnsi"/>
          <w:bCs/>
          <w:sz w:val="2"/>
          <w:szCs w:val="2"/>
        </w:rPr>
      </w:pPr>
    </w:p>
    <w:p w14:paraId="4CF17F9A" w14:textId="4F3C8C79"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w:t>
      </w:r>
      <w:r w:rsidR="00BB537C">
        <w:rPr>
          <w:rFonts w:asciiTheme="minorHAnsi" w:hAnsiTheme="minorHAnsi" w:cstheme="minorHAnsi"/>
          <w:sz w:val="21"/>
          <w:szCs w:val="21"/>
        </w:rPr>
        <w:t>er Consulting a pobočky Broker Point či Broker Point Premium,</w:t>
      </w:r>
      <w:r w:rsidRPr="00EF6D8C">
        <w:rPr>
          <w:rFonts w:asciiTheme="minorHAnsi" w:hAnsiTheme="minorHAnsi" w:cstheme="minorHAnsi"/>
          <w:sz w:val="21"/>
          <w:szCs w:val="21"/>
        </w:rPr>
        <w:t xml:space="preserve"> u kteréhokoli poskytovatele bankovních 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0F07CF11"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3450A3C2" w14:textId="77777777" w:rsidR="00624358" w:rsidRPr="00AD79CC" w:rsidRDefault="00624358" w:rsidP="00624358">
      <w:pPr>
        <w:pStyle w:val="Bezmezer"/>
        <w:rPr>
          <w:rFonts w:eastAsia="F015TEELig" w:cstheme="minorHAnsi"/>
          <w:sz w:val="21"/>
          <w:szCs w:val="21"/>
        </w:rPr>
      </w:pPr>
      <w:r>
        <w:rPr>
          <w:rFonts w:eastAsia="Calibri" w:cstheme="minorHAnsi"/>
          <w:bCs/>
          <w:noProof/>
          <w:sz w:val="21"/>
          <w:szCs w:val="21"/>
        </w:rPr>
        <w:t xml:space="preserve">Lenka Kuželová, </w:t>
      </w:r>
      <w:r w:rsidRPr="00AD79CC">
        <w:rPr>
          <w:rFonts w:eastAsia="F015TEELig" w:cstheme="minorHAnsi"/>
          <w:sz w:val="21"/>
          <w:szCs w:val="21"/>
        </w:rPr>
        <w:t xml:space="preserve">Specialistka PR </w:t>
      </w:r>
    </w:p>
    <w:p w14:paraId="14A711EF" w14:textId="77777777" w:rsidR="00624358" w:rsidRPr="00AD79CC" w:rsidRDefault="00624358" w:rsidP="00624358">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27"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12134AC2" w14:textId="4F708FE7" w:rsidR="008F3C6D" w:rsidRPr="00EF6D8C" w:rsidRDefault="008F3C6D" w:rsidP="00EF6D8C">
      <w:pPr>
        <w:rPr>
          <w:rFonts w:asciiTheme="minorHAnsi" w:eastAsiaTheme="minorEastAsia" w:hAnsiTheme="minorHAnsi" w:cstheme="minorHAnsi"/>
          <w:noProof/>
          <w:color w:val="000000" w:themeColor="text1"/>
          <w:sz w:val="21"/>
          <w:szCs w:val="21"/>
          <w:lang w:bidi="ar-SA"/>
        </w:rPr>
      </w:pP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69765" w14:textId="77777777" w:rsidR="00CE5DBB" w:rsidRDefault="00CE5DBB">
      <w:r>
        <w:separator/>
      </w:r>
    </w:p>
  </w:endnote>
  <w:endnote w:type="continuationSeparator" w:id="0">
    <w:p w14:paraId="069EFB33" w14:textId="77777777" w:rsidR="00CE5DBB" w:rsidRDefault="00CE5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CE5DBB"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4578A2"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CE5DBB"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4578A2"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CE5DBB"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4578A2"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DE110" w14:textId="77777777" w:rsidR="00CE5DBB" w:rsidRDefault="00CE5DBB">
      <w:r>
        <w:separator/>
      </w:r>
    </w:p>
  </w:footnote>
  <w:footnote w:type="continuationSeparator" w:id="0">
    <w:p w14:paraId="4088E8E2" w14:textId="77777777" w:rsidR="00CE5DBB" w:rsidRDefault="00CE5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58B7238"/>
    <w:multiLevelType w:val="hybridMultilevel"/>
    <w:tmpl w:val="5FA0F59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10"/>
  </w:num>
  <w:num w:numId="5">
    <w:abstractNumId w:val="5"/>
  </w:num>
  <w:num w:numId="6">
    <w:abstractNumId w:val="9"/>
  </w:num>
  <w:num w:numId="7">
    <w:abstractNumId w:val="3"/>
  </w:num>
  <w:num w:numId="8">
    <w:abstractNumId w:val="10"/>
  </w:num>
  <w:num w:numId="9">
    <w:abstractNumId w:val="1"/>
  </w:num>
  <w:num w:numId="10">
    <w:abstractNumId w:val="0"/>
  </w:num>
  <w:num w:numId="11">
    <w:abstractNumId w:val="4"/>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20EC7"/>
    <w:rsid w:val="00021C70"/>
    <w:rsid w:val="00022715"/>
    <w:rsid w:val="00024AC6"/>
    <w:rsid w:val="00026F23"/>
    <w:rsid w:val="000276A7"/>
    <w:rsid w:val="000277AC"/>
    <w:rsid w:val="000329A2"/>
    <w:rsid w:val="00032D94"/>
    <w:rsid w:val="00035A27"/>
    <w:rsid w:val="00036C73"/>
    <w:rsid w:val="000374D7"/>
    <w:rsid w:val="000400E4"/>
    <w:rsid w:val="0004253B"/>
    <w:rsid w:val="00045B39"/>
    <w:rsid w:val="0005252A"/>
    <w:rsid w:val="0005423A"/>
    <w:rsid w:val="00057018"/>
    <w:rsid w:val="00057DE7"/>
    <w:rsid w:val="000611E3"/>
    <w:rsid w:val="000618FE"/>
    <w:rsid w:val="00061ABB"/>
    <w:rsid w:val="00062CC5"/>
    <w:rsid w:val="00070317"/>
    <w:rsid w:val="00070675"/>
    <w:rsid w:val="000766E7"/>
    <w:rsid w:val="00076D0E"/>
    <w:rsid w:val="0007763B"/>
    <w:rsid w:val="00080552"/>
    <w:rsid w:val="00080ADE"/>
    <w:rsid w:val="00081616"/>
    <w:rsid w:val="00082FDB"/>
    <w:rsid w:val="000853D4"/>
    <w:rsid w:val="000865AA"/>
    <w:rsid w:val="00087263"/>
    <w:rsid w:val="00091F9C"/>
    <w:rsid w:val="0009776B"/>
    <w:rsid w:val="000A377B"/>
    <w:rsid w:val="000A5467"/>
    <w:rsid w:val="000A6063"/>
    <w:rsid w:val="000B0D84"/>
    <w:rsid w:val="000B2E5D"/>
    <w:rsid w:val="000B2F39"/>
    <w:rsid w:val="000B50B5"/>
    <w:rsid w:val="000B5339"/>
    <w:rsid w:val="000B54E5"/>
    <w:rsid w:val="000C0090"/>
    <w:rsid w:val="000C0C52"/>
    <w:rsid w:val="000C1853"/>
    <w:rsid w:val="000C4394"/>
    <w:rsid w:val="000C4C77"/>
    <w:rsid w:val="000C50AA"/>
    <w:rsid w:val="000D145E"/>
    <w:rsid w:val="000D14E2"/>
    <w:rsid w:val="000D5F5D"/>
    <w:rsid w:val="000D68AC"/>
    <w:rsid w:val="000D7A4D"/>
    <w:rsid w:val="000E0EEC"/>
    <w:rsid w:val="000E168E"/>
    <w:rsid w:val="000E3D86"/>
    <w:rsid w:val="000F0BA4"/>
    <w:rsid w:val="000F1EC4"/>
    <w:rsid w:val="000F29D1"/>
    <w:rsid w:val="000F6152"/>
    <w:rsid w:val="000F6249"/>
    <w:rsid w:val="00100F77"/>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3EFE"/>
    <w:rsid w:val="0014644B"/>
    <w:rsid w:val="00153932"/>
    <w:rsid w:val="001546F5"/>
    <w:rsid w:val="00156082"/>
    <w:rsid w:val="00161D10"/>
    <w:rsid w:val="00164597"/>
    <w:rsid w:val="001675AF"/>
    <w:rsid w:val="00170556"/>
    <w:rsid w:val="00170D87"/>
    <w:rsid w:val="00170E0F"/>
    <w:rsid w:val="00173F5C"/>
    <w:rsid w:val="00174009"/>
    <w:rsid w:val="00175224"/>
    <w:rsid w:val="001767A5"/>
    <w:rsid w:val="00180051"/>
    <w:rsid w:val="00182B07"/>
    <w:rsid w:val="0018460D"/>
    <w:rsid w:val="00186EAB"/>
    <w:rsid w:val="00187ECB"/>
    <w:rsid w:val="001901D0"/>
    <w:rsid w:val="00191B34"/>
    <w:rsid w:val="001925C8"/>
    <w:rsid w:val="00192716"/>
    <w:rsid w:val="00192C2A"/>
    <w:rsid w:val="00193550"/>
    <w:rsid w:val="00194C95"/>
    <w:rsid w:val="0019698F"/>
    <w:rsid w:val="001A54DD"/>
    <w:rsid w:val="001B08C7"/>
    <w:rsid w:val="001B296D"/>
    <w:rsid w:val="001B29C7"/>
    <w:rsid w:val="001B3C85"/>
    <w:rsid w:val="001B501B"/>
    <w:rsid w:val="001B6A93"/>
    <w:rsid w:val="001B745F"/>
    <w:rsid w:val="001D015A"/>
    <w:rsid w:val="001D3DFC"/>
    <w:rsid w:val="001D4EA8"/>
    <w:rsid w:val="001D66D5"/>
    <w:rsid w:val="001D6965"/>
    <w:rsid w:val="001E22F1"/>
    <w:rsid w:val="001E3D5F"/>
    <w:rsid w:val="001E3FBF"/>
    <w:rsid w:val="001E4209"/>
    <w:rsid w:val="001E44AC"/>
    <w:rsid w:val="001E5305"/>
    <w:rsid w:val="001E5D83"/>
    <w:rsid w:val="001E6A39"/>
    <w:rsid w:val="001F045E"/>
    <w:rsid w:val="001F25C4"/>
    <w:rsid w:val="001F2BE0"/>
    <w:rsid w:val="001F353D"/>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7D9"/>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4AC3"/>
    <w:rsid w:val="0024551C"/>
    <w:rsid w:val="0025264B"/>
    <w:rsid w:val="0025428A"/>
    <w:rsid w:val="002542AA"/>
    <w:rsid w:val="00255003"/>
    <w:rsid w:val="00255182"/>
    <w:rsid w:val="00257823"/>
    <w:rsid w:val="00263C8C"/>
    <w:rsid w:val="002645E4"/>
    <w:rsid w:val="002679C9"/>
    <w:rsid w:val="00270DB3"/>
    <w:rsid w:val="00271F07"/>
    <w:rsid w:val="002743F2"/>
    <w:rsid w:val="0027623E"/>
    <w:rsid w:val="00276C5D"/>
    <w:rsid w:val="00281834"/>
    <w:rsid w:val="002831C1"/>
    <w:rsid w:val="00285397"/>
    <w:rsid w:val="0028590C"/>
    <w:rsid w:val="00287D46"/>
    <w:rsid w:val="00290416"/>
    <w:rsid w:val="00295432"/>
    <w:rsid w:val="002A0285"/>
    <w:rsid w:val="002A2A64"/>
    <w:rsid w:val="002A3F19"/>
    <w:rsid w:val="002A6FA3"/>
    <w:rsid w:val="002A7325"/>
    <w:rsid w:val="002B0728"/>
    <w:rsid w:val="002B1317"/>
    <w:rsid w:val="002B47AF"/>
    <w:rsid w:val="002B7DA9"/>
    <w:rsid w:val="002B7F6D"/>
    <w:rsid w:val="002C00F6"/>
    <w:rsid w:val="002C0240"/>
    <w:rsid w:val="002C4A25"/>
    <w:rsid w:val="002C4BCE"/>
    <w:rsid w:val="002C7224"/>
    <w:rsid w:val="002D1619"/>
    <w:rsid w:val="002D20B9"/>
    <w:rsid w:val="002D6D20"/>
    <w:rsid w:val="002E1ABC"/>
    <w:rsid w:val="002E3DC6"/>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2FBA"/>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8A1"/>
    <w:rsid w:val="00396E90"/>
    <w:rsid w:val="003A1549"/>
    <w:rsid w:val="003A285A"/>
    <w:rsid w:val="003A2887"/>
    <w:rsid w:val="003A375A"/>
    <w:rsid w:val="003A43AB"/>
    <w:rsid w:val="003A6435"/>
    <w:rsid w:val="003B0E4E"/>
    <w:rsid w:val="003B0E4F"/>
    <w:rsid w:val="003B3F0C"/>
    <w:rsid w:val="003B4BD8"/>
    <w:rsid w:val="003C0CBE"/>
    <w:rsid w:val="003C2A23"/>
    <w:rsid w:val="003C5664"/>
    <w:rsid w:val="003C59A8"/>
    <w:rsid w:val="003C6F57"/>
    <w:rsid w:val="003C7F98"/>
    <w:rsid w:val="003D157E"/>
    <w:rsid w:val="003D1987"/>
    <w:rsid w:val="003D2162"/>
    <w:rsid w:val="003D47CB"/>
    <w:rsid w:val="003D654E"/>
    <w:rsid w:val="003E0649"/>
    <w:rsid w:val="003E255B"/>
    <w:rsid w:val="003E3701"/>
    <w:rsid w:val="003E5B34"/>
    <w:rsid w:val="003E6537"/>
    <w:rsid w:val="003E70DD"/>
    <w:rsid w:val="003F0CAF"/>
    <w:rsid w:val="003F324C"/>
    <w:rsid w:val="003F40AA"/>
    <w:rsid w:val="003F7018"/>
    <w:rsid w:val="003F79EC"/>
    <w:rsid w:val="0040257E"/>
    <w:rsid w:val="00403729"/>
    <w:rsid w:val="004041EF"/>
    <w:rsid w:val="00404530"/>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2"/>
    <w:rsid w:val="00434FAE"/>
    <w:rsid w:val="00435342"/>
    <w:rsid w:val="004372BB"/>
    <w:rsid w:val="004376B0"/>
    <w:rsid w:val="00445316"/>
    <w:rsid w:val="00445D0A"/>
    <w:rsid w:val="00447FBA"/>
    <w:rsid w:val="004501B9"/>
    <w:rsid w:val="00453558"/>
    <w:rsid w:val="00453CFE"/>
    <w:rsid w:val="00454843"/>
    <w:rsid w:val="004556BB"/>
    <w:rsid w:val="00455F65"/>
    <w:rsid w:val="004578A2"/>
    <w:rsid w:val="00457FFE"/>
    <w:rsid w:val="00460FA7"/>
    <w:rsid w:val="00461BF2"/>
    <w:rsid w:val="004625DF"/>
    <w:rsid w:val="0046273D"/>
    <w:rsid w:val="004627B9"/>
    <w:rsid w:val="00463191"/>
    <w:rsid w:val="004678E9"/>
    <w:rsid w:val="00467E69"/>
    <w:rsid w:val="00471166"/>
    <w:rsid w:val="00473E24"/>
    <w:rsid w:val="00474C76"/>
    <w:rsid w:val="00477DC5"/>
    <w:rsid w:val="00480982"/>
    <w:rsid w:val="00481E79"/>
    <w:rsid w:val="00483C09"/>
    <w:rsid w:val="0048655B"/>
    <w:rsid w:val="00486655"/>
    <w:rsid w:val="0049280D"/>
    <w:rsid w:val="00492BA9"/>
    <w:rsid w:val="004935C2"/>
    <w:rsid w:val="00496374"/>
    <w:rsid w:val="004A40C5"/>
    <w:rsid w:val="004A59C1"/>
    <w:rsid w:val="004A7830"/>
    <w:rsid w:val="004B2DF6"/>
    <w:rsid w:val="004B2FF6"/>
    <w:rsid w:val="004B4E91"/>
    <w:rsid w:val="004B5797"/>
    <w:rsid w:val="004B7412"/>
    <w:rsid w:val="004B7436"/>
    <w:rsid w:val="004C222D"/>
    <w:rsid w:val="004C3DD1"/>
    <w:rsid w:val="004C3F71"/>
    <w:rsid w:val="004D5196"/>
    <w:rsid w:val="004D5CC6"/>
    <w:rsid w:val="004D6DB4"/>
    <w:rsid w:val="004E09B8"/>
    <w:rsid w:val="004E1737"/>
    <w:rsid w:val="004F303D"/>
    <w:rsid w:val="004F38CD"/>
    <w:rsid w:val="004F5D36"/>
    <w:rsid w:val="004F6195"/>
    <w:rsid w:val="00504EBB"/>
    <w:rsid w:val="0050659B"/>
    <w:rsid w:val="005130A9"/>
    <w:rsid w:val="005141D4"/>
    <w:rsid w:val="00514932"/>
    <w:rsid w:val="005153F7"/>
    <w:rsid w:val="00515952"/>
    <w:rsid w:val="005220A8"/>
    <w:rsid w:val="005224C1"/>
    <w:rsid w:val="005231DA"/>
    <w:rsid w:val="00530625"/>
    <w:rsid w:val="0053079B"/>
    <w:rsid w:val="0053153F"/>
    <w:rsid w:val="00531C9F"/>
    <w:rsid w:val="005328D4"/>
    <w:rsid w:val="00533EEB"/>
    <w:rsid w:val="00534AE7"/>
    <w:rsid w:val="005361AF"/>
    <w:rsid w:val="00536822"/>
    <w:rsid w:val="00536954"/>
    <w:rsid w:val="0053728E"/>
    <w:rsid w:val="00540563"/>
    <w:rsid w:val="00540606"/>
    <w:rsid w:val="005411AC"/>
    <w:rsid w:val="00541870"/>
    <w:rsid w:val="005436EC"/>
    <w:rsid w:val="00543DD3"/>
    <w:rsid w:val="00544A37"/>
    <w:rsid w:val="00545971"/>
    <w:rsid w:val="00550147"/>
    <w:rsid w:val="00550AC2"/>
    <w:rsid w:val="00551FDB"/>
    <w:rsid w:val="00554D18"/>
    <w:rsid w:val="00564382"/>
    <w:rsid w:val="00564E3C"/>
    <w:rsid w:val="0056501A"/>
    <w:rsid w:val="00565024"/>
    <w:rsid w:val="00571AD4"/>
    <w:rsid w:val="00573886"/>
    <w:rsid w:val="00573EE2"/>
    <w:rsid w:val="005766D5"/>
    <w:rsid w:val="00577D19"/>
    <w:rsid w:val="00590190"/>
    <w:rsid w:val="005907CD"/>
    <w:rsid w:val="0059586E"/>
    <w:rsid w:val="00597875"/>
    <w:rsid w:val="005A2139"/>
    <w:rsid w:val="005A37E5"/>
    <w:rsid w:val="005A4EB8"/>
    <w:rsid w:val="005A50EB"/>
    <w:rsid w:val="005A5BBA"/>
    <w:rsid w:val="005A5F08"/>
    <w:rsid w:val="005B3143"/>
    <w:rsid w:val="005B31D7"/>
    <w:rsid w:val="005B460E"/>
    <w:rsid w:val="005C0BC2"/>
    <w:rsid w:val="005C150C"/>
    <w:rsid w:val="005C318A"/>
    <w:rsid w:val="005D3285"/>
    <w:rsid w:val="005D52F3"/>
    <w:rsid w:val="005D72AF"/>
    <w:rsid w:val="005D75B2"/>
    <w:rsid w:val="005E1193"/>
    <w:rsid w:val="005E14B1"/>
    <w:rsid w:val="005E5A67"/>
    <w:rsid w:val="005E61BF"/>
    <w:rsid w:val="005E7301"/>
    <w:rsid w:val="005E7865"/>
    <w:rsid w:val="005E7EC0"/>
    <w:rsid w:val="005F2D95"/>
    <w:rsid w:val="005F6BD8"/>
    <w:rsid w:val="005F7E72"/>
    <w:rsid w:val="005F7EAE"/>
    <w:rsid w:val="0060397A"/>
    <w:rsid w:val="0060554F"/>
    <w:rsid w:val="006135FD"/>
    <w:rsid w:val="0061438C"/>
    <w:rsid w:val="006166CE"/>
    <w:rsid w:val="0062060D"/>
    <w:rsid w:val="006218E4"/>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4259"/>
    <w:rsid w:val="00664867"/>
    <w:rsid w:val="00667012"/>
    <w:rsid w:val="00675867"/>
    <w:rsid w:val="006768F0"/>
    <w:rsid w:val="00677078"/>
    <w:rsid w:val="00681F49"/>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1EDF"/>
    <w:rsid w:val="006D1F87"/>
    <w:rsid w:val="006D2B43"/>
    <w:rsid w:val="006D39DF"/>
    <w:rsid w:val="006D65EC"/>
    <w:rsid w:val="006E26DC"/>
    <w:rsid w:val="006E6A2F"/>
    <w:rsid w:val="006E70A0"/>
    <w:rsid w:val="006F32FB"/>
    <w:rsid w:val="006F4298"/>
    <w:rsid w:val="006F66F1"/>
    <w:rsid w:val="006F7641"/>
    <w:rsid w:val="007046C5"/>
    <w:rsid w:val="00704CBA"/>
    <w:rsid w:val="00704D83"/>
    <w:rsid w:val="007052FC"/>
    <w:rsid w:val="00705D83"/>
    <w:rsid w:val="00707E44"/>
    <w:rsid w:val="00710AF5"/>
    <w:rsid w:val="00710E0C"/>
    <w:rsid w:val="007131CE"/>
    <w:rsid w:val="00713AF1"/>
    <w:rsid w:val="00716355"/>
    <w:rsid w:val="0072112C"/>
    <w:rsid w:val="0072112F"/>
    <w:rsid w:val="00724267"/>
    <w:rsid w:val="00725BF5"/>
    <w:rsid w:val="00727B95"/>
    <w:rsid w:val="007320FB"/>
    <w:rsid w:val="007362E3"/>
    <w:rsid w:val="007408D1"/>
    <w:rsid w:val="00741E71"/>
    <w:rsid w:val="00743390"/>
    <w:rsid w:val="00743627"/>
    <w:rsid w:val="00743E6A"/>
    <w:rsid w:val="00744C4D"/>
    <w:rsid w:val="0074636A"/>
    <w:rsid w:val="00750450"/>
    <w:rsid w:val="00753B64"/>
    <w:rsid w:val="007563D8"/>
    <w:rsid w:val="0076114C"/>
    <w:rsid w:val="00762590"/>
    <w:rsid w:val="0076280C"/>
    <w:rsid w:val="007630EF"/>
    <w:rsid w:val="007648F0"/>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D0C39"/>
    <w:rsid w:val="007D14AE"/>
    <w:rsid w:val="007D325D"/>
    <w:rsid w:val="007D6231"/>
    <w:rsid w:val="007E11E7"/>
    <w:rsid w:val="007E3027"/>
    <w:rsid w:val="007E38CD"/>
    <w:rsid w:val="007E5614"/>
    <w:rsid w:val="007E6E9A"/>
    <w:rsid w:val="007E768B"/>
    <w:rsid w:val="007F04C6"/>
    <w:rsid w:val="007F13CC"/>
    <w:rsid w:val="007F2512"/>
    <w:rsid w:val="007F2DE8"/>
    <w:rsid w:val="007F3E94"/>
    <w:rsid w:val="007F4493"/>
    <w:rsid w:val="007F4C72"/>
    <w:rsid w:val="007F5903"/>
    <w:rsid w:val="007F64D9"/>
    <w:rsid w:val="007F71F9"/>
    <w:rsid w:val="008011E7"/>
    <w:rsid w:val="0080323F"/>
    <w:rsid w:val="00805BDB"/>
    <w:rsid w:val="008063BB"/>
    <w:rsid w:val="00812394"/>
    <w:rsid w:val="008123FF"/>
    <w:rsid w:val="0081387C"/>
    <w:rsid w:val="00814072"/>
    <w:rsid w:val="0081474E"/>
    <w:rsid w:val="008171F9"/>
    <w:rsid w:val="008200C4"/>
    <w:rsid w:val="00826BAD"/>
    <w:rsid w:val="0083053E"/>
    <w:rsid w:val="008317A3"/>
    <w:rsid w:val="00831B5E"/>
    <w:rsid w:val="00832F5B"/>
    <w:rsid w:val="00837ECF"/>
    <w:rsid w:val="00841AC4"/>
    <w:rsid w:val="00845A34"/>
    <w:rsid w:val="00850AB7"/>
    <w:rsid w:val="00852192"/>
    <w:rsid w:val="00852BBB"/>
    <w:rsid w:val="00856806"/>
    <w:rsid w:val="00856D3C"/>
    <w:rsid w:val="00857BC8"/>
    <w:rsid w:val="00860609"/>
    <w:rsid w:val="00863360"/>
    <w:rsid w:val="00863FC3"/>
    <w:rsid w:val="0087199F"/>
    <w:rsid w:val="00871CBD"/>
    <w:rsid w:val="00874C1A"/>
    <w:rsid w:val="00877EBC"/>
    <w:rsid w:val="00880B97"/>
    <w:rsid w:val="00881800"/>
    <w:rsid w:val="00883A3E"/>
    <w:rsid w:val="008845ED"/>
    <w:rsid w:val="0088579E"/>
    <w:rsid w:val="00885B2F"/>
    <w:rsid w:val="008875C1"/>
    <w:rsid w:val="00891E25"/>
    <w:rsid w:val="008926E5"/>
    <w:rsid w:val="008926F3"/>
    <w:rsid w:val="008953F0"/>
    <w:rsid w:val="008972CE"/>
    <w:rsid w:val="008A04D3"/>
    <w:rsid w:val="008A0B01"/>
    <w:rsid w:val="008A0BD0"/>
    <w:rsid w:val="008A4116"/>
    <w:rsid w:val="008A60F1"/>
    <w:rsid w:val="008B2EEE"/>
    <w:rsid w:val="008B30CD"/>
    <w:rsid w:val="008B3925"/>
    <w:rsid w:val="008B4E8C"/>
    <w:rsid w:val="008B4F0F"/>
    <w:rsid w:val="008C000E"/>
    <w:rsid w:val="008C04FA"/>
    <w:rsid w:val="008C1620"/>
    <w:rsid w:val="008C1795"/>
    <w:rsid w:val="008C2254"/>
    <w:rsid w:val="008C3938"/>
    <w:rsid w:val="008C3A59"/>
    <w:rsid w:val="008C4B0D"/>
    <w:rsid w:val="008D33FC"/>
    <w:rsid w:val="008E1286"/>
    <w:rsid w:val="008E19F3"/>
    <w:rsid w:val="008E1F4A"/>
    <w:rsid w:val="008E694A"/>
    <w:rsid w:val="008E79E2"/>
    <w:rsid w:val="008F08A1"/>
    <w:rsid w:val="008F0C4A"/>
    <w:rsid w:val="008F1824"/>
    <w:rsid w:val="008F2AEC"/>
    <w:rsid w:val="008F36CB"/>
    <w:rsid w:val="008F3C6D"/>
    <w:rsid w:val="008F6AAF"/>
    <w:rsid w:val="00901DB4"/>
    <w:rsid w:val="00901E1F"/>
    <w:rsid w:val="0090292E"/>
    <w:rsid w:val="0090656A"/>
    <w:rsid w:val="009066E9"/>
    <w:rsid w:val="00906E67"/>
    <w:rsid w:val="0091135A"/>
    <w:rsid w:val="009144B1"/>
    <w:rsid w:val="00915ADA"/>
    <w:rsid w:val="00916B03"/>
    <w:rsid w:val="00920391"/>
    <w:rsid w:val="0092097A"/>
    <w:rsid w:val="00921003"/>
    <w:rsid w:val="009222C9"/>
    <w:rsid w:val="009228CF"/>
    <w:rsid w:val="0092416B"/>
    <w:rsid w:val="00925499"/>
    <w:rsid w:val="00930569"/>
    <w:rsid w:val="00931F18"/>
    <w:rsid w:val="00932625"/>
    <w:rsid w:val="009343CC"/>
    <w:rsid w:val="009344C2"/>
    <w:rsid w:val="00934B3E"/>
    <w:rsid w:val="00934CD7"/>
    <w:rsid w:val="00935CE8"/>
    <w:rsid w:val="009412B0"/>
    <w:rsid w:val="00944750"/>
    <w:rsid w:val="00944E57"/>
    <w:rsid w:val="009462A7"/>
    <w:rsid w:val="0094645B"/>
    <w:rsid w:val="0094705C"/>
    <w:rsid w:val="00954814"/>
    <w:rsid w:val="00957739"/>
    <w:rsid w:val="00957B41"/>
    <w:rsid w:val="009631E0"/>
    <w:rsid w:val="009649D2"/>
    <w:rsid w:val="009660BD"/>
    <w:rsid w:val="009674F1"/>
    <w:rsid w:val="009750FA"/>
    <w:rsid w:val="009771E2"/>
    <w:rsid w:val="009771E6"/>
    <w:rsid w:val="00977540"/>
    <w:rsid w:val="009834E2"/>
    <w:rsid w:val="00983BFD"/>
    <w:rsid w:val="00985DC8"/>
    <w:rsid w:val="009917AF"/>
    <w:rsid w:val="009A0029"/>
    <w:rsid w:val="009A4FC0"/>
    <w:rsid w:val="009A52BA"/>
    <w:rsid w:val="009A63A0"/>
    <w:rsid w:val="009A69B1"/>
    <w:rsid w:val="009A700C"/>
    <w:rsid w:val="009B1D25"/>
    <w:rsid w:val="009C0ECA"/>
    <w:rsid w:val="009C16D4"/>
    <w:rsid w:val="009C45BA"/>
    <w:rsid w:val="009C7948"/>
    <w:rsid w:val="009C79BD"/>
    <w:rsid w:val="009D01A2"/>
    <w:rsid w:val="009D1D17"/>
    <w:rsid w:val="009D2197"/>
    <w:rsid w:val="009D24BB"/>
    <w:rsid w:val="009D44DD"/>
    <w:rsid w:val="009D64B2"/>
    <w:rsid w:val="009D729E"/>
    <w:rsid w:val="009D7493"/>
    <w:rsid w:val="009E233F"/>
    <w:rsid w:val="009E24B0"/>
    <w:rsid w:val="009E2575"/>
    <w:rsid w:val="009E317D"/>
    <w:rsid w:val="009E31C0"/>
    <w:rsid w:val="009E3B52"/>
    <w:rsid w:val="009E5992"/>
    <w:rsid w:val="009F2CB2"/>
    <w:rsid w:val="009F342D"/>
    <w:rsid w:val="009F3DA2"/>
    <w:rsid w:val="009F59EE"/>
    <w:rsid w:val="009F6CFC"/>
    <w:rsid w:val="00A008B8"/>
    <w:rsid w:val="00A00D89"/>
    <w:rsid w:val="00A04BAE"/>
    <w:rsid w:val="00A04EC0"/>
    <w:rsid w:val="00A069E2"/>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1C39"/>
    <w:rsid w:val="00A350E5"/>
    <w:rsid w:val="00A36CBA"/>
    <w:rsid w:val="00A36D79"/>
    <w:rsid w:val="00A3783E"/>
    <w:rsid w:val="00A41EA4"/>
    <w:rsid w:val="00A43785"/>
    <w:rsid w:val="00A43AC5"/>
    <w:rsid w:val="00A44FE0"/>
    <w:rsid w:val="00A4618A"/>
    <w:rsid w:val="00A500F9"/>
    <w:rsid w:val="00A50D03"/>
    <w:rsid w:val="00A522F5"/>
    <w:rsid w:val="00A53799"/>
    <w:rsid w:val="00A551C6"/>
    <w:rsid w:val="00A55209"/>
    <w:rsid w:val="00A566B1"/>
    <w:rsid w:val="00A61269"/>
    <w:rsid w:val="00A624BA"/>
    <w:rsid w:val="00A64F9A"/>
    <w:rsid w:val="00A672BC"/>
    <w:rsid w:val="00A712B2"/>
    <w:rsid w:val="00A720B2"/>
    <w:rsid w:val="00A74214"/>
    <w:rsid w:val="00A7796E"/>
    <w:rsid w:val="00A812F9"/>
    <w:rsid w:val="00A86544"/>
    <w:rsid w:val="00A879DE"/>
    <w:rsid w:val="00A9085F"/>
    <w:rsid w:val="00A92C95"/>
    <w:rsid w:val="00A93A25"/>
    <w:rsid w:val="00A95A73"/>
    <w:rsid w:val="00AA0920"/>
    <w:rsid w:val="00AA3055"/>
    <w:rsid w:val="00AA469A"/>
    <w:rsid w:val="00AA5141"/>
    <w:rsid w:val="00AA6E6D"/>
    <w:rsid w:val="00AA715C"/>
    <w:rsid w:val="00AA7977"/>
    <w:rsid w:val="00AA79D9"/>
    <w:rsid w:val="00AB0126"/>
    <w:rsid w:val="00AB50FF"/>
    <w:rsid w:val="00AB6239"/>
    <w:rsid w:val="00AC4BEC"/>
    <w:rsid w:val="00AC57BB"/>
    <w:rsid w:val="00AC614D"/>
    <w:rsid w:val="00AD0323"/>
    <w:rsid w:val="00AD1F39"/>
    <w:rsid w:val="00AD4295"/>
    <w:rsid w:val="00AD4BC3"/>
    <w:rsid w:val="00AD647D"/>
    <w:rsid w:val="00AE02FD"/>
    <w:rsid w:val="00AE267B"/>
    <w:rsid w:val="00AE2698"/>
    <w:rsid w:val="00AE313F"/>
    <w:rsid w:val="00AE34F4"/>
    <w:rsid w:val="00AF042F"/>
    <w:rsid w:val="00AF412F"/>
    <w:rsid w:val="00B00C49"/>
    <w:rsid w:val="00B01601"/>
    <w:rsid w:val="00B0200B"/>
    <w:rsid w:val="00B03105"/>
    <w:rsid w:val="00B03461"/>
    <w:rsid w:val="00B0766F"/>
    <w:rsid w:val="00B07F42"/>
    <w:rsid w:val="00B10787"/>
    <w:rsid w:val="00B11974"/>
    <w:rsid w:val="00B12CF8"/>
    <w:rsid w:val="00B13035"/>
    <w:rsid w:val="00B225A2"/>
    <w:rsid w:val="00B244B9"/>
    <w:rsid w:val="00B24559"/>
    <w:rsid w:val="00B27020"/>
    <w:rsid w:val="00B27178"/>
    <w:rsid w:val="00B310C3"/>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AF0"/>
    <w:rsid w:val="00B72C6B"/>
    <w:rsid w:val="00B72E16"/>
    <w:rsid w:val="00B73012"/>
    <w:rsid w:val="00B83D7B"/>
    <w:rsid w:val="00B85620"/>
    <w:rsid w:val="00B91131"/>
    <w:rsid w:val="00B94E88"/>
    <w:rsid w:val="00B95BB2"/>
    <w:rsid w:val="00B95EBA"/>
    <w:rsid w:val="00B97151"/>
    <w:rsid w:val="00BA037E"/>
    <w:rsid w:val="00BA04AB"/>
    <w:rsid w:val="00BA23D8"/>
    <w:rsid w:val="00BA35C9"/>
    <w:rsid w:val="00BA3EE0"/>
    <w:rsid w:val="00BA786D"/>
    <w:rsid w:val="00BB0AA7"/>
    <w:rsid w:val="00BB4D49"/>
    <w:rsid w:val="00BB537C"/>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4A23"/>
    <w:rsid w:val="00BE7068"/>
    <w:rsid w:val="00BE768F"/>
    <w:rsid w:val="00C03192"/>
    <w:rsid w:val="00C06684"/>
    <w:rsid w:val="00C10C80"/>
    <w:rsid w:val="00C11CD5"/>
    <w:rsid w:val="00C22046"/>
    <w:rsid w:val="00C23E32"/>
    <w:rsid w:val="00C251C4"/>
    <w:rsid w:val="00C266F9"/>
    <w:rsid w:val="00C27759"/>
    <w:rsid w:val="00C314C1"/>
    <w:rsid w:val="00C31917"/>
    <w:rsid w:val="00C37B8E"/>
    <w:rsid w:val="00C40571"/>
    <w:rsid w:val="00C40D7F"/>
    <w:rsid w:val="00C41741"/>
    <w:rsid w:val="00C41DD9"/>
    <w:rsid w:val="00C427DA"/>
    <w:rsid w:val="00C42C49"/>
    <w:rsid w:val="00C42FAF"/>
    <w:rsid w:val="00C47FE5"/>
    <w:rsid w:val="00C521D9"/>
    <w:rsid w:val="00C52C56"/>
    <w:rsid w:val="00C56053"/>
    <w:rsid w:val="00C568FB"/>
    <w:rsid w:val="00C56D0A"/>
    <w:rsid w:val="00C7063D"/>
    <w:rsid w:val="00C71320"/>
    <w:rsid w:val="00C7255C"/>
    <w:rsid w:val="00C72FDA"/>
    <w:rsid w:val="00C734F1"/>
    <w:rsid w:val="00C73AA7"/>
    <w:rsid w:val="00C73DAB"/>
    <w:rsid w:val="00C76BF4"/>
    <w:rsid w:val="00C76F3B"/>
    <w:rsid w:val="00C85569"/>
    <w:rsid w:val="00C863A3"/>
    <w:rsid w:val="00C864DC"/>
    <w:rsid w:val="00C866E4"/>
    <w:rsid w:val="00C90075"/>
    <w:rsid w:val="00C915B4"/>
    <w:rsid w:val="00C92177"/>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C3679"/>
    <w:rsid w:val="00CC721B"/>
    <w:rsid w:val="00CD18B3"/>
    <w:rsid w:val="00CD2C10"/>
    <w:rsid w:val="00CD3324"/>
    <w:rsid w:val="00CD5FBC"/>
    <w:rsid w:val="00CD6162"/>
    <w:rsid w:val="00CE3B40"/>
    <w:rsid w:val="00CE4309"/>
    <w:rsid w:val="00CE5DBB"/>
    <w:rsid w:val="00CE6C6E"/>
    <w:rsid w:val="00CF42B9"/>
    <w:rsid w:val="00CF580B"/>
    <w:rsid w:val="00CF7819"/>
    <w:rsid w:val="00D01832"/>
    <w:rsid w:val="00D033AD"/>
    <w:rsid w:val="00D04527"/>
    <w:rsid w:val="00D201A6"/>
    <w:rsid w:val="00D21C96"/>
    <w:rsid w:val="00D30854"/>
    <w:rsid w:val="00D31127"/>
    <w:rsid w:val="00D33134"/>
    <w:rsid w:val="00D366B5"/>
    <w:rsid w:val="00D4052C"/>
    <w:rsid w:val="00D43328"/>
    <w:rsid w:val="00D43DD3"/>
    <w:rsid w:val="00D447AC"/>
    <w:rsid w:val="00D4538C"/>
    <w:rsid w:val="00D4539F"/>
    <w:rsid w:val="00D458F0"/>
    <w:rsid w:val="00D45D3C"/>
    <w:rsid w:val="00D472C6"/>
    <w:rsid w:val="00D5079D"/>
    <w:rsid w:val="00D50B73"/>
    <w:rsid w:val="00D535DF"/>
    <w:rsid w:val="00D54957"/>
    <w:rsid w:val="00D55BD2"/>
    <w:rsid w:val="00D57CA6"/>
    <w:rsid w:val="00D6041B"/>
    <w:rsid w:val="00D60D98"/>
    <w:rsid w:val="00D61018"/>
    <w:rsid w:val="00D6265B"/>
    <w:rsid w:val="00D66D12"/>
    <w:rsid w:val="00D6773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690A"/>
    <w:rsid w:val="00DA073A"/>
    <w:rsid w:val="00DA08E6"/>
    <w:rsid w:val="00DA244F"/>
    <w:rsid w:val="00DA441B"/>
    <w:rsid w:val="00DA50BA"/>
    <w:rsid w:val="00DA5330"/>
    <w:rsid w:val="00DA55A8"/>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68B5"/>
    <w:rsid w:val="00DD7FC1"/>
    <w:rsid w:val="00DE62D6"/>
    <w:rsid w:val="00DE7740"/>
    <w:rsid w:val="00DF0000"/>
    <w:rsid w:val="00DF020C"/>
    <w:rsid w:val="00DF05CC"/>
    <w:rsid w:val="00DF16F7"/>
    <w:rsid w:val="00DF4BD2"/>
    <w:rsid w:val="00DF5A2C"/>
    <w:rsid w:val="00DF7709"/>
    <w:rsid w:val="00DF7D1B"/>
    <w:rsid w:val="00E003F9"/>
    <w:rsid w:val="00E00DC6"/>
    <w:rsid w:val="00E01A0A"/>
    <w:rsid w:val="00E02B4A"/>
    <w:rsid w:val="00E058A3"/>
    <w:rsid w:val="00E06422"/>
    <w:rsid w:val="00E11439"/>
    <w:rsid w:val="00E151F3"/>
    <w:rsid w:val="00E161C6"/>
    <w:rsid w:val="00E17539"/>
    <w:rsid w:val="00E17D0C"/>
    <w:rsid w:val="00E21CDE"/>
    <w:rsid w:val="00E225BA"/>
    <w:rsid w:val="00E2483C"/>
    <w:rsid w:val="00E26CF0"/>
    <w:rsid w:val="00E30987"/>
    <w:rsid w:val="00E31346"/>
    <w:rsid w:val="00E33BF5"/>
    <w:rsid w:val="00E35966"/>
    <w:rsid w:val="00E36C23"/>
    <w:rsid w:val="00E376F8"/>
    <w:rsid w:val="00E40550"/>
    <w:rsid w:val="00E40650"/>
    <w:rsid w:val="00E409BF"/>
    <w:rsid w:val="00E4121F"/>
    <w:rsid w:val="00E41C99"/>
    <w:rsid w:val="00E423B5"/>
    <w:rsid w:val="00E4267D"/>
    <w:rsid w:val="00E4313E"/>
    <w:rsid w:val="00E43F59"/>
    <w:rsid w:val="00E448C8"/>
    <w:rsid w:val="00E45D9D"/>
    <w:rsid w:val="00E461E4"/>
    <w:rsid w:val="00E47FF9"/>
    <w:rsid w:val="00E518BB"/>
    <w:rsid w:val="00E56A60"/>
    <w:rsid w:val="00E57F9B"/>
    <w:rsid w:val="00E65A9A"/>
    <w:rsid w:val="00E6726D"/>
    <w:rsid w:val="00E76043"/>
    <w:rsid w:val="00E77BCA"/>
    <w:rsid w:val="00E81433"/>
    <w:rsid w:val="00E81C95"/>
    <w:rsid w:val="00E8372E"/>
    <w:rsid w:val="00E84B41"/>
    <w:rsid w:val="00E852A3"/>
    <w:rsid w:val="00E93958"/>
    <w:rsid w:val="00E968DA"/>
    <w:rsid w:val="00EA01CC"/>
    <w:rsid w:val="00EA0A92"/>
    <w:rsid w:val="00EA0C1C"/>
    <w:rsid w:val="00EA3819"/>
    <w:rsid w:val="00EA477A"/>
    <w:rsid w:val="00EA4F68"/>
    <w:rsid w:val="00EA57EB"/>
    <w:rsid w:val="00EA674F"/>
    <w:rsid w:val="00EB1036"/>
    <w:rsid w:val="00EB4746"/>
    <w:rsid w:val="00EB4785"/>
    <w:rsid w:val="00EB48E6"/>
    <w:rsid w:val="00EB716B"/>
    <w:rsid w:val="00EC3BED"/>
    <w:rsid w:val="00EC72E9"/>
    <w:rsid w:val="00EC7BC1"/>
    <w:rsid w:val="00EC7F0E"/>
    <w:rsid w:val="00ED1BBB"/>
    <w:rsid w:val="00ED2D1F"/>
    <w:rsid w:val="00ED47B9"/>
    <w:rsid w:val="00ED58E9"/>
    <w:rsid w:val="00ED79D6"/>
    <w:rsid w:val="00EE1831"/>
    <w:rsid w:val="00EE3451"/>
    <w:rsid w:val="00EE3C70"/>
    <w:rsid w:val="00EE63BE"/>
    <w:rsid w:val="00EE6922"/>
    <w:rsid w:val="00EE6E06"/>
    <w:rsid w:val="00EE6F99"/>
    <w:rsid w:val="00EF0284"/>
    <w:rsid w:val="00EF18D9"/>
    <w:rsid w:val="00EF1AE7"/>
    <w:rsid w:val="00EF2F7C"/>
    <w:rsid w:val="00EF318B"/>
    <w:rsid w:val="00EF6D8C"/>
    <w:rsid w:val="00F01A8D"/>
    <w:rsid w:val="00F01BFC"/>
    <w:rsid w:val="00F02356"/>
    <w:rsid w:val="00F02D95"/>
    <w:rsid w:val="00F101B3"/>
    <w:rsid w:val="00F10A3C"/>
    <w:rsid w:val="00F13FDA"/>
    <w:rsid w:val="00F14982"/>
    <w:rsid w:val="00F14B6E"/>
    <w:rsid w:val="00F20B64"/>
    <w:rsid w:val="00F20D55"/>
    <w:rsid w:val="00F210E1"/>
    <w:rsid w:val="00F21D05"/>
    <w:rsid w:val="00F250B8"/>
    <w:rsid w:val="00F253CD"/>
    <w:rsid w:val="00F25676"/>
    <w:rsid w:val="00F2598D"/>
    <w:rsid w:val="00F259AE"/>
    <w:rsid w:val="00F30F02"/>
    <w:rsid w:val="00F311EB"/>
    <w:rsid w:val="00F31B7E"/>
    <w:rsid w:val="00F336A2"/>
    <w:rsid w:val="00F33826"/>
    <w:rsid w:val="00F33D58"/>
    <w:rsid w:val="00F34E7C"/>
    <w:rsid w:val="00F3561E"/>
    <w:rsid w:val="00F36EC6"/>
    <w:rsid w:val="00F4229F"/>
    <w:rsid w:val="00F43A8C"/>
    <w:rsid w:val="00F44AEB"/>
    <w:rsid w:val="00F45620"/>
    <w:rsid w:val="00F465B7"/>
    <w:rsid w:val="00F46BBD"/>
    <w:rsid w:val="00F479A2"/>
    <w:rsid w:val="00F51B95"/>
    <w:rsid w:val="00F5432C"/>
    <w:rsid w:val="00F5470D"/>
    <w:rsid w:val="00F5611C"/>
    <w:rsid w:val="00F56253"/>
    <w:rsid w:val="00F637FB"/>
    <w:rsid w:val="00F640A4"/>
    <w:rsid w:val="00F65F8D"/>
    <w:rsid w:val="00F66B41"/>
    <w:rsid w:val="00F712AB"/>
    <w:rsid w:val="00F77D7D"/>
    <w:rsid w:val="00F800F5"/>
    <w:rsid w:val="00F80CD0"/>
    <w:rsid w:val="00F82DDB"/>
    <w:rsid w:val="00F838FF"/>
    <w:rsid w:val="00F83CDB"/>
    <w:rsid w:val="00F8401D"/>
    <w:rsid w:val="00F8771B"/>
    <w:rsid w:val="00F87E05"/>
    <w:rsid w:val="00F90003"/>
    <w:rsid w:val="00F9173C"/>
    <w:rsid w:val="00F94180"/>
    <w:rsid w:val="00F95752"/>
    <w:rsid w:val="00FA04F3"/>
    <w:rsid w:val="00FA1C73"/>
    <w:rsid w:val="00FA3302"/>
    <w:rsid w:val="00FA69C2"/>
    <w:rsid w:val="00FA6B22"/>
    <w:rsid w:val="00FA6E63"/>
    <w:rsid w:val="00FA73E5"/>
    <w:rsid w:val="00FB18D0"/>
    <w:rsid w:val="00FB2ED6"/>
    <w:rsid w:val="00FB3309"/>
    <w:rsid w:val="00FB53F1"/>
    <w:rsid w:val="00FB65BA"/>
    <w:rsid w:val="00FC0973"/>
    <w:rsid w:val="00FC2216"/>
    <w:rsid w:val="00FC23FE"/>
    <w:rsid w:val="00FC2522"/>
    <w:rsid w:val="00FC309B"/>
    <w:rsid w:val="00FC5B56"/>
    <w:rsid w:val="00FC7D97"/>
    <w:rsid w:val="00FC7DA9"/>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151334288">
      <w:bodyDiv w:val="1"/>
      <w:marLeft w:val="0"/>
      <w:marRight w:val="0"/>
      <w:marTop w:val="0"/>
      <w:marBottom w:val="0"/>
      <w:divBdr>
        <w:top w:val="none" w:sz="0" w:space="0" w:color="auto"/>
        <w:left w:val="none" w:sz="0" w:space="0" w:color="auto"/>
        <w:bottom w:val="none" w:sz="0" w:space="0" w:color="auto"/>
        <w:right w:val="none" w:sz="0" w:space="0" w:color="auto"/>
      </w:divBdr>
    </w:div>
    <w:div w:id="181625473">
      <w:bodyDiv w:val="1"/>
      <w:marLeft w:val="0"/>
      <w:marRight w:val="0"/>
      <w:marTop w:val="0"/>
      <w:marBottom w:val="0"/>
      <w:divBdr>
        <w:top w:val="none" w:sz="0" w:space="0" w:color="auto"/>
        <w:left w:val="none" w:sz="0" w:space="0" w:color="auto"/>
        <w:bottom w:val="none" w:sz="0" w:space="0" w:color="auto"/>
        <w:right w:val="none" w:sz="0" w:space="0" w:color="auto"/>
      </w:divBdr>
      <w:divsChild>
        <w:div w:id="1740320161">
          <w:marLeft w:val="0"/>
          <w:marRight w:val="0"/>
          <w:marTop w:val="0"/>
          <w:marBottom w:val="0"/>
          <w:divBdr>
            <w:top w:val="none" w:sz="0" w:space="0" w:color="auto"/>
            <w:left w:val="none" w:sz="0" w:space="0" w:color="auto"/>
            <w:bottom w:val="none" w:sz="0" w:space="0" w:color="auto"/>
            <w:right w:val="none" w:sz="0" w:space="0" w:color="auto"/>
          </w:divBdr>
          <w:divsChild>
            <w:div w:id="1151946120">
              <w:marLeft w:val="0"/>
              <w:marRight w:val="0"/>
              <w:marTop w:val="0"/>
              <w:marBottom w:val="0"/>
              <w:divBdr>
                <w:top w:val="none" w:sz="0" w:space="0" w:color="auto"/>
                <w:left w:val="none" w:sz="0" w:space="0" w:color="auto"/>
                <w:bottom w:val="none" w:sz="0" w:space="0" w:color="auto"/>
                <w:right w:val="none" w:sz="0" w:space="0" w:color="auto"/>
              </w:divBdr>
              <w:divsChild>
                <w:div w:id="25453510">
                  <w:marLeft w:val="0"/>
                  <w:marRight w:val="0"/>
                  <w:marTop w:val="0"/>
                  <w:marBottom w:val="0"/>
                  <w:divBdr>
                    <w:top w:val="none" w:sz="0" w:space="0" w:color="auto"/>
                    <w:left w:val="none" w:sz="0" w:space="0" w:color="auto"/>
                    <w:bottom w:val="none" w:sz="0" w:space="0" w:color="auto"/>
                    <w:right w:val="none" w:sz="0" w:space="0" w:color="auto"/>
                  </w:divBdr>
                  <w:divsChild>
                    <w:div w:id="1540241522">
                      <w:marLeft w:val="0"/>
                      <w:marRight w:val="0"/>
                      <w:marTop w:val="0"/>
                      <w:marBottom w:val="0"/>
                      <w:divBdr>
                        <w:top w:val="none" w:sz="0" w:space="0" w:color="auto"/>
                        <w:left w:val="none" w:sz="0" w:space="0" w:color="auto"/>
                        <w:bottom w:val="none" w:sz="0" w:space="0" w:color="auto"/>
                        <w:right w:val="none" w:sz="0" w:space="0" w:color="auto"/>
                      </w:divBdr>
                      <w:divsChild>
                        <w:div w:id="776369963">
                          <w:marLeft w:val="0"/>
                          <w:marRight w:val="0"/>
                          <w:marTop w:val="0"/>
                          <w:marBottom w:val="0"/>
                          <w:divBdr>
                            <w:top w:val="none" w:sz="0" w:space="0" w:color="auto"/>
                            <w:left w:val="none" w:sz="0" w:space="0" w:color="auto"/>
                            <w:bottom w:val="none" w:sz="0" w:space="0" w:color="auto"/>
                            <w:right w:val="none" w:sz="0" w:space="0" w:color="auto"/>
                          </w:divBdr>
                          <w:divsChild>
                            <w:div w:id="19177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1425086">
      <w:bodyDiv w:val="1"/>
      <w:marLeft w:val="0"/>
      <w:marRight w:val="0"/>
      <w:marTop w:val="0"/>
      <w:marBottom w:val="0"/>
      <w:divBdr>
        <w:top w:val="none" w:sz="0" w:space="0" w:color="auto"/>
        <w:left w:val="none" w:sz="0" w:space="0" w:color="auto"/>
        <w:bottom w:val="none" w:sz="0" w:space="0" w:color="auto"/>
        <w:right w:val="none" w:sz="0" w:space="0" w:color="auto"/>
      </w:divBdr>
    </w:div>
    <w:div w:id="235557152">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48380583">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738724">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400832100">
          <w:marLeft w:val="0"/>
          <w:marRight w:val="0"/>
          <w:marTop w:val="0"/>
          <w:marBottom w:val="0"/>
          <w:divBdr>
            <w:top w:val="none" w:sz="0" w:space="0" w:color="auto"/>
            <w:left w:val="none" w:sz="0" w:space="0" w:color="auto"/>
            <w:bottom w:val="none" w:sz="0" w:space="0" w:color="auto"/>
            <w:right w:val="none" w:sz="0" w:space="0" w:color="auto"/>
          </w:divBdr>
          <w:divsChild>
            <w:div w:id="446974766">
              <w:marLeft w:val="0"/>
              <w:marRight w:val="0"/>
              <w:marTop w:val="0"/>
              <w:marBottom w:val="0"/>
              <w:divBdr>
                <w:top w:val="none" w:sz="0" w:space="0" w:color="auto"/>
                <w:left w:val="none" w:sz="0" w:space="0" w:color="auto"/>
                <w:bottom w:val="none" w:sz="0" w:space="0" w:color="auto"/>
                <w:right w:val="none" w:sz="0" w:space="0" w:color="auto"/>
              </w:divBdr>
              <w:divsChild>
                <w:div w:id="113598995">
                  <w:marLeft w:val="0"/>
                  <w:marRight w:val="0"/>
                  <w:marTop w:val="0"/>
                  <w:marBottom w:val="0"/>
                  <w:divBdr>
                    <w:top w:val="none" w:sz="0" w:space="0" w:color="auto"/>
                    <w:left w:val="none" w:sz="0" w:space="0" w:color="auto"/>
                    <w:bottom w:val="none" w:sz="0" w:space="0" w:color="auto"/>
                    <w:right w:val="none" w:sz="0" w:space="0" w:color="auto"/>
                  </w:divBdr>
                  <w:divsChild>
                    <w:div w:id="1244342809">
                      <w:marLeft w:val="0"/>
                      <w:marRight w:val="0"/>
                      <w:marTop w:val="0"/>
                      <w:marBottom w:val="0"/>
                      <w:divBdr>
                        <w:top w:val="none" w:sz="0" w:space="0" w:color="auto"/>
                        <w:left w:val="none" w:sz="0" w:space="0" w:color="auto"/>
                        <w:bottom w:val="none" w:sz="0" w:space="0" w:color="auto"/>
                        <w:right w:val="none" w:sz="0" w:space="0" w:color="auto"/>
                      </w:divBdr>
                      <w:divsChild>
                        <w:div w:id="617759047">
                          <w:marLeft w:val="0"/>
                          <w:marRight w:val="0"/>
                          <w:marTop w:val="0"/>
                          <w:marBottom w:val="0"/>
                          <w:divBdr>
                            <w:top w:val="none" w:sz="0" w:space="0" w:color="auto"/>
                            <w:left w:val="none" w:sz="0" w:space="0" w:color="auto"/>
                            <w:bottom w:val="none" w:sz="0" w:space="0" w:color="auto"/>
                            <w:right w:val="none" w:sz="0" w:space="0" w:color="auto"/>
                          </w:divBdr>
                          <w:divsChild>
                            <w:div w:id="833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6420">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lenka.kuzel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3F2D7-03A1-4AE1-9DF1-5215B4DBA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Pages>
  <Words>992</Words>
  <Characters>5859</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10</cp:revision>
  <dcterms:created xsi:type="dcterms:W3CDTF">2025-05-05T09:26:00Z</dcterms:created>
  <dcterms:modified xsi:type="dcterms:W3CDTF">2025-05-15T06:37:00Z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