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14DBE9" w14:textId="6E0639B0" w:rsidR="00677C07" w:rsidRDefault="00677C07">
      <w:pPr>
        <w:rPr>
          <w:highlight w:val="yellow"/>
        </w:rPr>
      </w:pPr>
    </w:p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p w14:paraId="7ED014A1" w14:textId="55F827D2" w:rsidR="00D80B6D" w:rsidRPr="00B346ED" w:rsidRDefault="00D80B6D" w:rsidP="00B346ED">
          <w:pPr>
            <w:rPr>
              <w:highlight w:val="yellow"/>
            </w:rPr>
          </w:pPr>
        </w:p>
        <w:p w14:paraId="0FB45B67" w14:textId="77777777" w:rsidR="00D80B6D" w:rsidRPr="007443AD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b/>
              <w:sz w:val="24"/>
            </w:rPr>
            <w:t>INDEX HYPOTEČNÍCH ÚVĚRŮ</w:t>
          </w:r>
          <w:r w:rsidRPr="007443AD">
            <w:rPr>
              <w:rFonts w:asciiTheme="minorHAnsi" w:hAnsiTheme="minorHAnsi" w:cstheme="minorHAnsi"/>
              <w:sz w:val="24"/>
            </w:rPr>
            <w:t xml:space="preserve"> | </w:t>
          </w:r>
          <w:r w:rsidRPr="007443AD">
            <w:rPr>
              <w:rFonts w:asciiTheme="minorHAnsi" w:hAnsiTheme="minorHAnsi" w:cstheme="minorHAnsi"/>
              <w:b/>
              <w:sz w:val="24"/>
            </w:rPr>
            <w:t xml:space="preserve">FIXINDEX </w:t>
          </w:r>
        </w:p>
        <w:p w14:paraId="03C4DE47" w14:textId="137DE246" w:rsidR="0009776B" w:rsidRDefault="00D80B6D" w:rsidP="005F65A1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 xml:space="preserve">INDEX PODÍLOVÝCH FONDŮ </w:t>
          </w:r>
        </w:p>
        <w:p w14:paraId="5F5E486E" w14:textId="2A454C45" w:rsidR="004B5B94" w:rsidRPr="007443AD" w:rsidRDefault="004B5B94" w:rsidP="005F65A1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>
            <w:rPr>
              <w:rFonts w:asciiTheme="minorHAnsi" w:hAnsiTheme="minorHAnsi" w:cstheme="minorHAnsi"/>
              <w:sz w:val="24"/>
            </w:rPr>
            <w:t>REALINDEX</w:t>
          </w:r>
        </w:p>
        <w:p w14:paraId="32900BCE" w14:textId="5904F9FC" w:rsidR="00D80B6D" w:rsidRPr="007443AD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>P</w:t>
          </w:r>
          <w:r w:rsidR="005F65A1" w:rsidRPr="007443AD">
            <w:rPr>
              <w:rFonts w:asciiTheme="minorHAnsi" w:hAnsiTheme="minorHAnsi" w:cstheme="minorHAnsi"/>
              <w:sz w:val="24"/>
            </w:rPr>
            <w:t>OV</w:t>
          </w:r>
          <w:r w:rsidRPr="007443AD">
            <w:rPr>
              <w:rFonts w:asciiTheme="minorHAnsi" w:hAnsiTheme="minorHAnsi" w:cstheme="minorHAnsi"/>
              <w:sz w:val="24"/>
            </w:rPr>
            <w:t xml:space="preserve">INDEX </w:t>
          </w:r>
        </w:p>
        <w:p w14:paraId="5B21B8A6" w14:textId="77777777" w:rsidR="00D80B6D" w:rsidRPr="007443AD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 xml:space="preserve">INDEX SPOTŘEBITELSKÝCH ÚVĚRŮ  </w:t>
          </w:r>
        </w:p>
        <w:p w14:paraId="720CCDBB" w14:textId="77777777" w:rsidR="00D80B6D" w:rsidRPr="00D84B7D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40EC1AD5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6B1498C" w14:textId="45784D03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332F57EA" w:rsidR="00D80B6D" w:rsidRPr="00D84B7D" w:rsidRDefault="00B420F4" w:rsidP="00D80B6D">
          <w:pPr>
            <w:pStyle w:val="Zkladntext"/>
            <w:rPr>
              <w:sz w:val="20"/>
              <w:highlight w:val="yellow"/>
            </w:rPr>
          </w:pPr>
          <w:r w:rsidRPr="00D84B7D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765BB4A2">
                <wp:simplePos x="0" y="0"/>
                <wp:positionH relativeFrom="margin">
                  <wp:posOffset>2004402</wp:posOffset>
                </wp:positionH>
                <wp:positionV relativeFrom="paragraph">
                  <wp:posOffset>33752</wp:posOffset>
                </wp:positionV>
                <wp:extent cx="2715895" cy="2537460"/>
                <wp:effectExtent l="0" t="0" r="8255" b="0"/>
                <wp:wrapTight wrapText="bothSides">
                  <wp:wrapPolygon edited="0">
                    <wp:start x="0" y="0"/>
                    <wp:lineTo x="0" y="21405"/>
                    <wp:lineTo x="21514" y="21405"/>
                    <wp:lineTo x="21514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2715895" cy="2537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18EE6C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</w:pPr>
        </w:p>
        <w:p w14:paraId="5193A52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D84B7D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660AEB6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51D468A4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2F2ED302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6C828C12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49B23CF7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7EC9300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1132A3F" w14:textId="5D367D7A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D84B7D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7485CC6" w14:textId="77777777" w:rsidR="00D80B6D" w:rsidRPr="005B7E46" w:rsidRDefault="00D80B6D" w:rsidP="00D80B6D">
          <w:pPr>
            <w:jc w:val="both"/>
            <w:rPr>
              <w:rFonts w:asciiTheme="minorHAnsi" w:hAnsiTheme="minorHAnsi" w:cstheme="minorHAnsi"/>
              <w:sz w:val="20"/>
              <w:szCs w:val="20"/>
            </w:rPr>
          </w:pPr>
        </w:p>
        <w:p w14:paraId="08070DCC" w14:textId="1339148C" w:rsidR="00792EE9" w:rsidRPr="005B7E46" w:rsidRDefault="00792EE9" w:rsidP="00792EE9">
          <w:pPr>
            <w:jc w:val="both"/>
            <w:rPr>
              <w:rStyle w:val="dn"/>
              <w:rFonts w:asciiTheme="minorHAnsi" w:hAnsiTheme="minorHAnsi" w:cstheme="minorHAnsi"/>
              <w:sz w:val="20"/>
              <w:szCs w:val="20"/>
            </w:rPr>
          </w:pPr>
          <w:r w:rsidRPr="005B7E46">
            <w:rPr>
              <w:rFonts w:asciiTheme="minorHAnsi" w:hAnsiTheme="minorHAnsi" w:cstheme="minorHAnsi"/>
              <w:sz w:val="20"/>
              <w:szCs w:val="20"/>
            </w:rPr>
            <w:t>Broker Consulting je jednou z největších společností na českém a slovenském trhu, která poskytuje služby v oblasti financí a realit. Od rok</w:t>
          </w:r>
          <w:r w:rsidR="001734B4">
            <w:rPr>
              <w:rFonts w:asciiTheme="minorHAnsi" w:hAnsiTheme="minorHAnsi" w:cstheme="minorHAnsi"/>
              <w:sz w:val="20"/>
              <w:szCs w:val="20"/>
            </w:rPr>
            <w:t>u 1998 získala důvěru více než 7</w:t>
          </w:r>
          <w:r w:rsidRPr="005B7E46">
            <w:rPr>
              <w:rFonts w:asciiTheme="minorHAnsi" w:hAnsiTheme="minorHAnsi" w:cstheme="minorHAnsi"/>
              <w:sz w:val="20"/>
              <w:szCs w:val="20"/>
            </w:rPr>
            <w:t>00 000 klientů. Poskytuje také služby přes 4 000 firmám. Distribuci služeb zajišťuje přibližně 2 000 konzultantů (profesionální konzultanti, zaměstnanci, konzultanti v zapracování v ČR i SR</w:t>
          </w:r>
          <w:r w:rsidR="00B8133C">
            <w:rPr>
              <w:rFonts w:asciiTheme="minorHAnsi" w:hAnsiTheme="minorHAnsi" w:cstheme="minorHAnsi"/>
              <w:sz w:val="20"/>
              <w:szCs w:val="20"/>
            </w:rPr>
            <w:t>) ve více než 150 kancelářích</w:t>
          </w:r>
          <w:r w:rsidR="00CD6257" w:rsidRPr="005B7E46"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  <w:r w:rsidR="00B8133C">
            <w:rPr>
              <w:rFonts w:asciiTheme="minorHAnsi" w:hAnsiTheme="minorHAnsi" w:cstheme="minorHAnsi"/>
              <w:sz w:val="20"/>
              <w:szCs w:val="20"/>
            </w:rPr>
            <w:t>a na několika desítkách poboček</w:t>
          </w:r>
          <w:r w:rsidR="00B2198E">
            <w:rPr>
              <w:rFonts w:asciiTheme="minorHAnsi" w:hAnsiTheme="minorHAnsi" w:cstheme="minorHAnsi"/>
              <w:sz w:val="20"/>
              <w:szCs w:val="20"/>
            </w:rPr>
            <w:t xml:space="preserve"> Broker Point Premium</w:t>
          </w:r>
          <w:r w:rsidRPr="005B7E46">
            <w:rPr>
              <w:rFonts w:asciiTheme="minorHAnsi" w:hAnsiTheme="minorHAnsi" w:cstheme="minorHAnsi"/>
              <w:sz w:val="20"/>
              <w:szCs w:val="20"/>
            </w:rPr>
            <w:t>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</w:t>
          </w:r>
          <w:r w:rsidR="00B2198E">
            <w:rPr>
              <w:rFonts w:asciiTheme="minorHAnsi" w:hAnsiTheme="minorHAnsi" w:cstheme="minorHAnsi"/>
              <w:sz w:val="20"/>
              <w:szCs w:val="20"/>
            </w:rPr>
            <w:t xml:space="preserve"> služby společně, to je Broker Point Premium</w:t>
          </w:r>
          <w:r w:rsidR="004D6BA6">
            <w:rPr>
              <w:rFonts w:asciiTheme="minorHAnsi" w:hAnsiTheme="minorHAnsi" w:cstheme="minorHAnsi"/>
              <w:sz w:val="20"/>
              <w:szCs w:val="20"/>
            </w:rPr>
            <w:t>,</w:t>
          </w:r>
          <w:r w:rsidR="00961519" w:rsidRPr="00961519"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  <w:r w:rsidR="00961519">
            <w:rPr>
              <w:rFonts w:asciiTheme="minorHAnsi" w:hAnsiTheme="minorHAnsi" w:cstheme="minorHAnsi"/>
              <w:sz w:val="20"/>
              <w:szCs w:val="20"/>
            </w:rPr>
            <w:t xml:space="preserve">jehož přináší společnost Broker Consulting, která za vedení franšízy a její podporu získala ocenění </w:t>
          </w:r>
          <w:r w:rsidR="00961519" w:rsidRPr="00A0680F">
            <w:rPr>
              <w:rFonts w:asciiTheme="minorHAnsi" w:hAnsiTheme="minorHAnsi" w:cstheme="minorHAnsi"/>
              <w:b/>
              <w:color w:val="FF0000"/>
              <w:sz w:val="20"/>
              <w:szCs w:val="20"/>
            </w:rPr>
            <w:t>Franchisor roku 2022</w:t>
          </w:r>
          <w:r w:rsidR="00961519" w:rsidRPr="00A0680F">
            <w:rPr>
              <w:rFonts w:asciiTheme="minorHAnsi" w:hAnsiTheme="minorHAnsi" w:cstheme="minorHAnsi"/>
              <w:color w:val="FF0000"/>
              <w:sz w:val="20"/>
              <w:szCs w:val="20"/>
            </w:rPr>
            <w:t xml:space="preserve"> </w:t>
          </w:r>
          <w:r w:rsidR="00961519">
            <w:rPr>
              <w:rFonts w:asciiTheme="minorHAnsi" w:hAnsiTheme="minorHAnsi" w:cstheme="minorHAnsi"/>
              <w:sz w:val="20"/>
              <w:szCs w:val="20"/>
            </w:rPr>
            <w:t>od České asociace franchisingu</w:t>
          </w:r>
          <w:r w:rsidR="008D373A" w:rsidRPr="005B7E46">
            <w:rPr>
              <w:rFonts w:asciiTheme="minorHAnsi" w:hAnsiTheme="minorHAnsi" w:cstheme="minorHAnsi"/>
              <w:sz w:val="20"/>
              <w:szCs w:val="20"/>
            </w:rPr>
            <w:t xml:space="preserve">. 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Více na </w:t>
          </w:r>
          <w:hyperlink r:id="rId9" w:history="1"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bcas.cz</w:t>
            </w:r>
          </w:hyperlink>
          <w:r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, </w:t>
          </w:r>
          <w:hyperlink r:id="rId10" w:history="1">
            <w:r w:rsidR="00B2198E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brokerpointy</w:t>
            </w:r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.cz</w:t>
            </w:r>
          </w:hyperlink>
          <w:r w:rsidR="007B232E"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, </w:t>
          </w:r>
          <w:r w:rsidR="00B2198E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>brokerpoint</w:t>
          </w:r>
          <w:hyperlink r:id="rId11" w:history="1"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.tv</w:t>
            </w:r>
          </w:hyperlink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a na </w:t>
          </w:r>
          <w:hyperlink r:id="rId12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realityspolu.cz</w:t>
            </w:r>
          </w:hyperlink>
          <w:r w:rsidR="007B232E"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. 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Navštivte také náš </w:t>
          </w:r>
          <w:hyperlink r:id="rId13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Facebook</w:t>
            </w:r>
          </w:hyperlink>
          <w:r w:rsidR="005B7E46"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, </w:t>
          </w:r>
          <w:hyperlink r:id="rId14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LinkedIN</w:t>
            </w:r>
          </w:hyperlink>
          <w:r w:rsidR="005B7E46"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Broker Consulting, Twitter </w:t>
          </w:r>
          <w:r w:rsidR="005B7E46" w:rsidRPr="005B7E46">
            <w:rPr>
              <w:rFonts w:asciiTheme="minorHAnsi" w:hAnsiTheme="minorHAnsi" w:cstheme="minorHAnsi"/>
              <w:sz w:val="20"/>
              <w:szCs w:val="20"/>
              <w:shd w:val="clear" w:color="auto" w:fill="FFFFFF"/>
            </w:rPr>
            <w:t xml:space="preserve">@BC_oficialni, 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hyperlink r:id="rId15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Facebook</w:t>
            </w:r>
          </w:hyperlink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a </w:t>
          </w:r>
          <w:hyperlink r:id="rId16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LinkedI</w:t>
            </w:r>
          </w:hyperlink>
          <w:r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</w:rPr>
            <w:t>N</w:t>
          </w:r>
          <w:r w:rsidR="00B2198E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Broker Point Premium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. </w:t>
          </w:r>
        </w:p>
        <w:p w14:paraId="3F0EC976" w14:textId="3496D289" w:rsidR="00D80B6D" w:rsidRPr="006545F8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6545F8" w:rsidSect="00D80B6D">
              <w:headerReference w:type="default" r:id="rId17"/>
              <w:footerReference w:type="default" r:id="rId18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35539C65" w14:textId="0F6CA0E6" w:rsidR="00D31127" w:rsidRPr="006545F8" w:rsidRDefault="00203A6A" w:rsidP="0025264B">
          <w:pPr>
            <w:rPr>
              <w:rFonts w:ascii="Arial" w:hAnsi="Arial" w:cs="Arial"/>
              <w:sz w:val="20"/>
              <w:szCs w:val="20"/>
              <w:highlight w:val="yellow"/>
            </w:rPr>
            <w:sectPr w:rsidR="00D31127" w:rsidRPr="006545F8" w:rsidSect="00D80B6D">
              <w:headerReference w:type="even" r:id="rId19"/>
              <w:headerReference w:type="default" r:id="rId20"/>
              <w:footerReference w:type="even" r:id="rId21"/>
              <w:footerReference w:type="default" r:id="rId22"/>
              <w:headerReference w:type="first" r:id="rId23"/>
              <w:footerReference w:type="first" r:id="rId24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4518FBBC" w14:textId="77777777" w:rsidR="005D72FA" w:rsidRDefault="005D72FA" w:rsidP="005D72FA">
      <w:pPr>
        <w:ind w:left="360"/>
        <w:jc w:val="center"/>
        <w:rPr>
          <w:rFonts w:ascii="Arial" w:hAnsi="Arial" w:cs="Arial"/>
          <w:b/>
          <w:sz w:val="32"/>
          <w:szCs w:val="32"/>
          <w:lang w:eastAsia="en-US"/>
        </w:rPr>
      </w:pPr>
    </w:p>
    <w:p w14:paraId="379B5149" w14:textId="5BC2AC3E" w:rsidR="005D72FA" w:rsidRPr="005D72FA" w:rsidRDefault="009130B7" w:rsidP="009130B7">
      <w:pPr>
        <w:tabs>
          <w:tab w:val="center" w:pos="5405"/>
          <w:tab w:val="left" w:pos="8906"/>
        </w:tabs>
        <w:ind w:left="360"/>
        <w:rPr>
          <w:rFonts w:ascii="Arial" w:hAnsi="Arial" w:cs="Arial"/>
          <w:b/>
          <w:sz w:val="32"/>
          <w:szCs w:val="32"/>
          <w:lang w:eastAsia="en-US"/>
        </w:rPr>
      </w:pPr>
      <w:r>
        <w:rPr>
          <w:rFonts w:ascii="Arial" w:hAnsi="Arial" w:cs="Arial"/>
          <w:b/>
          <w:sz w:val="32"/>
          <w:szCs w:val="32"/>
          <w:lang w:eastAsia="en-US"/>
        </w:rPr>
        <w:tab/>
      </w:r>
      <w:r w:rsidRPr="009130B7">
        <w:rPr>
          <w:rFonts w:ascii="Arial" w:hAnsi="Arial" w:cs="Arial"/>
          <w:b/>
          <w:sz w:val="32"/>
          <w:szCs w:val="32"/>
          <w:lang w:eastAsia="en-US"/>
        </w:rPr>
        <w:t xml:space="preserve">Hypoteční sazby pokračují </w:t>
      </w:r>
      <w:r w:rsidR="00BF18AC">
        <w:rPr>
          <w:rFonts w:ascii="Arial" w:hAnsi="Arial" w:cs="Arial"/>
          <w:b/>
          <w:sz w:val="32"/>
          <w:szCs w:val="32"/>
          <w:lang w:eastAsia="en-US"/>
        </w:rPr>
        <w:t>trendem</w:t>
      </w:r>
      <w:r w:rsidRPr="009130B7">
        <w:rPr>
          <w:rFonts w:ascii="Arial" w:hAnsi="Arial" w:cs="Arial"/>
          <w:b/>
          <w:sz w:val="32"/>
          <w:szCs w:val="32"/>
          <w:lang w:eastAsia="en-US"/>
        </w:rPr>
        <w:t xml:space="preserve"> mírného poklesu</w:t>
      </w:r>
    </w:p>
    <w:p w14:paraId="7C29715C" w14:textId="6A7E2B51" w:rsidR="000E2BE4" w:rsidRDefault="000E2BE4" w:rsidP="000E2BE4">
      <w:pPr>
        <w:ind w:left="360"/>
        <w:rPr>
          <w:rFonts w:ascii="Arial" w:hAnsi="Arial" w:cs="Arial"/>
          <w:color w:val="1F4E79"/>
          <w:sz w:val="20"/>
          <w:szCs w:val="20"/>
          <w:lang w:eastAsia="en-US"/>
        </w:rPr>
      </w:pPr>
    </w:p>
    <w:p w14:paraId="2418F130" w14:textId="5C8A35A2" w:rsidR="000E2BE4" w:rsidRPr="00715ECC" w:rsidRDefault="000E2BE4" w:rsidP="005D72FA">
      <w:pPr>
        <w:rPr>
          <w:rFonts w:ascii="Arial" w:hAnsi="Arial" w:cs="Arial"/>
          <w:sz w:val="20"/>
          <w:szCs w:val="20"/>
          <w:lang w:eastAsia="en-US"/>
        </w:rPr>
      </w:pPr>
    </w:p>
    <w:p w14:paraId="2BF16048" w14:textId="4937170F" w:rsidR="00BA4B6A" w:rsidRDefault="005D72FA" w:rsidP="00DF0EB2">
      <w:pPr>
        <w:ind w:left="360"/>
        <w:jc w:val="both"/>
        <w:rPr>
          <w:rFonts w:ascii="Arial" w:hAnsi="Arial" w:cs="Arial"/>
          <w:b/>
          <w:sz w:val="20"/>
          <w:szCs w:val="20"/>
          <w:lang w:eastAsia="en-US"/>
        </w:rPr>
      </w:pPr>
      <w:r w:rsidRPr="005D72FA">
        <w:rPr>
          <w:rFonts w:ascii="Arial" w:hAnsi="Arial" w:cs="Arial"/>
          <w:i/>
          <w:sz w:val="20"/>
          <w:szCs w:val="20"/>
          <w:lang w:eastAsia="en-US"/>
        </w:rPr>
        <w:t xml:space="preserve">Praha, </w:t>
      </w:r>
      <w:r w:rsidR="002C3C3C">
        <w:rPr>
          <w:rFonts w:ascii="Arial" w:hAnsi="Arial" w:cs="Arial"/>
          <w:i/>
          <w:sz w:val="20"/>
          <w:szCs w:val="20"/>
          <w:lang w:eastAsia="en-US"/>
        </w:rPr>
        <w:t>7</w:t>
      </w:r>
      <w:bookmarkStart w:id="0" w:name="_GoBack"/>
      <w:bookmarkEnd w:id="0"/>
      <w:r w:rsidRPr="005D72FA">
        <w:rPr>
          <w:rFonts w:ascii="Arial" w:hAnsi="Arial" w:cs="Arial"/>
          <w:i/>
          <w:sz w:val="20"/>
          <w:szCs w:val="20"/>
          <w:lang w:eastAsia="en-US"/>
        </w:rPr>
        <w:t>. února 2025</w:t>
      </w:r>
      <w:r>
        <w:rPr>
          <w:rFonts w:ascii="Arial" w:hAnsi="Arial" w:cs="Arial"/>
          <w:b/>
          <w:sz w:val="20"/>
          <w:szCs w:val="20"/>
          <w:lang w:eastAsia="en-US"/>
        </w:rPr>
        <w:t xml:space="preserve"> </w:t>
      </w:r>
      <w:r w:rsidRPr="003E4BD9">
        <w:rPr>
          <w:rFonts w:ascii="Calibri" w:eastAsia="Times New Roman" w:hAnsi="Calibri" w:cs="Calibri"/>
          <w:sz w:val="21"/>
          <w:szCs w:val="21"/>
        </w:rPr>
        <w:t>–</w:t>
      </w:r>
      <w:r w:rsidRPr="003E4BD9">
        <w:rPr>
          <w:rFonts w:ascii="Calibri" w:hAnsi="Calibri" w:cs="Calibri"/>
          <w:sz w:val="21"/>
          <w:szCs w:val="21"/>
        </w:rPr>
        <w:t xml:space="preserve"> </w:t>
      </w:r>
      <w:r w:rsidR="000E2BE4" w:rsidRPr="00715ECC">
        <w:rPr>
          <w:rFonts w:ascii="Arial" w:hAnsi="Arial" w:cs="Arial"/>
          <w:b/>
          <w:sz w:val="20"/>
          <w:szCs w:val="20"/>
          <w:lang w:eastAsia="en-US"/>
        </w:rPr>
        <w:t xml:space="preserve">Začátek roku 2025 </w:t>
      </w:r>
      <w:r w:rsidR="00715ECC" w:rsidRPr="00715ECC">
        <w:rPr>
          <w:rFonts w:ascii="Arial" w:hAnsi="Arial" w:cs="Arial"/>
          <w:b/>
          <w:sz w:val="20"/>
          <w:szCs w:val="20"/>
          <w:lang w:eastAsia="en-US"/>
        </w:rPr>
        <w:t>se</w:t>
      </w:r>
      <w:r w:rsidR="000E2BE4" w:rsidRPr="00715ECC">
        <w:rPr>
          <w:rFonts w:ascii="Arial" w:hAnsi="Arial" w:cs="Arial"/>
          <w:b/>
          <w:sz w:val="20"/>
          <w:szCs w:val="20"/>
          <w:lang w:eastAsia="en-US"/>
        </w:rPr>
        <w:t xml:space="preserve"> u hypotečních úvěrů </w:t>
      </w:r>
      <w:r w:rsidR="00715ECC" w:rsidRPr="00715ECC">
        <w:rPr>
          <w:rFonts w:ascii="Arial" w:hAnsi="Arial" w:cs="Arial"/>
          <w:b/>
          <w:sz w:val="20"/>
          <w:szCs w:val="20"/>
          <w:lang w:eastAsia="en-US"/>
        </w:rPr>
        <w:t xml:space="preserve">odvíjí ve znamení </w:t>
      </w:r>
      <w:r w:rsidR="000E2BE4" w:rsidRPr="00715ECC">
        <w:rPr>
          <w:rFonts w:ascii="Arial" w:hAnsi="Arial" w:cs="Arial"/>
          <w:b/>
          <w:sz w:val="20"/>
          <w:szCs w:val="20"/>
          <w:lang w:eastAsia="en-US"/>
        </w:rPr>
        <w:t xml:space="preserve">velmi mírného poklesu sazeb. </w:t>
      </w:r>
      <w:r w:rsidR="00715ECC" w:rsidRPr="00715ECC">
        <w:rPr>
          <w:rFonts w:ascii="Arial" w:hAnsi="Arial" w:cs="Arial"/>
          <w:b/>
          <w:sz w:val="20"/>
          <w:szCs w:val="20"/>
          <w:lang w:eastAsia="en-US"/>
        </w:rPr>
        <w:t xml:space="preserve">Jak potvrdily výsledky Broker Consulting Indexu hypotečních úvěrů, průměrná úroková sazba skončila v lednu na hodnotě 4,92 procenta. </w:t>
      </w:r>
      <w:r w:rsidR="00BA4B6A" w:rsidRPr="00715ECC">
        <w:rPr>
          <w:rFonts w:ascii="Arial" w:hAnsi="Arial" w:cs="Arial"/>
          <w:b/>
          <w:sz w:val="20"/>
          <w:szCs w:val="20"/>
          <w:lang w:eastAsia="en-US"/>
        </w:rPr>
        <w:t xml:space="preserve">Přesně před rokem byly </w:t>
      </w:r>
      <w:r w:rsidR="00BA4B6A">
        <w:rPr>
          <w:rFonts w:ascii="Arial" w:hAnsi="Arial" w:cs="Arial"/>
          <w:b/>
          <w:sz w:val="20"/>
          <w:szCs w:val="20"/>
          <w:lang w:eastAsia="en-US"/>
        </w:rPr>
        <w:t xml:space="preserve">úrokové </w:t>
      </w:r>
      <w:r w:rsidR="00BA4B6A" w:rsidRPr="00715ECC">
        <w:rPr>
          <w:rFonts w:ascii="Arial" w:hAnsi="Arial" w:cs="Arial"/>
          <w:b/>
          <w:sz w:val="20"/>
          <w:szCs w:val="20"/>
          <w:lang w:eastAsia="en-US"/>
        </w:rPr>
        <w:t xml:space="preserve">sazby podstatně výše, a to na úrovni 5,62 procenta. Meziroční rozdíl tedy dosahuje 0,7 procentního bodu. </w:t>
      </w:r>
      <w:r w:rsidR="00BA4B6A" w:rsidRPr="00960BB0">
        <w:rPr>
          <w:rFonts w:ascii="Arial" w:hAnsi="Arial" w:cs="Arial"/>
          <w:b/>
          <w:sz w:val="20"/>
          <w:szCs w:val="20"/>
          <w:lang w:eastAsia="en-US"/>
        </w:rPr>
        <w:t>Předstihový ukazatel zůstal v lednu nezměněn na hodnotě 5,05 procenta.</w:t>
      </w:r>
    </w:p>
    <w:p w14:paraId="6BD9667B" w14:textId="77777777" w:rsidR="00960BB0" w:rsidRDefault="00960BB0" w:rsidP="00DF0EB2">
      <w:pPr>
        <w:ind w:left="360"/>
        <w:jc w:val="both"/>
        <w:rPr>
          <w:rFonts w:ascii="Arial" w:hAnsi="Arial" w:cs="Arial"/>
          <w:b/>
          <w:sz w:val="20"/>
          <w:szCs w:val="20"/>
          <w:lang w:eastAsia="en-US"/>
        </w:rPr>
      </w:pPr>
    </w:p>
    <w:p w14:paraId="0D363F39" w14:textId="380F57FD" w:rsidR="00960BB0" w:rsidRPr="00245705" w:rsidRDefault="00BA4B6A" w:rsidP="00DF0EB2">
      <w:pPr>
        <w:ind w:left="360"/>
        <w:jc w:val="both"/>
        <w:rPr>
          <w:rFonts w:ascii="Arial" w:hAnsi="Arial" w:cs="Arial"/>
          <w:b/>
          <w:sz w:val="20"/>
          <w:szCs w:val="20"/>
          <w:lang w:eastAsia="en-US"/>
        </w:rPr>
      </w:pPr>
      <w:r w:rsidRPr="00245705">
        <w:rPr>
          <w:rFonts w:ascii="Arial" w:hAnsi="Arial" w:cs="Arial"/>
          <w:i/>
          <w:sz w:val="20"/>
          <w:szCs w:val="20"/>
          <w:lang w:eastAsia="en-US"/>
        </w:rPr>
        <w:t>„</w:t>
      </w:r>
      <w:r w:rsidR="00960BB0" w:rsidRPr="00245705">
        <w:rPr>
          <w:rFonts w:ascii="Arial" w:hAnsi="Arial" w:cs="Arial"/>
          <w:i/>
          <w:sz w:val="20"/>
          <w:szCs w:val="20"/>
          <w:lang w:eastAsia="en-US"/>
        </w:rPr>
        <w:t xml:space="preserve">Žadatelé o hypoteční úvěr mají důvod k optimismu </w:t>
      </w:r>
      <w:r w:rsidRPr="00245705">
        <w:rPr>
          <w:rFonts w:ascii="Arial" w:hAnsi="Arial" w:cs="Arial"/>
          <w:i/>
          <w:sz w:val="20"/>
          <w:szCs w:val="20"/>
          <w:lang w:eastAsia="en-US"/>
        </w:rPr>
        <w:t xml:space="preserve">i na začátku letošního roku. Podobně jako v prosinci, i v prvním měsíci roku 2025 se úrokové sazby snížily, i když jen mírně. V meziměsíčním porovnání je to pokles na hodnotu 4,92 procenta, tedy </w:t>
      </w:r>
      <w:r w:rsidR="009130B7">
        <w:rPr>
          <w:rFonts w:ascii="Arial" w:hAnsi="Arial" w:cs="Arial"/>
          <w:i/>
          <w:sz w:val="20"/>
          <w:szCs w:val="20"/>
          <w:lang w:eastAsia="en-US"/>
        </w:rPr>
        <w:t xml:space="preserve">o </w:t>
      </w:r>
      <w:r w:rsidRPr="00245705">
        <w:rPr>
          <w:rFonts w:ascii="Arial" w:hAnsi="Arial" w:cs="Arial"/>
          <w:i/>
          <w:sz w:val="20"/>
          <w:szCs w:val="20"/>
          <w:lang w:eastAsia="en-US"/>
        </w:rPr>
        <w:t>0,05 procentního bodu</w:t>
      </w:r>
      <w:r w:rsidR="00DF0EB2">
        <w:rPr>
          <w:rFonts w:ascii="Arial" w:hAnsi="Arial" w:cs="Arial"/>
          <w:i/>
          <w:sz w:val="20"/>
          <w:szCs w:val="20"/>
          <w:lang w:eastAsia="en-US"/>
        </w:rPr>
        <w:t>,“</w:t>
      </w:r>
      <w:r w:rsidR="00DF0EB2" w:rsidRPr="00DF0EB2">
        <w:rPr>
          <w:rFonts w:ascii="Arial" w:hAnsi="Arial" w:cs="Arial"/>
          <w:sz w:val="20"/>
          <w:szCs w:val="20"/>
          <w:lang w:eastAsia="en-US"/>
        </w:rPr>
        <w:t xml:space="preserve"> uvádí </w:t>
      </w:r>
      <w:r w:rsidR="00DF0EB2" w:rsidRPr="00DF0EB2">
        <w:rPr>
          <w:rFonts w:ascii="Arial" w:hAnsi="Arial" w:cs="Arial"/>
          <w:b/>
          <w:sz w:val="20"/>
          <w:szCs w:val="20"/>
          <w:lang w:eastAsia="en-US"/>
        </w:rPr>
        <w:t>Michaela Pudilová, analytička hypotečních a spotřebitelských úvěrů společnosti Broker Consulting</w:t>
      </w:r>
      <w:r w:rsidR="00DF0EB2" w:rsidRPr="00DF0EB2">
        <w:rPr>
          <w:rFonts w:ascii="Arial" w:hAnsi="Arial" w:cs="Arial"/>
          <w:sz w:val="20"/>
          <w:szCs w:val="20"/>
          <w:lang w:eastAsia="en-US"/>
        </w:rPr>
        <w:t xml:space="preserve">. </w:t>
      </w:r>
      <w:r w:rsidRPr="00245705">
        <w:rPr>
          <w:rFonts w:ascii="Arial" w:hAnsi="Arial" w:cs="Arial"/>
          <w:sz w:val="20"/>
          <w:szCs w:val="20"/>
          <w:lang w:eastAsia="en-US"/>
        </w:rPr>
        <w:t>Při pohledu na data Broker Consulting Indexu hypotečních úvěrů je zjevné, že sazby si drží pozvolné klesající tempo už loňského července</w:t>
      </w:r>
      <w:r w:rsidR="009130B7">
        <w:rPr>
          <w:rFonts w:ascii="Arial" w:hAnsi="Arial" w:cs="Arial"/>
          <w:sz w:val="20"/>
          <w:szCs w:val="20"/>
          <w:lang w:eastAsia="en-US"/>
        </w:rPr>
        <w:t xml:space="preserve"> a nejspíše tomu tak bude i v dalších měsících letošního roku</w:t>
      </w:r>
      <w:r w:rsidRPr="00245705">
        <w:rPr>
          <w:rFonts w:ascii="Arial" w:hAnsi="Arial" w:cs="Arial"/>
          <w:sz w:val="20"/>
          <w:szCs w:val="20"/>
          <w:lang w:eastAsia="en-US"/>
        </w:rPr>
        <w:t>.</w:t>
      </w:r>
      <w:r w:rsidR="00245705">
        <w:rPr>
          <w:rFonts w:ascii="Arial" w:hAnsi="Arial" w:cs="Arial"/>
          <w:b/>
          <w:sz w:val="20"/>
          <w:szCs w:val="20"/>
          <w:lang w:eastAsia="en-US"/>
        </w:rPr>
        <w:t xml:space="preserve"> </w:t>
      </w:r>
      <w:r>
        <w:rPr>
          <w:rFonts w:ascii="Arial" w:hAnsi="Arial" w:cs="Arial"/>
          <w:b/>
          <w:sz w:val="20"/>
          <w:szCs w:val="20"/>
          <w:lang w:eastAsia="en-US"/>
        </w:rPr>
        <w:t xml:space="preserve"> </w:t>
      </w:r>
    </w:p>
    <w:p w14:paraId="2D40D35D" w14:textId="77777777" w:rsidR="000E2BE4" w:rsidRPr="000E2BE4" w:rsidRDefault="000E2BE4" w:rsidP="00DF0EB2">
      <w:pPr>
        <w:ind w:left="360"/>
        <w:jc w:val="both"/>
        <w:rPr>
          <w:rFonts w:ascii="Arial" w:hAnsi="Arial" w:cs="Arial"/>
          <w:color w:val="1F4E79"/>
          <w:sz w:val="20"/>
          <w:szCs w:val="20"/>
          <w:lang w:eastAsia="en-US"/>
        </w:rPr>
      </w:pPr>
    </w:p>
    <w:p w14:paraId="6F582185" w14:textId="0FD71A15" w:rsidR="000E2BE4" w:rsidRPr="00245705" w:rsidRDefault="000E2BE4" w:rsidP="00DF0EB2">
      <w:pPr>
        <w:ind w:left="360"/>
        <w:jc w:val="both"/>
        <w:rPr>
          <w:rFonts w:ascii="Arial" w:hAnsi="Arial" w:cs="Arial"/>
          <w:sz w:val="20"/>
          <w:szCs w:val="20"/>
          <w:lang w:eastAsia="en-US"/>
        </w:rPr>
      </w:pPr>
      <w:r w:rsidRPr="00245705">
        <w:rPr>
          <w:rFonts w:ascii="Arial" w:hAnsi="Arial" w:cs="Arial"/>
          <w:sz w:val="20"/>
          <w:szCs w:val="20"/>
          <w:lang w:eastAsia="en-US"/>
        </w:rPr>
        <w:t xml:space="preserve">Změny </w:t>
      </w:r>
      <w:r w:rsidR="00245705" w:rsidRPr="00245705">
        <w:rPr>
          <w:rFonts w:ascii="Arial" w:hAnsi="Arial" w:cs="Arial"/>
          <w:sz w:val="20"/>
          <w:szCs w:val="20"/>
          <w:lang w:eastAsia="en-US"/>
        </w:rPr>
        <w:t xml:space="preserve">úrokových </w:t>
      </w:r>
      <w:r w:rsidRPr="00245705">
        <w:rPr>
          <w:rFonts w:ascii="Arial" w:hAnsi="Arial" w:cs="Arial"/>
          <w:sz w:val="20"/>
          <w:szCs w:val="20"/>
          <w:lang w:eastAsia="en-US"/>
        </w:rPr>
        <w:t>sazeb vždy souvis</w:t>
      </w:r>
      <w:r w:rsidR="00600D7D" w:rsidRPr="00245705">
        <w:rPr>
          <w:rFonts w:ascii="Arial" w:hAnsi="Arial" w:cs="Arial"/>
          <w:sz w:val="20"/>
          <w:szCs w:val="20"/>
          <w:lang w:eastAsia="en-US"/>
        </w:rPr>
        <w:t>ej</w:t>
      </w:r>
      <w:r w:rsidRPr="00245705">
        <w:rPr>
          <w:rFonts w:ascii="Arial" w:hAnsi="Arial" w:cs="Arial"/>
          <w:sz w:val="20"/>
          <w:szCs w:val="20"/>
          <w:lang w:eastAsia="en-US"/>
        </w:rPr>
        <w:t>í s kroky České národ</w:t>
      </w:r>
      <w:r w:rsidR="00245705" w:rsidRPr="00245705">
        <w:rPr>
          <w:rFonts w:ascii="Arial" w:hAnsi="Arial" w:cs="Arial"/>
          <w:sz w:val="20"/>
          <w:szCs w:val="20"/>
          <w:lang w:eastAsia="en-US"/>
        </w:rPr>
        <w:t xml:space="preserve">ní banky (ČNB), zejména jejím nastavením dvoutýdenní </w:t>
      </w:r>
      <w:proofErr w:type="spellStart"/>
      <w:r w:rsidR="00245705" w:rsidRPr="00245705">
        <w:rPr>
          <w:rFonts w:ascii="Arial" w:hAnsi="Arial" w:cs="Arial"/>
          <w:sz w:val="20"/>
          <w:szCs w:val="20"/>
          <w:lang w:eastAsia="en-US"/>
        </w:rPr>
        <w:t>repo</w:t>
      </w:r>
      <w:proofErr w:type="spellEnd"/>
      <w:r w:rsidR="00245705" w:rsidRPr="00245705">
        <w:rPr>
          <w:rFonts w:ascii="Arial" w:hAnsi="Arial" w:cs="Arial"/>
          <w:sz w:val="20"/>
          <w:szCs w:val="20"/>
          <w:lang w:eastAsia="en-US"/>
        </w:rPr>
        <w:t xml:space="preserve"> sazby. Ta byla naposledy snížena v listopadu 2024, a sice o čtvrt procentního bodu na aktuální hodnotu 4,0 procenta. Nelze však vyloučit, že na</w:t>
      </w:r>
      <w:r w:rsidR="009130B7">
        <w:rPr>
          <w:rFonts w:ascii="Arial" w:hAnsi="Arial" w:cs="Arial"/>
          <w:sz w:val="20"/>
          <w:szCs w:val="20"/>
          <w:lang w:eastAsia="en-US"/>
        </w:rPr>
        <w:t xml:space="preserve"> příštím</w:t>
      </w:r>
      <w:r w:rsidR="00245705" w:rsidRPr="00245705">
        <w:rPr>
          <w:rFonts w:ascii="Arial" w:hAnsi="Arial" w:cs="Arial"/>
          <w:sz w:val="20"/>
          <w:szCs w:val="20"/>
          <w:lang w:eastAsia="en-US"/>
        </w:rPr>
        <w:t xml:space="preserve"> zasedání ČNB bude rozhodnuto o dalším snížen</w:t>
      </w:r>
      <w:r w:rsidR="00245705">
        <w:rPr>
          <w:rFonts w:ascii="Arial" w:hAnsi="Arial" w:cs="Arial"/>
          <w:sz w:val="20"/>
          <w:szCs w:val="20"/>
          <w:lang w:eastAsia="en-US"/>
        </w:rPr>
        <w:t xml:space="preserve">í </w:t>
      </w:r>
      <w:r w:rsidR="00245705" w:rsidRPr="00245705">
        <w:rPr>
          <w:rFonts w:ascii="Arial" w:hAnsi="Arial" w:cs="Arial"/>
          <w:sz w:val="20"/>
          <w:szCs w:val="20"/>
          <w:lang w:eastAsia="en-US"/>
        </w:rPr>
        <w:t xml:space="preserve">2týdenní </w:t>
      </w:r>
      <w:proofErr w:type="spellStart"/>
      <w:r w:rsidR="00245705" w:rsidRPr="00245705">
        <w:rPr>
          <w:rFonts w:ascii="Arial" w:hAnsi="Arial" w:cs="Arial"/>
          <w:sz w:val="20"/>
          <w:szCs w:val="20"/>
          <w:lang w:eastAsia="en-US"/>
        </w:rPr>
        <w:t>repo</w:t>
      </w:r>
      <w:proofErr w:type="spellEnd"/>
      <w:r w:rsidR="00245705" w:rsidRPr="00245705">
        <w:rPr>
          <w:rFonts w:ascii="Arial" w:hAnsi="Arial" w:cs="Arial"/>
          <w:sz w:val="20"/>
          <w:szCs w:val="20"/>
          <w:lang w:eastAsia="en-US"/>
        </w:rPr>
        <w:t xml:space="preserve"> sazby</w:t>
      </w:r>
      <w:r w:rsidR="00245705">
        <w:rPr>
          <w:rFonts w:ascii="Arial" w:hAnsi="Arial" w:cs="Arial"/>
          <w:sz w:val="20"/>
          <w:szCs w:val="20"/>
          <w:lang w:eastAsia="en-US"/>
        </w:rPr>
        <w:t xml:space="preserve">. </w:t>
      </w:r>
      <w:r w:rsidR="00DF0EB2" w:rsidRPr="00DF0EB2">
        <w:rPr>
          <w:rFonts w:ascii="Arial" w:hAnsi="Arial" w:cs="Arial"/>
          <w:i/>
          <w:sz w:val="20"/>
          <w:szCs w:val="20"/>
          <w:lang w:eastAsia="en-US"/>
        </w:rPr>
        <w:t>„</w:t>
      </w:r>
      <w:r w:rsidR="00245705" w:rsidRPr="00DF0EB2">
        <w:rPr>
          <w:rFonts w:ascii="Arial" w:hAnsi="Arial" w:cs="Arial"/>
          <w:i/>
          <w:sz w:val="20"/>
          <w:szCs w:val="20"/>
          <w:lang w:eastAsia="en-US"/>
        </w:rPr>
        <w:t xml:space="preserve">Pro klienty to </w:t>
      </w:r>
      <w:r w:rsidR="00DF0EB2">
        <w:rPr>
          <w:rFonts w:ascii="Arial" w:hAnsi="Arial" w:cs="Arial"/>
          <w:i/>
          <w:sz w:val="20"/>
          <w:szCs w:val="20"/>
          <w:lang w:eastAsia="en-US"/>
        </w:rPr>
        <w:t>však</w:t>
      </w:r>
      <w:r w:rsidR="00245705" w:rsidRPr="00DF0EB2">
        <w:rPr>
          <w:rFonts w:ascii="Arial" w:hAnsi="Arial" w:cs="Arial"/>
          <w:i/>
          <w:sz w:val="20"/>
          <w:szCs w:val="20"/>
          <w:lang w:eastAsia="en-US"/>
        </w:rPr>
        <w:t xml:space="preserve"> určitě neznamená, že případný pokles </w:t>
      </w:r>
      <w:proofErr w:type="spellStart"/>
      <w:r w:rsidR="00245705" w:rsidRPr="00DF0EB2">
        <w:rPr>
          <w:rFonts w:ascii="Arial" w:hAnsi="Arial" w:cs="Arial"/>
          <w:i/>
          <w:sz w:val="20"/>
          <w:szCs w:val="20"/>
          <w:lang w:eastAsia="en-US"/>
        </w:rPr>
        <w:t>repo</w:t>
      </w:r>
      <w:proofErr w:type="spellEnd"/>
      <w:r w:rsidR="00245705" w:rsidRPr="00DF0EB2">
        <w:rPr>
          <w:rFonts w:ascii="Arial" w:hAnsi="Arial" w:cs="Arial"/>
          <w:i/>
          <w:sz w:val="20"/>
          <w:szCs w:val="20"/>
          <w:lang w:eastAsia="en-US"/>
        </w:rPr>
        <w:t xml:space="preserve"> sazby se obratem promítne v úrokových sazbách jejich hypotečních úvěrů. Sazby hypoték si budou i v následujících měsících </w:t>
      </w:r>
      <w:r w:rsidR="00DF0EB2" w:rsidRPr="00DF0EB2">
        <w:rPr>
          <w:rFonts w:ascii="Arial" w:hAnsi="Arial" w:cs="Arial"/>
          <w:i/>
          <w:sz w:val="20"/>
          <w:szCs w:val="20"/>
          <w:lang w:eastAsia="en-US"/>
        </w:rPr>
        <w:t>udržovat velmi pozvolné tempo snižování,“</w:t>
      </w:r>
      <w:r w:rsidR="00DF0EB2">
        <w:rPr>
          <w:rFonts w:ascii="Arial" w:hAnsi="Arial" w:cs="Arial"/>
          <w:sz w:val="20"/>
          <w:szCs w:val="20"/>
          <w:lang w:eastAsia="en-US"/>
        </w:rPr>
        <w:t xml:space="preserve"> upozorňuje </w:t>
      </w:r>
      <w:r w:rsidR="00DF0EB2" w:rsidRPr="00DF0EB2">
        <w:rPr>
          <w:rFonts w:ascii="Arial" w:hAnsi="Arial" w:cs="Arial"/>
          <w:b/>
          <w:sz w:val="20"/>
          <w:szCs w:val="20"/>
          <w:lang w:eastAsia="en-US"/>
        </w:rPr>
        <w:t>Michaela Pudilová</w:t>
      </w:r>
      <w:r w:rsidRPr="00DF0EB2">
        <w:rPr>
          <w:rFonts w:ascii="Arial" w:hAnsi="Arial" w:cs="Arial"/>
          <w:b/>
          <w:color w:val="1F4E79"/>
          <w:sz w:val="20"/>
          <w:szCs w:val="20"/>
          <w:lang w:eastAsia="en-US"/>
        </w:rPr>
        <w:t>.</w:t>
      </w:r>
    </w:p>
    <w:p w14:paraId="6B72F253" w14:textId="4EA4626C" w:rsidR="00DF0EB2" w:rsidRPr="00360A8B" w:rsidRDefault="00DF0EB2" w:rsidP="00360A8B">
      <w:pPr>
        <w:jc w:val="both"/>
        <w:rPr>
          <w:rFonts w:ascii="Arial" w:hAnsi="Arial" w:cs="Arial"/>
          <w:sz w:val="20"/>
          <w:szCs w:val="20"/>
          <w:lang w:eastAsia="en-US"/>
        </w:rPr>
      </w:pPr>
    </w:p>
    <w:p w14:paraId="1DA179BC" w14:textId="77777777" w:rsidR="00360A8B" w:rsidRPr="00360A8B" w:rsidRDefault="00360A8B" w:rsidP="00DF0EB2">
      <w:pPr>
        <w:ind w:left="360"/>
        <w:jc w:val="both"/>
        <w:rPr>
          <w:rFonts w:ascii="Arial" w:hAnsi="Arial" w:cs="Arial"/>
          <w:b/>
          <w:sz w:val="20"/>
          <w:szCs w:val="20"/>
        </w:rPr>
      </w:pPr>
      <w:r w:rsidRPr="00360A8B">
        <w:rPr>
          <w:rFonts w:ascii="Arial" w:hAnsi="Arial" w:cs="Arial"/>
          <w:b/>
          <w:sz w:val="20"/>
          <w:szCs w:val="20"/>
        </w:rPr>
        <w:t xml:space="preserve">Navzdory striktnímu dodržování LTV chtějí Češi stále bydlet ve vlastním </w:t>
      </w:r>
    </w:p>
    <w:p w14:paraId="396D1501" w14:textId="171DF523" w:rsidR="000E2BE4" w:rsidRPr="00360A8B" w:rsidRDefault="00360A8B" w:rsidP="00360A8B">
      <w:pPr>
        <w:ind w:left="360"/>
        <w:jc w:val="both"/>
        <w:rPr>
          <w:rFonts w:ascii="Arial" w:hAnsi="Arial" w:cs="Arial"/>
          <w:b/>
          <w:sz w:val="20"/>
          <w:szCs w:val="20"/>
        </w:rPr>
      </w:pPr>
      <w:r w:rsidRPr="00360A8B">
        <w:rPr>
          <w:rFonts w:ascii="Arial" w:hAnsi="Arial" w:cs="Arial"/>
          <w:sz w:val="20"/>
          <w:szCs w:val="20"/>
        </w:rPr>
        <w:t>Z</w:t>
      </w:r>
      <w:r w:rsidR="00406154" w:rsidRPr="00360A8B">
        <w:rPr>
          <w:rFonts w:ascii="Arial" w:hAnsi="Arial" w:cs="Arial"/>
          <w:sz w:val="20"/>
          <w:szCs w:val="20"/>
        </w:rPr>
        <w:t xml:space="preserve">ájem </w:t>
      </w:r>
      <w:r w:rsidRPr="00360A8B">
        <w:rPr>
          <w:rFonts w:ascii="Arial" w:hAnsi="Arial" w:cs="Arial"/>
          <w:sz w:val="20"/>
          <w:szCs w:val="20"/>
        </w:rPr>
        <w:t xml:space="preserve">klientů </w:t>
      </w:r>
      <w:r w:rsidR="00406154" w:rsidRPr="00360A8B">
        <w:rPr>
          <w:rFonts w:ascii="Arial" w:hAnsi="Arial" w:cs="Arial"/>
          <w:sz w:val="20"/>
          <w:szCs w:val="20"/>
        </w:rPr>
        <w:t>o pořízení vlastního bydlení</w:t>
      </w:r>
      <w:r w:rsidRPr="00360A8B">
        <w:rPr>
          <w:rFonts w:ascii="Arial" w:hAnsi="Arial" w:cs="Arial"/>
          <w:sz w:val="20"/>
          <w:szCs w:val="20"/>
        </w:rPr>
        <w:t xml:space="preserve"> a jeho</w:t>
      </w:r>
      <w:r w:rsidR="00406154" w:rsidRPr="00360A8B">
        <w:rPr>
          <w:rFonts w:ascii="Arial" w:hAnsi="Arial" w:cs="Arial"/>
          <w:sz w:val="20"/>
          <w:szCs w:val="20"/>
        </w:rPr>
        <w:t xml:space="preserve"> </w:t>
      </w:r>
      <w:r w:rsidRPr="00360A8B">
        <w:rPr>
          <w:rFonts w:ascii="Arial" w:hAnsi="Arial" w:cs="Arial"/>
          <w:sz w:val="20"/>
          <w:szCs w:val="20"/>
        </w:rPr>
        <w:t xml:space="preserve">financování neopadl ani na začátku letošního roku. </w:t>
      </w:r>
      <w:r w:rsidR="000E2BE4" w:rsidRPr="00360A8B">
        <w:rPr>
          <w:rFonts w:ascii="Arial" w:hAnsi="Arial" w:cs="Arial"/>
          <w:sz w:val="20"/>
          <w:szCs w:val="20"/>
        </w:rPr>
        <w:t xml:space="preserve">I přes vyšší úrokové sazby, než na které byli </w:t>
      </w:r>
      <w:r w:rsidRPr="00360A8B">
        <w:rPr>
          <w:rFonts w:ascii="Arial" w:hAnsi="Arial" w:cs="Arial"/>
          <w:sz w:val="20"/>
          <w:szCs w:val="20"/>
        </w:rPr>
        <w:t xml:space="preserve">klienti </w:t>
      </w:r>
      <w:r w:rsidR="000E2BE4" w:rsidRPr="00360A8B">
        <w:rPr>
          <w:rFonts w:ascii="Arial" w:hAnsi="Arial" w:cs="Arial"/>
          <w:sz w:val="20"/>
          <w:szCs w:val="20"/>
        </w:rPr>
        <w:t>zvyklí ještě v roce 2021, se počty poskytovaných hypotečních úvěrů opět zvyšují.</w:t>
      </w:r>
      <w:r w:rsidR="000E2BE4" w:rsidRPr="00360A8B"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360A8B">
        <w:rPr>
          <w:rFonts w:ascii="Arial" w:hAnsi="Arial" w:cs="Arial"/>
          <w:i/>
          <w:sz w:val="20"/>
          <w:szCs w:val="20"/>
          <w:lang w:eastAsia="en-US"/>
        </w:rPr>
        <w:t>„</w:t>
      </w:r>
      <w:r w:rsidR="000E2BE4" w:rsidRPr="00360A8B">
        <w:rPr>
          <w:rFonts w:ascii="Arial" w:hAnsi="Arial" w:cs="Arial"/>
          <w:i/>
          <w:sz w:val="20"/>
          <w:szCs w:val="20"/>
          <w:lang w:eastAsia="en-US"/>
        </w:rPr>
        <w:t xml:space="preserve">Žadatelé </w:t>
      </w:r>
      <w:r w:rsidRPr="00360A8B">
        <w:rPr>
          <w:rFonts w:ascii="Arial" w:hAnsi="Arial" w:cs="Arial"/>
          <w:i/>
          <w:sz w:val="20"/>
          <w:szCs w:val="20"/>
          <w:lang w:eastAsia="en-US"/>
        </w:rPr>
        <w:t xml:space="preserve">o hypotéku </w:t>
      </w:r>
      <w:r w:rsidR="000E2BE4" w:rsidRPr="00360A8B">
        <w:rPr>
          <w:rFonts w:ascii="Arial" w:hAnsi="Arial" w:cs="Arial"/>
          <w:i/>
          <w:sz w:val="20"/>
          <w:szCs w:val="20"/>
          <w:lang w:eastAsia="en-US"/>
        </w:rPr>
        <w:t xml:space="preserve">ale musí počítat s tím, že jim banky nepůjčí celou kupní cenu nemovitosti. Klient musí vždy mít dostatečný finanční obnos z vlastních zdrojů, aby uhradil minimálně 20 </w:t>
      </w:r>
      <w:r w:rsidRPr="00360A8B">
        <w:rPr>
          <w:rFonts w:ascii="Arial" w:hAnsi="Arial" w:cs="Arial"/>
          <w:i/>
          <w:sz w:val="20"/>
          <w:szCs w:val="20"/>
          <w:lang w:eastAsia="en-US"/>
        </w:rPr>
        <w:t>procent</w:t>
      </w:r>
      <w:r w:rsidR="000E2BE4" w:rsidRPr="00360A8B">
        <w:rPr>
          <w:rFonts w:ascii="Arial" w:hAnsi="Arial" w:cs="Arial"/>
          <w:i/>
          <w:sz w:val="20"/>
          <w:szCs w:val="20"/>
          <w:lang w:eastAsia="en-US"/>
        </w:rPr>
        <w:t xml:space="preserve"> z požadované hodnoty kupované nemovitosti. Banky se tímto c</w:t>
      </w:r>
      <w:r w:rsidRPr="00360A8B">
        <w:rPr>
          <w:rFonts w:ascii="Arial" w:hAnsi="Arial" w:cs="Arial"/>
          <w:i/>
          <w:sz w:val="20"/>
          <w:szCs w:val="20"/>
          <w:lang w:eastAsia="en-US"/>
        </w:rPr>
        <w:t>hrání před přílišným rizikem a</w:t>
      </w:r>
      <w:r w:rsidR="000E2BE4" w:rsidRPr="00360A8B">
        <w:rPr>
          <w:rFonts w:ascii="Arial" w:hAnsi="Arial" w:cs="Arial"/>
          <w:i/>
          <w:sz w:val="20"/>
          <w:szCs w:val="20"/>
          <w:lang w:eastAsia="en-US"/>
        </w:rPr>
        <w:t xml:space="preserve"> </w:t>
      </w:r>
      <w:r w:rsidRPr="00360A8B">
        <w:rPr>
          <w:rFonts w:ascii="Arial" w:hAnsi="Arial" w:cs="Arial"/>
          <w:i/>
          <w:sz w:val="20"/>
          <w:szCs w:val="20"/>
          <w:lang w:eastAsia="en-US"/>
        </w:rPr>
        <w:t xml:space="preserve">současně </w:t>
      </w:r>
      <w:r w:rsidR="009130B7">
        <w:rPr>
          <w:rFonts w:ascii="Arial" w:hAnsi="Arial" w:cs="Arial"/>
          <w:i/>
          <w:sz w:val="20"/>
          <w:szCs w:val="20"/>
          <w:lang w:eastAsia="en-US"/>
        </w:rPr>
        <w:t xml:space="preserve">musí </w:t>
      </w:r>
      <w:r w:rsidRPr="00360A8B">
        <w:rPr>
          <w:rFonts w:ascii="Arial" w:hAnsi="Arial" w:cs="Arial"/>
          <w:i/>
          <w:sz w:val="20"/>
          <w:szCs w:val="20"/>
          <w:lang w:eastAsia="en-US"/>
        </w:rPr>
        <w:t xml:space="preserve">dodržovat </w:t>
      </w:r>
      <w:r w:rsidR="000E2BE4" w:rsidRPr="00360A8B">
        <w:rPr>
          <w:rFonts w:ascii="Arial" w:hAnsi="Arial" w:cs="Arial"/>
          <w:i/>
          <w:sz w:val="20"/>
          <w:szCs w:val="20"/>
          <w:lang w:eastAsia="en-US"/>
        </w:rPr>
        <w:t>ukazatel LTV</w:t>
      </w:r>
      <w:r w:rsidR="000E2BE4" w:rsidRPr="00360A8B">
        <w:rPr>
          <w:i/>
        </w:rPr>
        <w:t xml:space="preserve"> </w:t>
      </w:r>
      <w:r w:rsidR="000E2BE4" w:rsidRPr="00360A8B">
        <w:rPr>
          <w:rFonts w:ascii="Arial" w:hAnsi="Arial" w:cs="Arial"/>
          <w:i/>
          <w:sz w:val="20"/>
          <w:szCs w:val="20"/>
          <w:lang w:eastAsia="en-US"/>
        </w:rPr>
        <w:t>(</w:t>
      </w:r>
      <w:proofErr w:type="spellStart"/>
      <w:r w:rsidR="000E2BE4" w:rsidRPr="00360A8B">
        <w:rPr>
          <w:rFonts w:ascii="Arial" w:hAnsi="Arial" w:cs="Arial"/>
          <w:i/>
          <w:sz w:val="20"/>
          <w:szCs w:val="20"/>
          <w:lang w:eastAsia="en-US"/>
        </w:rPr>
        <w:t>Loan</w:t>
      </w:r>
      <w:proofErr w:type="spellEnd"/>
      <w:r w:rsidR="000E2BE4" w:rsidRPr="00360A8B">
        <w:rPr>
          <w:rFonts w:ascii="Arial" w:hAnsi="Arial" w:cs="Arial"/>
          <w:i/>
          <w:sz w:val="20"/>
          <w:szCs w:val="20"/>
          <w:lang w:eastAsia="en-US"/>
        </w:rPr>
        <w:t xml:space="preserve"> to </w:t>
      </w:r>
      <w:proofErr w:type="spellStart"/>
      <w:r w:rsidR="000E2BE4" w:rsidRPr="00360A8B">
        <w:rPr>
          <w:rFonts w:ascii="Arial" w:hAnsi="Arial" w:cs="Arial"/>
          <w:i/>
          <w:sz w:val="20"/>
          <w:szCs w:val="20"/>
          <w:lang w:eastAsia="en-US"/>
        </w:rPr>
        <w:t>Value</w:t>
      </w:r>
      <w:proofErr w:type="spellEnd"/>
      <w:r w:rsidR="000E2BE4" w:rsidRPr="00360A8B">
        <w:rPr>
          <w:rFonts w:ascii="Arial" w:hAnsi="Arial" w:cs="Arial"/>
          <w:i/>
          <w:sz w:val="20"/>
          <w:szCs w:val="20"/>
          <w:lang w:eastAsia="en-US"/>
        </w:rPr>
        <w:t>)</w:t>
      </w:r>
      <w:r w:rsidRPr="00360A8B">
        <w:rPr>
          <w:rFonts w:ascii="Arial" w:hAnsi="Arial" w:cs="Arial"/>
          <w:i/>
          <w:sz w:val="20"/>
          <w:szCs w:val="20"/>
          <w:lang w:eastAsia="en-US"/>
        </w:rPr>
        <w:t xml:space="preserve"> nastavený Českou národní bankou. Ten </w:t>
      </w:r>
      <w:r w:rsidR="000E2BE4" w:rsidRPr="00360A8B">
        <w:rPr>
          <w:rFonts w:ascii="Arial" w:hAnsi="Arial" w:cs="Arial"/>
          <w:i/>
          <w:sz w:val="20"/>
          <w:szCs w:val="20"/>
          <w:lang w:eastAsia="en-US"/>
        </w:rPr>
        <w:t>představuje procentní poměr mezi výší úvěru a</w:t>
      </w:r>
      <w:r w:rsidRPr="00360A8B">
        <w:rPr>
          <w:rFonts w:ascii="Arial" w:hAnsi="Arial" w:cs="Arial"/>
          <w:i/>
          <w:sz w:val="20"/>
          <w:szCs w:val="20"/>
          <w:lang w:eastAsia="en-US"/>
        </w:rPr>
        <w:t xml:space="preserve"> hodnotou zastavené nemovitosti,“</w:t>
      </w:r>
      <w:r w:rsidRPr="00360A8B">
        <w:rPr>
          <w:rFonts w:ascii="Arial" w:hAnsi="Arial" w:cs="Arial"/>
          <w:sz w:val="20"/>
          <w:szCs w:val="20"/>
          <w:lang w:eastAsia="en-US"/>
        </w:rPr>
        <w:t xml:space="preserve"> vysvětluje </w:t>
      </w:r>
      <w:r w:rsidRPr="00360A8B">
        <w:rPr>
          <w:rFonts w:ascii="Arial" w:hAnsi="Arial" w:cs="Arial"/>
          <w:b/>
          <w:sz w:val="20"/>
          <w:szCs w:val="20"/>
          <w:lang w:eastAsia="en-US"/>
        </w:rPr>
        <w:t>Michaela Pudilová</w:t>
      </w:r>
      <w:r w:rsidRPr="00360A8B">
        <w:rPr>
          <w:rFonts w:ascii="Arial" w:hAnsi="Arial" w:cs="Arial"/>
          <w:sz w:val="20"/>
          <w:szCs w:val="20"/>
          <w:lang w:eastAsia="en-US"/>
        </w:rPr>
        <w:t>.</w:t>
      </w:r>
      <w:r w:rsidR="00DF0EB2" w:rsidRPr="00360A8B">
        <w:rPr>
          <w:rFonts w:ascii="Arial" w:hAnsi="Arial" w:cs="Arial"/>
          <w:sz w:val="20"/>
          <w:szCs w:val="20"/>
          <w:lang w:eastAsia="en-US"/>
        </w:rPr>
        <w:t xml:space="preserve"> </w:t>
      </w:r>
      <w:r w:rsidR="000E2BE4" w:rsidRPr="00360A8B">
        <w:rPr>
          <w:rFonts w:ascii="Arial" w:hAnsi="Arial" w:cs="Arial"/>
          <w:sz w:val="20"/>
          <w:szCs w:val="20"/>
          <w:lang w:eastAsia="en-US"/>
        </w:rPr>
        <w:t xml:space="preserve">Aktuálně je LTV nastaven na maximálně 80 </w:t>
      </w:r>
      <w:r>
        <w:rPr>
          <w:rFonts w:ascii="Arial" w:hAnsi="Arial" w:cs="Arial"/>
          <w:sz w:val="20"/>
          <w:szCs w:val="20"/>
          <w:lang w:eastAsia="en-US"/>
        </w:rPr>
        <w:t>procent</w:t>
      </w:r>
      <w:r w:rsidR="005D72FA">
        <w:rPr>
          <w:rFonts w:ascii="Arial" w:hAnsi="Arial" w:cs="Arial"/>
          <w:sz w:val="20"/>
          <w:szCs w:val="20"/>
          <w:lang w:eastAsia="en-US"/>
        </w:rPr>
        <w:t xml:space="preserve">, </w:t>
      </w:r>
      <w:r w:rsidR="000E2BE4" w:rsidRPr="00360A8B">
        <w:rPr>
          <w:rFonts w:ascii="Arial" w:hAnsi="Arial" w:cs="Arial"/>
          <w:sz w:val="20"/>
          <w:szCs w:val="20"/>
          <w:lang w:eastAsia="en-US"/>
        </w:rPr>
        <w:t>žadatel</w:t>
      </w:r>
      <w:r>
        <w:rPr>
          <w:rFonts w:ascii="Arial" w:hAnsi="Arial" w:cs="Arial"/>
          <w:sz w:val="20"/>
          <w:szCs w:val="20"/>
          <w:lang w:eastAsia="en-US"/>
        </w:rPr>
        <w:t>é</w:t>
      </w:r>
      <w:r w:rsidR="000E2BE4" w:rsidRPr="00360A8B">
        <w:rPr>
          <w:rFonts w:ascii="Arial" w:hAnsi="Arial" w:cs="Arial"/>
          <w:sz w:val="20"/>
          <w:szCs w:val="20"/>
          <w:lang w:eastAsia="en-US"/>
        </w:rPr>
        <w:t xml:space="preserve"> mladší 36 let</w:t>
      </w:r>
      <w:r>
        <w:rPr>
          <w:rFonts w:ascii="Arial" w:hAnsi="Arial" w:cs="Arial"/>
          <w:sz w:val="20"/>
          <w:szCs w:val="20"/>
          <w:lang w:eastAsia="en-US"/>
        </w:rPr>
        <w:t xml:space="preserve"> mohou získat </w:t>
      </w:r>
      <w:r w:rsidR="000E2BE4" w:rsidRPr="00360A8B">
        <w:rPr>
          <w:rFonts w:ascii="Arial" w:hAnsi="Arial" w:cs="Arial"/>
          <w:sz w:val="20"/>
          <w:szCs w:val="20"/>
          <w:lang w:eastAsia="en-US"/>
        </w:rPr>
        <w:t xml:space="preserve">až 90 </w:t>
      </w:r>
      <w:r>
        <w:rPr>
          <w:rFonts w:ascii="Arial" w:hAnsi="Arial" w:cs="Arial"/>
          <w:sz w:val="20"/>
          <w:szCs w:val="20"/>
          <w:lang w:eastAsia="en-US"/>
        </w:rPr>
        <w:t xml:space="preserve">procent </w:t>
      </w:r>
      <w:r w:rsidR="000E2BE4" w:rsidRPr="00360A8B">
        <w:rPr>
          <w:rFonts w:ascii="Arial" w:hAnsi="Arial" w:cs="Arial"/>
          <w:sz w:val="20"/>
          <w:szCs w:val="20"/>
          <w:lang w:eastAsia="en-US"/>
        </w:rPr>
        <w:t>zastavované nemovitosti. Nad těmito hranicemi banka může poskytnout úvěr pouze na základě individuálního posouzení a poskytnutí výjimky.</w:t>
      </w:r>
    </w:p>
    <w:p w14:paraId="28CBABEB" w14:textId="77777777" w:rsidR="000E2BE4" w:rsidRPr="000E2BE4" w:rsidRDefault="000E2BE4" w:rsidP="00DF0EB2">
      <w:pPr>
        <w:ind w:left="360"/>
        <w:jc w:val="both"/>
        <w:rPr>
          <w:rFonts w:ascii="Arial" w:hAnsi="Arial" w:cs="Arial"/>
          <w:color w:val="1F4E79"/>
          <w:sz w:val="20"/>
          <w:szCs w:val="20"/>
          <w:lang w:eastAsia="en-US"/>
        </w:rPr>
      </w:pPr>
    </w:p>
    <w:p w14:paraId="3EFC629C" w14:textId="05440B13" w:rsidR="004B07F7" w:rsidRPr="001940A3" w:rsidRDefault="00E26488" w:rsidP="00E26488">
      <w:pPr>
        <w:ind w:left="360"/>
        <w:jc w:val="center"/>
        <w:rPr>
          <w:rFonts w:ascii="Calibri" w:hAnsi="Calibri" w:cs="Calibri"/>
          <w:sz w:val="21"/>
          <w:szCs w:val="21"/>
        </w:rPr>
      </w:pPr>
      <w:r w:rsidRPr="00E26488">
        <w:rPr>
          <w:rFonts w:ascii="Calibri" w:hAnsi="Calibri" w:cs="Calibri"/>
          <w:noProof/>
          <w:sz w:val="21"/>
          <w:szCs w:val="21"/>
          <w:lang w:bidi="ar-SA"/>
        </w:rPr>
        <w:drawing>
          <wp:inline distT="0" distB="0" distL="0" distR="0" wp14:anchorId="04E1F8A6" wp14:editId="200051F0">
            <wp:extent cx="5721195" cy="2660828"/>
            <wp:effectExtent l="0" t="0" r="0" b="6350"/>
            <wp:docPr id="7" name="Obrázek 7" descr="C:\Users\tkunova\Documents\2025\TZ\_indexy\hypo index\za leden\GRAF BC Index hypotecnich uveru - leden 2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unova\Documents\2025\TZ\_indexy\hypo index\za leden\GRAF BC Index hypotecnich uveru - leden 2025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982" cy="267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04EFD" w14:textId="77777777" w:rsidR="00E26488" w:rsidRPr="00E26488" w:rsidRDefault="00E26488" w:rsidP="005D72FA">
      <w:pPr>
        <w:pBdr>
          <w:top w:val="single" w:sz="4" w:space="1" w:color="auto"/>
        </w:pBdr>
        <w:spacing w:before="240" w:after="120"/>
        <w:jc w:val="both"/>
        <w:rPr>
          <w:rFonts w:ascii="Arial" w:hAnsi="Arial" w:cs="Arial"/>
          <w:sz w:val="10"/>
          <w:szCs w:val="10"/>
        </w:rPr>
      </w:pPr>
    </w:p>
    <w:p w14:paraId="06153168" w14:textId="1E697F2B" w:rsidR="00236A37" w:rsidRPr="005D72FA" w:rsidRDefault="00C42CA5" w:rsidP="005D72FA">
      <w:pPr>
        <w:pBdr>
          <w:top w:val="single" w:sz="4" w:space="1" w:color="auto"/>
        </w:pBdr>
        <w:spacing w:before="240" w:after="120"/>
        <w:jc w:val="both"/>
        <w:rPr>
          <w:rFonts w:ascii="Arial" w:hAnsi="Arial" w:cs="Arial"/>
          <w:sz w:val="18"/>
          <w:szCs w:val="18"/>
        </w:rPr>
      </w:pPr>
      <w:r w:rsidRPr="005D72FA">
        <w:rPr>
          <w:rFonts w:ascii="Arial" w:hAnsi="Arial" w:cs="Arial"/>
          <w:sz w:val="18"/>
          <w:szCs w:val="18"/>
        </w:rPr>
        <w:t xml:space="preserve">Broker </w:t>
      </w:r>
      <w:r w:rsidR="00C36E55" w:rsidRPr="005D72FA">
        <w:rPr>
          <w:rFonts w:ascii="Arial" w:hAnsi="Arial" w:cs="Arial"/>
          <w:sz w:val="18"/>
          <w:szCs w:val="18"/>
        </w:rPr>
        <w:t>Con</w:t>
      </w:r>
      <w:r w:rsidR="007B0955" w:rsidRPr="005D72FA">
        <w:rPr>
          <w:rFonts w:ascii="Arial" w:hAnsi="Arial" w:cs="Arial"/>
          <w:sz w:val="18"/>
          <w:szCs w:val="18"/>
        </w:rPr>
        <w:t>sultin</w:t>
      </w:r>
      <w:r w:rsidRPr="005D72FA">
        <w:rPr>
          <w:rFonts w:ascii="Arial" w:hAnsi="Arial" w:cs="Arial"/>
          <w:sz w:val="18"/>
          <w:szCs w:val="18"/>
        </w:rPr>
        <w:t>g Index hypotečních úvěrů je analytický nástroj</w:t>
      </w:r>
      <w:r w:rsidR="00113603" w:rsidRPr="005D72FA">
        <w:rPr>
          <w:rFonts w:ascii="Arial" w:hAnsi="Arial" w:cs="Arial"/>
          <w:sz w:val="18"/>
          <w:szCs w:val="18"/>
        </w:rPr>
        <w:t xml:space="preserve"> znázorňující</w:t>
      </w:r>
      <w:r w:rsidRPr="005D72FA">
        <w:rPr>
          <w:rFonts w:ascii="Arial" w:hAnsi="Arial" w:cs="Arial"/>
          <w:sz w:val="18"/>
          <w:szCs w:val="18"/>
        </w:rPr>
        <w:t xml:space="preserve"> průměrnou úrokovou sazbu u hypotečních úvěrů, </w:t>
      </w:r>
      <w:r w:rsidR="00113603" w:rsidRPr="005D72FA">
        <w:rPr>
          <w:rFonts w:ascii="Arial" w:hAnsi="Arial" w:cs="Arial"/>
          <w:sz w:val="18"/>
          <w:szCs w:val="18"/>
        </w:rPr>
        <w:t>které</w:t>
      </w:r>
      <w:r w:rsidRPr="005D72FA">
        <w:rPr>
          <w:rFonts w:ascii="Arial" w:hAnsi="Arial" w:cs="Arial"/>
          <w:sz w:val="18"/>
          <w:szCs w:val="18"/>
        </w:rPr>
        <w:t xml:space="preserve"> zprostředkovali konzultanti Brok</w:t>
      </w:r>
      <w:r w:rsidR="00776A31" w:rsidRPr="005D72FA">
        <w:rPr>
          <w:rFonts w:ascii="Arial" w:hAnsi="Arial" w:cs="Arial"/>
          <w:sz w:val="18"/>
          <w:szCs w:val="18"/>
        </w:rPr>
        <w:t>er Consulting a pobočky Broker Point nebo Broker Point Premium</w:t>
      </w:r>
      <w:r w:rsidRPr="005D72FA">
        <w:rPr>
          <w:rFonts w:ascii="Arial" w:hAnsi="Arial" w:cs="Arial"/>
          <w:sz w:val="18"/>
          <w:szCs w:val="18"/>
        </w:rPr>
        <w:t xml:space="preserve"> u kteréhokoli poskytovatele hypotečních úvěrů. Jedná se o vážený aritmetický průměr, kdy hlavní vahou je objem úvěru. Tedy čím vyšší úvěr, tím jeho sazba </w:t>
      </w:r>
      <w:r w:rsidR="00113603" w:rsidRPr="005D72FA">
        <w:rPr>
          <w:rFonts w:ascii="Arial" w:hAnsi="Arial" w:cs="Arial"/>
          <w:sz w:val="18"/>
          <w:szCs w:val="18"/>
        </w:rPr>
        <w:t xml:space="preserve">vstupuje </w:t>
      </w:r>
      <w:r w:rsidRPr="005D72FA">
        <w:rPr>
          <w:rFonts w:ascii="Arial" w:hAnsi="Arial" w:cs="Arial"/>
          <w:sz w:val="18"/>
          <w:szCs w:val="18"/>
        </w:rPr>
        <w:t xml:space="preserve">do indexu větší vahou. </w:t>
      </w:r>
      <w:r w:rsidRPr="005D72FA">
        <w:rPr>
          <w:rFonts w:ascii="Arial" w:hAnsi="Arial" w:cs="Arial"/>
          <w:b/>
          <w:sz w:val="18"/>
          <w:szCs w:val="18"/>
        </w:rPr>
        <w:t xml:space="preserve">Výhodou metody výpočtu </w:t>
      </w:r>
      <w:r w:rsidR="00C7532A" w:rsidRPr="005D72FA">
        <w:rPr>
          <w:rFonts w:ascii="Arial" w:hAnsi="Arial" w:cs="Arial"/>
          <w:b/>
          <w:sz w:val="18"/>
          <w:szCs w:val="18"/>
        </w:rPr>
        <w:t xml:space="preserve">indexu </w:t>
      </w:r>
      <w:r w:rsidRPr="005D72FA">
        <w:rPr>
          <w:rFonts w:ascii="Arial" w:hAnsi="Arial" w:cs="Arial"/>
          <w:b/>
          <w:sz w:val="18"/>
          <w:szCs w:val="18"/>
        </w:rPr>
        <w:t>je skutečnost, že se do statistiky dostávají pouze skutečně schválené úvěry, a to bez výjimky všechny.</w:t>
      </w:r>
      <w:r w:rsidRPr="005D72FA">
        <w:rPr>
          <w:rFonts w:ascii="Arial" w:hAnsi="Arial" w:cs="Arial"/>
          <w:sz w:val="18"/>
          <w:szCs w:val="18"/>
        </w:rPr>
        <w:t xml:space="preserve"> Nemůže tak dojít ke zkreslení informací a index není závislý na dodávkách třetích stran. </w:t>
      </w:r>
    </w:p>
    <w:p w14:paraId="70EFA666" w14:textId="4A6CAE48" w:rsidR="002E6DB6" w:rsidRPr="005D72FA" w:rsidRDefault="00C42CA5" w:rsidP="005D72FA">
      <w:pPr>
        <w:spacing w:after="120"/>
        <w:jc w:val="both"/>
        <w:rPr>
          <w:rFonts w:ascii="Arial" w:hAnsi="Arial" w:cs="Arial"/>
          <w:sz w:val="18"/>
          <w:szCs w:val="18"/>
        </w:rPr>
      </w:pPr>
      <w:r w:rsidRPr="005D72FA">
        <w:rPr>
          <w:rFonts w:ascii="Arial" w:hAnsi="Arial" w:cs="Arial"/>
          <w:sz w:val="18"/>
          <w:szCs w:val="18"/>
        </w:rPr>
        <w:lastRenderedPageBreak/>
        <w:t>V principu se Broker Consulting Index hypotečních úvěrů počítá ze sazeb, které jsou v danou chvíli pro daného klienta nejnižší na trhu</w:t>
      </w:r>
      <w:r w:rsidR="00FA2D1E" w:rsidRPr="005D72FA">
        <w:rPr>
          <w:rFonts w:ascii="Arial" w:hAnsi="Arial" w:cs="Arial"/>
          <w:sz w:val="18"/>
          <w:szCs w:val="18"/>
        </w:rPr>
        <w:t>,</w:t>
      </w:r>
      <w:r w:rsidRPr="005D72FA">
        <w:rPr>
          <w:rFonts w:ascii="Arial" w:hAnsi="Arial" w:cs="Arial"/>
          <w:sz w:val="18"/>
          <w:szCs w:val="18"/>
        </w:rPr>
        <w:t xml:space="preserve"> </w:t>
      </w:r>
      <w:r w:rsidR="00FA2D1E" w:rsidRPr="005D72FA">
        <w:rPr>
          <w:rFonts w:ascii="Arial" w:hAnsi="Arial" w:cs="Arial"/>
          <w:sz w:val="18"/>
          <w:szCs w:val="18"/>
        </w:rPr>
        <w:t>a</w:t>
      </w:r>
      <w:r w:rsidRPr="005D72FA">
        <w:rPr>
          <w:rFonts w:ascii="Arial" w:hAnsi="Arial" w:cs="Arial"/>
          <w:sz w:val="18"/>
          <w:szCs w:val="18"/>
        </w:rPr>
        <w:t xml:space="preserve">nebo se nejnižší hranici přibližují, neboť klient si vybírá z mnoha možností, které mu trh v danou chvíli nabízí. A většinou si vybírá právě nejnižší sazbu úvěru, který i v jiných parametrech splňuje jejich podmínky. Broker Consulting ročně zprostředkuje úvěry v objemu přesahujícím 13 miliard korun. </w:t>
      </w:r>
    </w:p>
    <w:p w14:paraId="0584C559" w14:textId="7CB832AA" w:rsidR="00C21F84" w:rsidRPr="005D72FA" w:rsidRDefault="002E6DB6" w:rsidP="005D72FA">
      <w:pPr>
        <w:pBdr>
          <w:bottom w:val="single" w:sz="4" w:space="1" w:color="auto"/>
        </w:pBdr>
        <w:spacing w:after="120"/>
        <w:jc w:val="both"/>
        <w:rPr>
          <w:rFonts w:ascii="Arial" w:hAnsi="Arial" w:cs="Arial"/>
          <w:sz w:val="18"/>
          <w:szCs w:val="18"/>
        </w:rPr>
      </w:pPr>
      <w:r w:rsidRPr="005D72FA">
        <w:rPr>
          <w:rFonts w:ascii="Arial" w:hAnsi="Arial" w:cs="Arial"/>
          <w:color w:val="000000"/>
          <w:sz w:val="18"/>
          <w:szCs w:val="18"/>
        </w:rPr>
        <w:t>Předstihový ukazatel Broker Consulting Indexu hypotečních úvěrů a jeho výpočet rea</w:t>
      </w:r>
      <w:r w:rsidR="008C75D3" w:rsidRPr="005D72FA">
        <w:rPr>
          <w:rFonts w:ascii="Arial" w:hAnsi="Arial" w:cs="Arial"/>
          <w:color w:val="000000"/>
          <w:sz w:val="18"/>
          <w:szCs w:val="18"/>
        </w:rPr>
        <w:t>guje na potřebu aktuálního výhledu výše sazeb, ve kterém se budou v daném měsíci poskytovat hypoteční úvěry zprostředkovávané od většiny bankovních institucí v tuzemsku. Ve výpočtu jde o aritmetick</w:t>
      </w:r>
      <w:r w:rsidR="00057F54" w:rsidRPr="005D72FA">
        <w:rPr>
          <w:rFonts w:ascii="Arial" w:hAnsi="Arial" w:cs="Arial"/>
          <w:color w:val="000000"/>
          <w:sz w:val="18"/>
          <w:szCs w:val="18"/>
        </w:rPr>
        <w:t>ý průměr nabízených úrokových sazeb</w:t>
      </w:r>
      <w:r w:rsidR="00807AD4" w:rsidRPr="005D72FA">
        <w:rPr>
          <w:rFonts w:ascii="Arial" w:hAnsi="Arial" w:cs="Arial"/>
          <w:color w:val="000000"/>
          <w:sz w:val="18"/>
          <w:szCs w:val="18"/>
        </w:rPr>
        <w:t xml:space="preserve"> v konkrétním </w:t>
      </w:r>
      <w:r w:rsidR="008C75D3" w:rsidRPr="005D72FA">
        <w:rPr>
          <w:rFonts w:ascii="Arial" w:hAnsi="Arial" w:cs="Arial"/>
          <w:color w:val="000000"/>
          <w:sz w:val="18"/>
          <w:szCs w:val="18"/>
        </w:rPr>
        <w:t>měsíci, ve kterém se zveřejňují hodnoty Broker Consulting Indexu hypotečních úvěrů.</w:t>
      </w:r>
      <w:r w:rsidR="00CC3D3D" w:rsidRPr="005D72FA">
        <w:rPr>
          <w:rFonts w:ascii="Arial" w:hAnsi="Arial" w:cs="Arial"/>
          <w:color w:val="000000"/>
          <w:sz w:val="18"/>
          <w:szCs w:val="18"/>
        </w:rPr>
        <w:t xml:space="preserve"> Vzhledem ke statisti</w:t>
      </w:r>
      <w:r w:rsidR="004919CC" w:rsidRPr="005D72FA">
        <w:rPr>
          <w:rFonts w:ascii="Arial" w:hAnsi="Arial" w:cs="Arial"/>
          <w:color w:val="000000"/>
          <w:sz w:val="18"/>
          <w:szCs w:val="18"/>
        </w:rPr>
        <w:t>ce preferovaných fixací byla při výpoč</w:t>
      </w:r>
      <w:r w:rsidR="00CC3D3D" w:rsidRPr="005D72FA">
        <w:rPr>
          <w:rFonts w:ascii="Arial" w:hAnsi="Arial" w:cs="Arial"/>
          <w:color w:val="000000"/>
          <w:sz w:val="18"/>
          <w:szCs w:val="18"/>
        </w:rPr>
        <w:t>t</w:t>
      </w:r>
      <w:r w:rsidR="004919CC" w:rsidRPr="005D72FA">
        <w:rPr>
          <w:rFonts w:ascii="Arial" w:hAnsi="Arial" w:cs="Arial"/>
          <w:color w:val="000000"/>
          <w:sz w:val="18"/>
          <w:szCs w:val="18"/>
        </w:rPr>
        <w:t>u zohledněna</w:t>
      </w:r>
      <w:r w:rsidR="00CC3D3D" w:rsidRPr="005D72FA">
        <w:rPr>
          <w:rFonts w:ascii="Arial" w:hAnsi="Arial" w:cs="Arial"/>
          <w:color w:val="000000"/>
          <w:sz w:val="18"/>
          <w:szCs w:val="18"/>
        </w:rPr>
        <w:t xml:space="preserve"> pětiletá fixace úrokových sazeb.</w:t>
      </w:r>
    </w:p>
    <w:p w14:paraId="52D376EC" w14:textId="77777777" w:rsidR="005D72FA" w:rsidRPr="005D72FA" w:rsidRDefault="005D72FA" w:rsidP="005D72FA">
      <w:pPr>
        <w:spacing w:after="120"/>
        <w:jc w:val="both"/>
        <w:rPr>
          <w:rFonts w:ascii="Arial" w:hAnsi="Arial" w:cs="Arial"/>
          <w:b/>
          <w:sz w:val="10"/>
          <w:szCs w:val="10"/>
        </w:rPr>
      </w:pPr>
    </w:p>
    <w:p w14:paraId="1920572F" w14:textId="0AA764D2" w:rsidR="005D72FA" w:rsidRPr="005D72FA" w:rsidRDefault="005D72FA" w:rsidP="005D72FA">
      <w:pPr>
        <w:spacing w:after="120"/>
        <w:jc w:val="both"/>
        <w:rPr>
          <w:rFonts w:ascii="Arial" w:hAnsi="Arial" w:cs="Arial"/>
          <w:color w:val="1D1D1B"/>
          <w:w w:val="105"/>
          <w:sz w:val="18"/>
          <w:szCs w:val="18"/>
        </w:rPr>
      </w:pPr>
      <w:r w:rsidRPr="005D72FA">
        <w:rPr>
          <w:rFonts w:ascii="Arial" w:hAnsi="Arial" w:cs="Arial"/>
          <w:b/>
          <w:sz w:val="18"/>
          <w:szCs w:val="18"/>
        </w:rPr>
        <w:t>Poznámka pro média:</w:t>
      </w:r>
      <w:r w:rsidRPr="005D72FA">
        <w:rPr>
          <w:rFonts w:ascii="Arial" w:hAnsi="Arial" w:cs="Arial"/>
          <w:sz w:val="18"/>
          <w:szCs w:val="18"/>
        </w:rPr>
        <w:t xml:space="preserve"> </w:t>
      </w:r>
      <w:r w:rsidRPr="005D72FA">
        <w:rPr>
          <w:rFonts w:ascii="Arial" w:hAnsi="Arial" w:cs="Arial"/>
          <w:color w:val="1D1D1B"/>
          <w:w w:val="105"/>
          <w:sz w:val="18"/>
          <w:szCs w:val="18"/>
        </w:rPr>
        <w:t>Broker</w:t>
      </w:r>
      <w:r w:rsidRPr="005D72FA">
        <w:rPr>
          <w:rFonts w:ascii="Arial" w:hAnsi="Arial" w:cs="Arial"/>
          <w:color w:val="1D1D1B"/>
          <w:spacing w:val="-9"/>
          <w:w w:val="105"/>
          <w:sz w:val="18"/>
          <w:szCs w:val="18"/>
        </w:rPr>
        <w:t xml:space="preserve"> </w:t>
      </w:r>
      <w:r w:rsidRPr="005D72FA">
        <w:rPr>
          <w:rFonts w:ascii="Arial" w:hAnsi="Arial" w:cs="Arial"/>
          <w:color w:val="1D1D1B"/>
          <w:w w:val="105"/>
          <w:sz w:val="18"/>
          <w:szCs w:val="18"/>
        </w:rPr>
        <w:t>Consulting</w:t>
      </w:r>
      <w:r w:rsidRPr="005D72FA">
        <w:rPr>
          <w:rFonts w:ascii="Arial" w:hAnsi="Arial" w:cs="Arial"/>
          <w:color w:val="1D1D1B"/>
          <w:spacing w:val="-8"/>
          <w:w w:val="105"/>
          <w:sz w:val="18"/>
          <w:szCs w:val="18"/>
        </w:rPr>
        <w:t xml:space="preserve"> </w:t>
      </w:r>
      <w:r w:rsidRPr="005D72FA">
        <w:rPr>
          <w:rFonts w:ascii="Arial" w:hAnsi="Arial" w:cs="Arial"/>
          <w:color w:val="1D1D1B"/>
          <w:w w:val="105"/>
          <w:sz w:val="18"/>
          <w:szCs w:val="18"/>
        </w:rPr>
        <w:t>Indexy</w:t>
      </w:r>
      <w:r w:rsidRPr="005D72FA">
        <w:rPr>
          <w:rFonts w:ascii="Arial" w:hAnsi="Arial" w:cs="Arial"/>
          <w:color w:val="1D1D1B"/>
          <w:spacing w:val="-9"/>
          <w:w w:val="105"/>
          <w:sz w:val="18"/>
          <w:szCs w:val="18"/>
        </w:rPr>
        <w:t xml:space="preserve"> </w:t>
      </w:r>
      <w:r w:rsidRPr="005D72FA">
        <w:rPr>
          <w:rFonts w:ascii="Arial" w:hAnsi="Arial" w:cs="Arial"/>
          <w:color w:val="1D1D1B"/>
          <w:w w:val="105"/>
          <w:sz w:val="18"/>
          <w:szCs w:val="18"/>
        </w:rPr>
        <w:t>je</w:t>
      </w:r>
      <w:r w:rsidRPr="005D72FA">
        <w:rPr>
          <w:rFonts w:ascii="Arial" w:hAnsi="Arial" w:cs="Arial"/>
          <w:color w:val="1D1D1B"/>
          <w:spacing w:val="-8"/>
          <w:w w:val="105"/>
          <w:sz w:val="18"/>
          <w:szCs w:val="18"/>
        </w:rPr>
        <w:t xml:space="preserve"> </w:t>
      </w:r>
      <w:r w:rsidRPr="005D72FA">
        <w:rPr>
          <w:rFonts w:ascii="Arial" w:hAnsi="Arial" w:cs="Arial"/>
          <w:color w:val="1D1D1B"/>
          <w:w w:val="105"/>
          <w:sz w:val="18"/>
          <w:szCs w:val="18"/>
        </w:rPr>
        <w:t>možné</w:t>
      </w:r>
      <w:r w:rsidRPr="005D72FA">
        <w:rPr>
          <w:rFonts w:ascii="Arial" w:hAnsi="Arial" w:cs="Arial"/>
          <w:color w:val="1D1D1B"/>
          <w:spacing w:val="-9"/>
          <w:w w:val="105"/>
          <w:sz w:val="18"/>
          <w:szCs w:val="18"/>
        </w:rPr>
        <w:t xml:space="preserve"> </w:t>
      </w:r>
      <w:r w:rsidRPr="005D72FA">
        <w:rPr>
          <w:rFonts w:ascii="Arial" w:hAnsi="Arial" w:cs="Arial"/>
          <w:color w:val="1D1D1B"/>
          <w:w w:val="105"/>
          <w:sz w:val="18"/>
          <w:szCs w:val="18"/>
        </w:rPr>
        <w:t>volně</w:t>
      </w:r>
      <w:r w:rsidRPr="005D72FA">
        <w:rPr>
          <w:rFonts w:ascii="Arial" w:hAnsi="Arial" w:cs="Arial"/>
          <w:color w:val="1D1D1B"/>
          <w:spacing w:val="-8"/>
          <w:w w:val="105"/>
          <w:sz w:val="18"/>
          <w:szCs w:val="18"/>
        </w:rPr>
        <w:t xml:space="preserve"> </w:t>
      </w:r>
      <w:r w:rsidRPr="005D72FA">
        <w:rPr>
          <w:rFonts w:ascii="Arial" w:hAnsi="Arial" w:cs="Arial"/>
          <w:color w:val="1D1D1B"/>
          <w:spacing w:val="2"/>
          <w:w w:val="105"/>
          <w:sz w:val="18"/>
          <w:szCs w:val="18"/>
        </w:rPr>
        <w:t>publikovat</w:t>
      </w:r>
      <w:r w:rsidRPr="005D72FA">
        <w:rPr>
          <w:rFonts w:ascii="Arial" w:hAnsi="Arial" w:cs="Arial"/>
          <w:color w:val="1D1D1B"/>
          <w:spacing w:val="-9"/>
          <w:w w:val="105"/>
          <w:sz w:val="18"/>
          <w:szCs w:val="18"/>
        </w:rPr>
        <w:t xml:space="preserve"> </w:t>
      </w:r>
      <w:r w:rsidRPr="005D72FA">
        <w:rPr>
          <w:rFonts w:ascii="Arial" w:hAnsi="Arial" w:cs="Arial"/>
          <w:color w:val="1D1D1B"/>
          <w:w w:val="105"/>
          <w:sz w:val="18"/>
          <w:szCs w:val="18"/>
        </w:rPr>
        <w:t>pouze</w:t>
      </w:r>
      <w:r w:rsidRPr="005D72FA">
        <w:rPr>
          <w:rFonts w:ascii="Arial" w:hAnsi="Arial" w:cs="Arial"/>
          <w:color w:val="1D1D1B"/>
          <w:spacing w:val="-8"/>
          <w:w w:val="105"/>
          <w:sz w:val="18"/>
          <w:szCs w:val="18"/>
        </w:rPr>
        <w:t xml:space="preserve"> </w:t>
      </w:r>
      <w:r w:rsidRPr="005D72FA">
        <w:rPr>
          <w:rFonts w:ascii="Arial" w:hAnsi="Arial" w:cs="Arial"/>
          <w:color w:val="1D1D1B"/>
          <w:w w:val="105"/>
          <w:sz w:val="18"/>
          <w:szCs w:val="18"/>
        </w:rPr>
        <w:t>s</w:t>
      </w:r>
      <w:r w:rsidRPr="005D72FA">
        <w:rPr>
          <w:rFonts w:ascii="Arial" w:hAnsi="Arial" w:cs="Arial"/>
          <w:color w:val="1D1D1B"/>
          <w:spacing w:val="-9"/>
          <w:w w:val="105"/>
          <w:sz w:val="18"/>
          <w:szCs w:val="18"/>
        </w:rPr>
        <w:t xml:space="preserve"> </w:t>
      </w:r>
      <w:r w:rsidRPr="005D72FA">
        <w:rPr>
          <w:rFonts w:ascii="Arial" w:hAnsi="Arial" w:cs="Arial"/>
          <w:color w:val="1D1D1B"/>
          <w:w w:val="105"/>
          <w:sz w:val="18"/>
          <w:szCs w:val="18"/>
        </w:rPr>
        <w:t>označením</w:t>
      </w:r>
      <w:r w:rsidRPr="005D72FA">
        <w:rPr>
          <w:rFonts w:ascii="Arial" w:hAnsi="Arial" w:cs="Arial"/>
          <w:color w:val="1D1D1B"/>
          <w:spacing w:val="-8"/>
          <w:w w:val="105"/>
          <w:sz w:val="18"/>
          <w:szCs w:val="18"/>
        </w:rPr>
        <w:t xml:space="preserve"> </w:t>
      </w:r>
      <w:r w:rsidRPr="005D72FA">
        <w:rPr>
          <w:rFonts w:ascii="Arial" w:hAnsi="Arial" w:cs="Arial"/>
          <w:color w:val="1D1D1B"/>
          <w:w w:val="105"/>
          <w:sz w:val="18"/>
          <w:szCs w:val="18"/>
        </w:rPr>
        <w:t>„Broker</w:t>
      </w:r>
      <w:r w:rsidRPr="005D72FA">
        <w:rPr>
          <w:rFonts w:ascii="Arial" w:hAnsi="Arial" w:cs="Arial"/>
          <w:color w:val="1D1D1B"/>
          <w:spacing w:val="-9"/>
          <w:w w:val="105"/>
          <w:sz w:val="18"/>
          <w:szCs w:val="18"/>
        </w:rPr>
        <w:t xml:space="preserve"> </w:t>
      </w:r>
      <w:r w:rsidRPr="005D72FA">
        <w:rPr>
          <w:rFonts w:ascii="Arial" w:hAnsi="Arial" w:cs="Arial"/>
          <w:color w:val="1D1D1B"/>
          <w:w w:val="105"/>
          <w:sz w:val="18"/>
          <w:szCs w:val="18"/>
        </w:rPr>
        <w:t>Consulting</w:t>
      </w:r>
      <w:r w:rsidRPr="005D72FA">
        <w:rPr>
          <w:rFonts w:ascii="Arial" w:hAnsi="Arial" w:cs="Arial"/>
          <w:color w:val="1D1D1B"/>
          <w:spacing w:val="-8"/>
          <w:w w:val="105"/>
          <w:sz w:val="18"/>
          <w:szCs w:val="18"/>
        </w:rPr>
        <w:t xml:space="preserve"> </w:t>
      </w:r>
      <w:r w:rsidRPr="005D72FA">
        <w:rPr>
          <w:rFonts w:ascii="Arial" w:hAnsi="Arial" w:cs="Arial"/>
          <w:color w:val="1D1D1B"/>
          <w:w w:val="105"/>
          <w:sz w:val="18"/>
          <w:szCs w:val="18"/>
        </w:rPr>
        <w:t>Index“</w:t>
      </w:r>
      <w:r w:rsidRPr="005D72FA">
        <w:rPr>
          <w:rFonts w:ascii="Arial" w:hAnsi="Arial" w:cs="Arial"/>
          <w:color w:val="1D1D1B"/>
          <w:spacing w:val="-9"/>
          <w:w w:val="105"/>
          <w:sz w:val="18"/>
          <w:szCs w:val="18"/>
        </w:rPr>
        <w:t xml:space="preserve"> </w:t>
      </w:r>
      <w:r w:rsidRPr="005D72FA">
        <w:rPr>
          <w:rFonts w:ascii="Arial" w:hAnsi="Arial" w:cs="Arial"/>
          <w:color w:val="1D1D1B"/>
          <w:spacing w:val="-3"/>
          <w:w w:val="105"/>
          <w:sz w:val="18"/>
          <w:szCs w:val="18"/>
        </w:rPr>
        <w:t>(</w:t>
      </w:r>
      <w:r w:rsidRPr="005D72FA">
        <w:rPr>
          <w:rFonts w:ascii="Arial" w:hAnsi="Arial" w:cs="Arial"/>
          <w:i/>
          <w:color w:val="1D1D1B"/>
          <w:spacing w:val="-3"/>
          <w:w w:val="105"/>
          <w:sz w:val="18"/>
          <w:szCs w:val="18"/>
        </w:rPr>
        <w:t>např.</w:t>
      </w:r>
      <w:r w:rsidRPr="005D72FA">
        <w:rPr>
          <w:rFonts w:ascii="Arial" w:hAnsi="Arial" w:cs="Arial"/>
          <w:i/>
          <w:color w:val="1D1D1B"/>
          <w:spacing w:val="-8"/>
          <w:w w:val="105"/>
          <w:sz w:val="18"/>
          <w:szCs w:val="18"/>
        </w:rPr>
        <w:t xml:space="preserve"> </w:t>
      </w:r>
      <w:r w:rsidRPr="005D72FA">
        <w:rPr>
          <w:rFonts w:ascii="Arial" w:hAnsi="Arial" w:cs="Arial"/>
          <w:i/>
          <w:color w:val="1D1D1B"/>
          <w:w w:val="105"/>
          <w:sz w:val="18"/>
          <w:szCs w:val="18"/>
        </w:rPr>
        <w:t>Broker</w:t>
      </w:r>
      <w:r w:rsidRPr="005D72FA">
        <w:rPr>
          <w:rFonts w:ascii="Arial" w:hAnsi="Arial" w:cs="Arial"/>
          <w:i/>
          <w:color w:val="1D1D1B"/>
          <w:spacing w:val="-9"/>
          <w:w w:val="105"/>
          <w:sz w:val="18"/>
          <w:szCs w:val="18"/>
        </w:rPr>
        <w:t xml:space="preserve"> </w:t>
      </w:r>
      <w:r w:rsidRPr="005D72FA">
        <w:rPr>
          <w:rFonts w:ascii="Arial" w:hAnsi="Arial" w:cs="Arial"/>
          <w:i/>
          <w:color w:val="1D1D1B"/>
          <w:w w:val="105"/>
          <w:sz w:val="18"/>
          <w:szCs w:val="18"/>
        </w:rPr>
        <w:t>Consulting</w:t>
      </w:r>
      <w:r w:rsidRPr="005D72FA">
        <w:rPr>
          <w:rFonts w:ascii="Arial" w:hAnsi="Arial" w:cs="Arial"/>
          <w:i/>
          <w:color w:val="1D1D1B"/>
          <w:spacing w:val="-8"/>
          <w:w w:val="105"/>
          <w:sz w:val="18"/>
          <w:szCs w:val="18"/>
        </w:rPr>
        <w:t xml:space="preserve"> Index </w:t>
      </w:r>
      <w:r w:rsidRPr="005D72FA">
        <w:rPr>
          <w:rFonts w:ascii="Arial" w:hAnsi="Arial" w:cs="Arial"/>
          <w:i/>
          <w:color w:val="1D1D1B"/>
          <w:w w:val="105"/>
          <w:sz w:val="18"/>
          <w:szCs w:val="18"/>
        </w:rPr>
        <w:t>hypoteční</w:t>
      </w:r>
      <w:r w:rsidRPr="005D72FA">
        <w:rPr>
          <w:rFonts w:ascii="Arial" w:hAnsi="Arial" w:cs="Arial"/>
          <w:i/>
          <w:color w:val="1D1D1B"/>
          <w:spacing w:val="-9"/>
          <w:w w:val="105"/>
          <w:sz w:val="18"/>
          <w:szCs w:val="18"/>
        </w:rPr>
        <w:t>ch úvěrů</w:t>
      </w:r>
      <w:r w:rsidRPr="005D72FA">
        <w:rPr>
          <w:rFonts w:ascii="Arial" w:hAnsi="Arial" w:cs="Arial"/>
          <w:i/>
          <w:color w:val="1D1D1B"/>
          <w:w w:val="105"/>
          <w:sz w:val="18"/>
          <w:szCs w:val="18"/>
        </w:rPr>
        <w:t xml:space="preserve">). </w:t>
      </w:r>
      <w:r w:rsidRPr="005D72FA">
        <w:rPr>
          <w:rFonts w:ascii="Arial" w:hAnsi="Arial" w:cs="Arial"/>
          <w:color w:val="1D1D1B"/>
          <w:w w:val="105"/>
          <w:sz w:val="18"/>
          <w:szCs w:val="18"/>
        </w:rPr>
        <w:t xml:space="preserve">Více informací najdete též na webu </w:t>
      </w:r>
      <w:r w:rsidRPr="005D72FA">
        <w:rPr>
          <w:rStyle w:val="Hypertextovodkaz"/>
          <w:rFonts w:ascii="Arial" w:hAnsi="Arial" w:cs="Arial"/>
          <w:w w:val="105"/>
          <w:sz w:val="18"/>
          <w:szCs w:val="18"/>
        </w:rPr>
        <w:t>https://www.bcas.cz/onas/pro-media/</w:t>
      </w:r>
      <w:r w:rsidRPr="005D72FA">
        <w:rPr>
          <w:rFonts w:ascii="Arial" w:hAnsi="Arial" w:cs="Arial"/>
          <w:color w:val="1D1D1B"/>
          <w:w w:val="105"/>
          <w:sz w:val="18"/>
          <w:szCs w:val="18"/>
        </w:rPr>
        <w:t xml:space="preserve">. </w:t>
      </w:r>
    </w:p>
    <w:p w14:paraId="78AD05CE" w14:textId="68512067" w:rsidR="005D72FA" w:rsidRPr="005D72FA" w:rsidRDefault="005D72FA" w:rsidP="005D72FA">
      <w:pPr>
        <w:jc w:val="both"/>
        <w:rPr>
          <w:rFonts w:ascii="Arial" w:hAnsi="Arial" w:cs="Arial"/>
          <w:b/>
          <w:color w:val="1D1D1B"/>
          <w:w w:val="105"/>
          <w:sz w:val="18"/>
          <w:szCs w:val="18"/>
        </w:rPr>
      </w:pPr>
      <w:r w:rsidRPr="005D72FA">
        <w:rPr>
          <w:rFonts w:ascii="Arial" w:hAnsi="Arial" w:cs="Arial"/>
          <w:b/>
          <w:color w:val="FF0000"/>
          <w:w w:val="105"/>
          <w:sz w:val="18"/>
          <w:szCs w:val="18"/>
        </w:rPr>
        <w:t>Broker Consulting Indexy je nyní možné sledovat v interaktivní formě na webu</w:t>
      </w:r>
      <w:r w:rsidRPr="005D72FA">
        <w:rPr>
          <w:rFonts w:ascii="Arial" w:hAnsi="Arial" w:cs="Arial"/>
          <w:w w:val="105"/>
          <w:sz w:val="18"/>
          <w:szCs w:val="18"/>
        </w:rPr>
        <w:t>, kde lze současně exportovat zdrojová data ke grafům. Více dostupné na odkaze</w:t>
      </w:r>
      <w:r w:rsidRPr="005D72FA">
        <w:rPr>
          <w:rFonts w:ascii="Arial" w:hAnsi="Arial" w:cs="Arial"/>
          <w:b/>
          <w:w w:val="105"/>
          <w:sz w:val="18"/>
          <w:szCs w:val="18"/>
        </w:rPr>
        <w:t xml:space="preserve"> </w:t>
      </w:r>
      <w:hyperlink r:id="rId26" w:history="1">
        <w:r w:rsidR="00E26488" w:rsidRPr="00E26488">
          <w:rPr>
            <w:rStyle w:val="Hypertextovodkaz"/>
            <w:rFonts w:ascii="Arial" w:hAnsi="Arial" w:cs="Arial"/>
            <w:sz w:val="18"/>
            <w:szCs w:val="18"/>
          </w:rPr>
          <w:t>https://www.bcas.cz/o-nas/broker-consulting-index-hypotecnich-uveru/</w:t>
        </w:r>
      </w:hyperlink>
      <w:r w:rsidR="00E26488">
        <w:rPr>
          <w:rFonts w:ascii="Arial" w:hAnsi="Arial" w:cs="Arial"/>
          <w:sz w:val="18"/>
          <w:szCs w:val="18"/>
        </w:rPr>
        <w:t>.</w:t>
      </w:r>
      <w:r w:rsidR="00E26488" w:rsidRPr="00E26488">
        <w:rPr>
          <w:rFonts w:ascii="Arial" w:hAnsi="Arial" w:cs="Arial"/>
          <w:sz w:val="18"/>
          <w:szCs w:val="18"/>
        </w:rPr>
        <w:t xml:space="preserve"> </w:t>
      </w:r>
    </w:p>
    <w:p w14:paraId="55FEC2AA" w14:textId="77777777" w:rsidR="005D72FA" w:rsidRDefault="005D72FA" w:rsidP="005D72FA">
      <w:pPr>
        <w:spacing w:before="120"/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20C4B6DC" w14:textId="15862323" w:rsidR="005D72FA" w:rsidRPr="00153646" w:rsidRDefault="005D72FA" w:rsidP="005D72FA">
      <w:pPr>
        <w:spacing w:before="120"/>
        <w:rPr>
          <w:rFonts w:ascii="Arial" w:eastAsia="Calibri" w:hAnsi="Arial" w:cs="Arial"/>
          <w:b/>
          <w:bCs/>
          <w:noProof/>
          <w:sz w:val="20"/>
          <w:szCs w:val="20"/>
        </w:rPr>
      </w:pPr>
      <w:r w:rsidRPr="00153646">
        <w:rPr>
          <w:rFonts w:ascii="Arial" w:eastAsia="Calibri" w:hAnsi="Arial" w:cs="Arial"/>
          <w:b/>
          <w:bCs/>
          <w:noProof/>
          <w:sz w:val="20"/>
          <w:szCs w:val="20"/>
        </w:rPr>
        <w:t>Kontakt pro média:</w:t>
      </w:r>
    </w:p>
    <w:p w14:paraId="35A7D5B0" w14:textId="77777777" w:rsidR="005D72FA" w:rsidRDefault="005D72FA" w:rsidP="005D72FA">
      <w:pPr>
        <w:pStyle w:val="Bezmezer"/>
        <w:ind w:right="142"/>
        <w:jc w:val="both"/>
        <w:rPr>
          <w:rFonts w:ascii="Arial" w:eastAsia="F015TEELig" w:hAnsi="Arial" w:cs="Arial"/>
          <w:b/>
          <w:sz w:val="18"/>
          <w:szCs w:val="18"/>
        </w:rPr>
      </w:pPr>
    </w:p>
    <w:p w14:paraId="02BD8A85" w14:textId="77777777" w:rsidR="005D72FA" w:rsidRPr="00E26488" w:rsidRDefault="005D72FA" w:rsidP="005D72FA">
      <w:pPr>
        <w:pStyle w:val="Bezmezer"/>
        <w:ind w:right="142"/>
        <w:jc w:val="both"/>
        <w:rPr>
          <w:rFonts w:ascii="Arial" w:eastAsia="F015TEELig" w:hAnsi="Arial" w:cs="Arial"/>
          <w:sz w:val="18"/>
          <w:szCs w:val="18"/>
        </w:rPr>
      </w:pPr>
      <w:r w:rsidRPr="00E26488">
        <w:rPr>
          <w:rFonts w:ascii="Arial" w:eastAsia="F015TEELig" w:hAnsi="Arial" w:cs="Arial"/>
          <w:sz w:val="18"/>
          <w:szCs w:val="18"/>
        </w:rPr>
        <w:t>Tereza Záhrubská</w:t>
      </w:r>
    </w:p>
    <w:p w14:paraId="3C77D207" w14:textId="77777777" w:rsidR="005D72FA" w:rsidRPr="00E26488" w:rsidRDefault="005D72FA" w:rsidP="005D72FA">
      <w:pPr>
        <w:pStyle w:val="Bezmezer"/>
        <w:ind w:right="142"/>
        <w:jc w:val="both"/>
        <w:rPr>
          <w:rFonts w:ascii="Arial" w:eastAsia="F015TEELig" w:hAnsi="Arial" w:cs="Arial"/>
          <w:sz w:val="18"/>
          <w:szCs w:val="18"/>
        </w:rPr>
      </w:pPr>
      <w:r w:rsidRPr="00E26488">
        <w:rPr>
          <w:rFonts w:ascii="Arial" w:eastAsia="F015TEELig" w:hAnsi="Arial" w:cs="Arial"/>
          <w:sz w:val="18"/>
          <w:szCs w:val="18"/>
        </w:rPr>
        <w:t>Specialistka PR a externí komunikace</w:t>
      </w:r>
    </w:p>
    <w:p w14:paraId="5BC13BD9" w14:textId="77777777" w:rsidR="005D72FA" w:rsidRPr="00E26488" w:rsidRDefault="005D72FA" w:rsidP="005D72FA">
      <w:pPr>
        <w:pStyle w:val="Bezmezer"/>
        <w:ind w:right="142"/>
        <w:jc w:val="both"/>
        <w:rPr>
          <w:rFonts w:ascii="Arial" w:eastAsia="F015TEELig" w:hAnsi="Arial" w:cs="Arial"/>
          <w:sz w:val="18"/>
          <w:szCs w:val="18"/>
        </w:rPr>
      </w:pPr>
      <w:r w:rsidRPr="00E26488">
        <w:rPr>
          <w:rFonts w:ascii="Arial" w:eastAsia="F015TEELig" w:hAnsi="Arial" w:cs="Arial"/>
          <w:sz w:val="18"/>
          <w:szCs w:val="18"/>
        </w:rPr>
        <w:t>Mobil: +420 </w:t>
      </w:r>
      <w:r w:rsidRPr="00E26488">
        <w:rPr>
          <w:rFonts w:ascii="Arial" w:eastAsia="Calibri" w:hAnsi="Arial" w:cs="Arial"/>
          <w:noProof/>
          <w:sz w:val="18"/>
          <w:szCs w:val="18"/>
        </w:rPr>
        <w:t>731 537 716</w:t>
      </w:r>
    </w:p>
    <w:p w14:paraId="1F21D47E" w14:textId="77777777" w:rsidR="005D72FA" w:rsidRPr="00E26488" w:rsidRDefault="005D72FA" w:rsidP="005D72FA">
      <w:pPr>
        <w:pStyle w:val="Bezmezer"/>
        <w:ind w:right="142"/>
        <w:jc w:val="both"/>
        <w:rPr>
          <w:rFonts w:ascii="Arial" w:eastAsia="F015TEELig" w:hAnsi="Arial" w:cs="Arial"/>
          <w:sz w:val="18"/>
          <w:szCs w:val="18"/>
        </w:rPr>
      </w:pPr>
      <w:r w:rsidRPr="00E26488">
        <w:rPr>
          <w:rFonts w:ascii="Arial" w:eastAsia="F015TEELig" w:hAnsi="Arial" w:cs="Arial"/>
          <w:sz w:val="18"/>
          <w:szCs w:val="18"/>
        </w:rPr>
        <w:t>E-mail:</w:t>
      </w:r>
      <w:r w:rsidRPr="00E26488">
        <w:rPr>
          <w:rFonts w:ascii="Arial" w:eastAsia="Calibri" w:hAnsi="Arial" w:cs="Arial"/>
          <w:noProof/>
          <w:sz w:val="18"/>
          <w:szCs w:val="18"/>
        </w:rPr>
        <w:t xml:space="preserve"> </w:t>
      </w:r>
      <w:hyperlink r:id="rId27" w:history="1">
        <w:r w:rsidRPr="00E26488">
          <w:rPr>
            <w:rStyle w:val="Hypertextovodkaz"/>
            <w:rFonts w:ascii="Arial" w:eastAsia="Calibri" w:hAnsi="Arial" w:cs="Arial"/>
            <w:noProof/>
            <w:sz w:val="18"/>
            <w:szCs w:val="18"/>
          </w:rPr>
          <w:t>tereza.zahrubska@bcas.cz</w:t>
        </w:r>
      </w:hyperlink>
      <w:r w:rsidRPr="00E26488">
        <w:rPr>
          <w:rFonts w:ascii="Arial" w:eastAsia="Calibri" w:hAnsi="Arial" w:cs="Arial"/>
          <w:noProof/>
          <w:sz w:val="18"/>
          <w:szCs w:val="18"/>
        </w:rPr>
        <w:t xml:space="preserve"> </w:t>
      </w:r>
    </w:p>
    <w:p w14:paraId="025F1B2F" w14:textId="66C09884" w:rsidR="00D60D98" w:rsidRPr="00E26488" w:rsidRDefault="00D60D98" w:rsidP="005D72FA">
      <w:pPr>
        <w:rPr>
          <w:rFonts w:cstheme="minorHAnsi"/>
          <w:sz w:val="18"/>
          <w:szCs w:val="18"/>
        </w:rPr>
      </w:pPr>
    </w:p>
    <w:sectPr w:rsidR="00D60D98" w:rsidRPr="00E26488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7C1B9B" w14:textId="77777777" w:rsidR="00203A6A" w:rsidRDefault="00203A6A">
      <w:r>
        <w:separator/>
      </w:r>
    </w:p>
  </w:endnote>
  <w:endnote w:type="continuationSeparator" w:id="0">
    <w:p w14:paraId="24EE5DC2" w14:textId="77777777" w:rsidR="00203A6A" w:rsidRDefault="00203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203A6A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B37876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203A6A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B37876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203A6A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B37876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BA2CE3" w14:textId="77777777" w:rsidR="00203A6A" w:rsidRDefault="00203A6A">
      <w:r>
        <w:separator/>
      </w:r>
    </w:p>
  </w:footnote>
  <w:footnote w:type="continuationSeparator" w:id="0">
    <w:p w14:paraId="2AFE7F13" w14:textId="77777777" w:rsidR="00203A6A" w:rsidRDefault="00203A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7443AD" w:rsidRDefault="00D80B6D" w:rsidP="00E95698">
    <w:pPr>
      <w:tabs>
        <w:tab w:val="left" w:pos="8633"/>
      </w:tabs>
      <w:spacing w:before="80"/>
      <w:ind w:firstLine="2880"/>
      <w:rPr>
        <w:rFonts w:asciiTheme="minorHAnsi" w:hAnsiTheme="minorHAnsi" w:cstheme="minorHAnsi"/>
        <w:sz w:val="52"/>
      </w:rPr>
    </w:pPr>
    <w:r w:rsidRPr="007443AD">
      <w:rPr>
        <w:rFonts w:asciiTheme="minorHAnsi" w:hAnsiTheme="minorHAnsi" w:cstheme="minorHAnsi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7443AD">
      <w:rPr>
        <w:rFonts w:asciiTheme="minorHAnsi" w:hAnsiTheme="minorHAnsi" w:cstheme="minorHAnsi"/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443AD">
      <w:rPr>
        <w:rFonts w:asciiTheme="minorHAnsi" w:hAnsiTheme="minorHAnsi" w:cstheme="minorHAnsi"/>
        <w:color w:val="1D1D1B"/>
        <w:sz w:val="48"/>
      </w:rPr>
      <w:t xml:space="preserve">BROKER CONSULTING </w:t>
    </w:r>
    <w:r w:rsidRPr="007443AD">
      <w:rPr>
        <w:rFonts w:asciiTheme="minorHAnsi" w:hAnsiTheme="minorHAnsi" w:cstheme="minorHAnsi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77777777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2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43C085E5" w14:textId="62CDD8CE" w:rsidR="000F4B6C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HYPOTEČNÍCH ÚVĚRŮ &amp; FIXINDEX</w:t>
    </w:r>
  </w:p>
  <w:p w14:paraId="0E033147" w14:textId="77777777" w:rsidR="00D40C89" w:rsidRPr="00D40C89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4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7443AD" w:rsidRDefault="009F59EE" w:rsidP="009F59EE">
    <w:pPr>
      <w:pStyle w:val="Nadpis2"/>
      <w:ind w:left="1440" w:firstLine="720"/>
      <w:rPr>
        <w:rFonts w:asciiTheme="minorHAnsi" w:hAnsiTheme="minorHAnsi" w:cstheme="minorHAnsi"/>
      </w:rPr>
    </w:pPr>
    <w:r w:rsidRPr="007443AD">
      <w:rPr>
        <w:rFonts w:asciiTheme="minorHAnsi" w:hAnsiTheme="minorHAnsi" w:cstheme="minorHAnsi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7443AD">
      <w:rPr>
        <w:rFonts w:asciiTheme="minorHAnsi" w:hAnsiTheme="minorHAnsi" w:cstheme="minorHAnsi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443AD">
      <w:rPr>
        <w:rFonts w:asciiTheme="minorHAnsi" w:hAnsiTheme="minorHAnsi" w:cstheme="minorHAnsi"/>
        <w:color w:val="1D1D1B"/>
      </w:rPr>
      <w:t>BROKER CONSULTING</w:t>
    </w:r>
  </w:p>
  <w:p w14:paraId="3FF270D6" w14:textId="6799F236" w:rsidR="00D40C89" w:rsidRPr="007443AD" w:rsidRDefault="009F59EE" w:rsidP="00D40C89">
    <w:pPr>
      <w:spacing w:before="85"/>
      <w:ind w:left="1440" w:firstLine="720"/>
      <w:rPr>
        <w:rFonts w:asciiTheme="minorHAnsi" w:hAnsiTheme="minorHAnsi" w:cstheme="minorHAnsi"/>
        <w:color w:val="E52713"/>
        <w:sz w:val="28"/>
        <w:szCs w:val="28"/>
      </w:rPr>
    </w:pPr>
    <w:r w:rsidRPr="007443AD">
      <w:rPr>
        <w:rFonts w:asciiTheme="minorHAnsi" w:hAnsiTheme="minorHAnsi" w:cstheme="minorHAnsi"/>
        <w:color w:val="E52713"/>
        <w:sz w:val="28"/>
        <w:szCs w:val="28"/>
      </w:rPr>
      <w:t xml:space="preserve">INDEX </w:t>
    </w:r>
    <w:r w:rsidR="002A1185" w:rsidRPr="007443AD">
      <w:rPr>
        <w:rFonts w:asciiTheme="minorHAnsi" w:hAnsiTheme="minorHAnsi" w:cstheme="minorHAnsi"/>
        <w:color w:val="E52713"/>
        <w:sz w:val="28"/>
        <w:szCs w:val="28"/>
      </w:rPr>
      <w:t>HYPOTEČNÍCH ÚVĚRŮ</w:t>
    </w:r>
    <w:r w:rsidR="00D40C89" w:rsidRPr="007443AD">
      <w:rPr>
        <w:rFonts w:asciiTheme="minorHAnsi" w:hAnsiTheme="minorHAnsi" w:cstheme="minorHAnsi"/>
        <w:color w:val="E52713"/>
        <w:sz w:val="28"/>
        <w:szCs w:val="28"/>
      </w:rPr>
      <w:t xml:space="preserve"> &amp; FIXINDEX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F44BEA"/>
    <w:multiLevelType w:val="hybridMultilevel"/>
    <w:tmpl w:val="1A8CC4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23025E"/>
    <w:multiLevelType w:val="hybridMultilevel"/>
    <w:tmpl w:val="ECCE2D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E52180"/>
    <w:multiLevelType w:val="hybridMultilevel"/>
    <w:tmpl w:val="CA92D9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8631C5"/>
    <w:multiLevelType w:val="hybridMultilevel"/>
    <w:tmpl w:val="37368C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5" w15:restartNumberingAfterBreak="0">
    <w:nsid w:val="3A62021C"/>
    <w:multiLevelType w:val="hybridMultilevel"/>
    <w:tmpl w:val="40EC06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325D01"/>
    <w:multiLevelType w:val="hybridMultilevel"/>
    <w:tmpl w:val="20B04784"/>
    <w:lvl w:ilvl="0" w:tplc="67E89344">
      <w:start w:val="6"/>
      <w:numFmt w:val="bullet"/>
      <w:lvlText w:val="-"/>
      <w:lvlJc w:val="left"/>
      <w:pPr>
        <w:ind w:left="720" w:hanging="360"/>
      </w:pPr>
      <w:rPr>
        <w:rFonts w:ascii="Arial" w:eastAsia="F015TEELig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D60C79"/>
    <w:multiLevelType w:val="hybridMultilevel"/>
    <w:tmpl w:val="E6EECF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14760E"/>
    <w:multiLevelType w:val="hybridMultilevel"/>
    <w:tmpl w:val="7B56EE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E675A0"/>
    <w:multiLevelType w:val="hybridMultilevel"/>
    <w:tmpl w:val="B462C0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B60605"/>
    <w:multiLevelType w:val="hybridMultilevel"/>
    <w:tmpl w:val="482ABF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E63C89"/>
    <w:multiLevelType w:val="hybridMultilevel"/>
    <w:tmpl w:val="03AAFAE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2"/>
  </w:num>
  <w:num w:numId="4">
    <w:abstractNumId w:val="9"/>
  </w:num>
  <w:num w:numId="5">
    <w:abstractNumId w:val="10"/>
  </w:num>
  <w:num w:numId="6">
    <w:abstractNumId w:val="6"/>
  </w:num>
  <w:num w:numId="7">
    <w:abstractNumId w:val="12"/>
  </w:num>
  <w:num w:numId="8">
    <w:abstractNumId w:val="3"/>
  </w:num>
  <w:num w:numId="9">
    <w:abstractNumId w:val="8"/>
  </w:num>
  <w:num w:numId="10">
    <w:abstractNumId w:val="5"/>
  </w:num>
  <w:num w:numId="11">
    <w:abstractNumId w:val="11"/>
  </w:num>
  <w:num w:numId="12">
    <w:abstractNumId w:val="8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0306F"/>
    <w:rsid w:val="00004919"/>
    <w:rsid w:val="00005B61"/>
    <w:rsid w:val="00010EBF"/>
    <w:rsid w:val="00011DF6"/>
    <w:rsid w:val="00014FB5"/>
    <w:rsid w:val="0001597B"/>
    <w:rsid w:val="000164D5"/>
    <w:rsid w:val="00020EC7"/>
    <w:rsid w:val="0002230E"/>
    <w:rsid w:val="000226F3"/>
    <w:rsid w:val="000262B1"/>
    <w:rsid w:val="00026F23"/>
    <w:rsid w:val="000277AC"/>
    <w:rsid w:val="00027C83"/>
    <w:rsid w:val="0003028F"/>
    <w:rsid w:val="00030E97"/>
    <w:rsid w:val="00032A79"/>
    <w:rsid w:val="00032D94"/>
    <w:rsid w:val="0003332D"/>
    <w:rsid w:val="00033FD7"/>
    <w:rsid w:val="000374D7"/>
    <w:rsid w:val="00037DAF"/>
    <w:rsid w:val="000400E4"/>
    <w:rsid w:val="000412FA"/>
    <w:rsid w:val="0004477D"/>
    <w:rsid w:val="0004487D"/>
    <w:rsid w:val="00044EC5"/>
    <w:rsid w:val="00045D86"/>
    <w:rsid w:val="00046AF6"/>
    <w:rsid w:val="0004776E"/>
    <w:rsid w:val="0005085B"/>
    <w:rsid w:val="0005423A"/>
    <w:rsid w:val="00057F54"/>
    <w:rsid w:val="000611E3"/>
    <w:rsid w:val="00061BF6"/>
    <w:rsid w:val="00070652"/>
    <w:rsid w:val="00074B2B"/>
    <w:rsid w:val="000766E7"/>
    <w:rsid w:val="00080E7A"/>
    <w:rsid w:val="00080EB3"/>
    <w:rsid w:val="00081616"/>
    <w:rsid w:val="000823D3"/>
    <w:rsid w:val="000823D6"/>
    <w:rsid w:val="00082D29"/>
    <w:rsid w:val="0008331F"/>
    <w:rsid w:val="000845CA"/>
    <w:rsid w:val="000851AC"/>
    <w:rsid w:val="000853D4"/>
    <w:rsid w:val="00087894"/>
    <w:rsid w:val="000878FB"/>
    <w:rsid w:val="0009257D"/>
    <w:rsid w:val="00092AEE"/>
    <w:rsid w:val="00092BB7"/>
    <w:rsid w:val="00092C6B"/>
    <w:rsid w:val="00094C16"/>
    <w:rsid w:val="00096425"/>
    <w:rsid w:val="00096ECA"/>
    <w:rsid w:val="0009776B"/>
    <w:rsid w:val="000A080B"/>
    <w:rsid w:val="000A3E94"/>
    <w:rsid w:val="000A6CF9"/>
    <w:rsid w:val="000B11A5"/>
    <w:rsid w:val="000B187C"/>
    <w:rsid w:val="000B6DD9"/>
    <w:rsid w:val="000B6E1B"/>
    <w:rsid w:val="000C181E"/>
    <w:rsid w:val="000C2DA6"/>
    <w:rsid w:val="000C5541"/>
    <w:rsid w:val="000C6D26"/>
    <w:rsid w:val="000C7564"/>
    <w:rsid w:val="000D0013"/>
    <w:rsid w:val="000D0B6F"/>
    <w:rsid w:val="000D14E2"/>
    <w:rsid w:val="000D17B9"/>
    <w:rsid w:val="000D2CFC"/>
    <w:rsid w:val="000D4AFB"/>
    <w:rsid w:val="000D6DDC"/>
    <w:rsid w:val="000D6E9B"/>
    <w:rsid w:val="000D7158"/>
    <w:rsid w:val="000E01C2"/>
    <w:rsid w:val="000E0639"/>
    <w:rsid w:val="000E19B2"/>
    <w:rsid w:val="000E1C76"/>
    <w:rsid w:val="000E2BE4"/>
    <w:rsid w:val="000E3D86"/>
    <w:rsid w:val="000E568C"/>
    <w:rsid w:val="000E5D32"/>
    <w:rsid w:val="000E6E14"/>
    <w:rsid w:val="000F4B6C"/>
    <w:rsid w:val="000F50BC"/>
    <w:rsid w:val="000F6249"/>
    <w:rsid w:val="000F6EBE"/>
    <w:rsid w:val="00101CEC"/>
    <w:rsid w:val="00103109"/>
    <w:rsid w:val="00105248"/>
    <w:rsid w:val="00106E26"/>
    <w:rsid w:val="001115A2"/>
    <w:rsid w:val="001117DE"/>
    <w:rsid w:val="00111C28"/>
    <w:rsid w:val="00113603"/>
    <w:rsid w:val="001153E3"/>
    <w:rsid w:val="00117AE4"/>
    <w:rsid w:val="00120113"/>
    <w:rsid w:val="001214E7"/>
    <w:rsid w:val="00122208"/>
    <w:rsid w:val="00122CEB"/>
    <w:rsid w:val="00123136"/>
    <w:rsid w:val="0012361F"/>
    <w:rsid w:val="00125B97"/>
    <w:rsid w:val="0012657A"/>
    <w:rsid w:val="00126BEC"/>
    <w:rsid w:val="00127234"/>
    <w:rsid w:val="0013044E"/>
    <w:rsid w:val="00131A69"/>
    <w:rsid w:val="001327CE"/>
    <w:rsid w:val="00132E53"/>
    <w:rsid w:val="00136115"/>
    <w:rsid w:val="00136D8D"/>
    <w:rsid w:val="00137003"/>
    <w:rsid w:val="0013717C"/>
    <w:rsid w:val="00140987"/>
    <w:rsid w:val="001421B4"/>
    <w:rsid w:val="00145622"/>
    <w:rsid w:val="001516CA"/>
    <w:rsid w:val="001524FB"/>
    <w:rsid w:val="00154308"/>
    <w:rsid w:val="00154AC2"/>
    <w:rsid w:val="0015559F"/>
    <w:rsid w:val="00156082"/>
    <w:rsid w:val="00156C9D"/>
    <w:rsid w:val="00160686"/>
    <w:rsid w:val="00160E1C"/>
    <w:rsid w:val="00161352"/>
    <w:rsid w:val="00161830"/>
    <w:rsid w:val="001620E3"/>
    <w:rsid w:val="00162553"/>
    <w:rsid w:val="00162D8E"/>
    <w:rsid w:val="00164598"/>
    <w:rsid w:val="0016482C"/>
    <w:rsid w:val="0016556A"/>
    <w:rsid w:val="001675AF"/>
    <w:rsid w:val="0016771F"/>
    <w:rsid w:val="0017296F"/>
    <w:rsid w:val="001734B4"/>
    <w:rsid w:val="00174317"/>
    <w:rsid w:val="00175545"/>
    <w:rsid w:val="001767A5"/>
    <w:rsid w:val="00176E93"/>
    <w:rsid w:val="00177C18"/>
    <w:rsid w:val="00182A92"/>
    <w:rsid w:val="00182E22"/>
    <w:rsid w:val="00187310"/>
    <w:rsid w:val="00187A96"/>
    <w:rsid w:val="00192716"/>
    <w:rsid w:val="001940A3"/>
    <w:rsid w:val="00194831"/>
    <w:rsid w:val="00194B5D"/>
    <w:rsid w:val="001A0A5C"/>
    <w:rsid w:val="001A10BF"/>
    <w:rsid w:val="001A1A56"/>
    <w:rsid w:val="001A28BB"/>
    <w:rsid w:val="001A2D08"/>
    <w:rsid w:val="001A54DD"/>
    <w:rsid w:val="001A5AC8"/>
    <w:rsid w:val="001A61A5"/>
    <w:rsid w:val="001A7D2F"/>
    <w:rsid w:val="001B1E41"/>
    <w:rsid w:val="001B2A07"/>
    <w:rsid w:val="001B2C03"/>
    <w:rsid w:val="001B3B31"/>
    <w:rsid w:val="001B4F4B"/>
    <w:rsid w:val="001B501B"/>
    <w:rsid w:val="001B58E7"/>
    <w:rsid w:val="001B6694"/>
    <w:rsid w:val="001B6D7A"/>
    <w:rsid w:val="001B7936"/>
    <w:rsid w:val="001C22FE"/>
    <w:rsid w:val="001D015A"/>
    <w:rsid w:val="001D30C7"/>
    <w:rsid w:val="001D33FA"/>
    <w:rsid w:val="001D36F0"/>
    <w:rsid w:val="001D3DFC"/>
    <w:rsid w:val="001D42DB"/>
    <w:rsid w:val="001D45F5"/>
    <w:rsid w:val="001D5EFC"/>
    <w:rsid w:val="001E02C2"/>
    <w:rsid w:val="001E0A89"/>
    <w:rsid w:val="001E13C0"/>
    <w:rsid w:val="001E1597"/>
    <w:rsid w:val="001E4209"/>
    <w:rsid w:val="001F1D14"/>
    <w:rsid w:val="001F2399"/>
    <w:rsid w:val="001F4D74"/>
    <w:rsid w:val="001F7194"/>
    <w:rsid w:val="001F71BA"/>
    <w:rsid w:val="001F7577"/>
    <w:rsid w:val="002019F3"/>
    <w:rsid w:val="0020207A"/>
    <w:rsid w:val="00202F22"/>
    <w:rsid w:val="00203A6A"/>
    <w:rsid w:val="00203BD4"/>
    <w:rsid w:val="002046F4"/>
    <w:rsid w:val="00206E92"/>
    <w:rsid w:val="00207D22"/>
    <w:rsid w:val="00212C2E"/>
    <w:rsid w:val="0021395D"/>
    <w:rsid w:val="002141AF"/>
    <w:rsid w:val="00216B81"/>
    <w:rsid w:val="00216F2E"/>
    <w:rsid w:val="00217E92"/>
    <w:rsid w:val="00220529"/>
    <w:rsid w:val="002220C9"/>
    <w:rsid w:val="00223FFD"/>
    <w:rsid w:val="00224032"/>
    <w:rsid w:val="00224AF1"/>
    <w:rsid w:val="00224C0C"/>
    <w:rsid w:val="00224E6E"/>
    <w:rsid w:val="00225CEC"/>
    <w:rsid w:val="00225D70"/>
    <w:rsid w:val="00232B0D"/>
    <w:rsid w:val="00233BF3"/>
    <w:rsid w:val="00233E40"/>
    <w:rsid w:val="002368F3"/>
    <w:rsid w:val="00236A37"/>
    <w:rsid w:val="00240576"/>
    <w:rsid w:val="00241313"/>
    <w:rsid w:val="00241AA2"/>
    <w:rsid w:val="00241DC1"/>
    <w:rsid w:val="0024212A"/>
    <w:rsid w:val="00242669"/>
    <w:rsid w:val="00243384"/>
    <w:rsid w:val="002447CA"/>
    <w:rsid w:val="00245705"/>
    <w:rsid w:val="0025080B"/>
    <w:rsid w:val="0025183C"/>
    <w:rsid w:val="00251F32"/>
    <w:rsid w:val="0025264B"/>
    <w:rsid w:val="00252DB1"/>
    <w:rsid w:val="00253ACF"/>
    <w:rsid w:val="00253C9E"/>
    <w:rsid w:val="0025428A"/>
    <w:rsid w:val="002555D2"/>
    <w:rsid w:val="00257294"/>
    <w:rsid w:val="00257978"/>
    <w:rsid w:val="002619DC"/>
    <w:rsid w:val="00263E2B"/>
    <w:rsid w:val="00266D10"/>
    <w:rsid w:val="002676E8"/>
    <w:rsid w:val="00267705"/>
    <w:rsid w:val="00270B59"/>
    <w:rsid w:val="00270DB3"/>
    <w:rsid w:val="002717C9"/>
    <w:rsid w:val="0027235F"/>
    <w:rsid w:val="00274782"/>
    <w:rsid w:val="0027691A"/>
    <w:rsid w:val="00277D20"/>
    <w:rsid w:val="00280730"/>
    <w:rsid w:val="0028081F"/>
    <w:rsid w:val="00281C61"/>
    <w:rsid w:val="00281DB8"/>
    <w:rsid w:val="00285767"/>
    <w:rsid w:val="0028607C"/>
    <w:rsid w:val="002863CE"/>
    <w:rsid w:val="0029038B"/>
    <w:rsid w:val="0029566F"/>
    <w:rsid w:val="002961B5"/>
    <w:rsid w:val="00296B24"/>
    <w:rsid w:val="002A1185"/>
    <w:rsid w:val="002A208F"/>
    <w:rsid w:val="002A2CED"/>
    <w:rsid w:val="002A498A"/>
    <w:rsid w:val="002A61B7"/>
    <w:rsid w:val="002A7860"/>
    <w:rsid w:val="002B01AF"/>
    <w:rsid w:val="002B094E"/>
    <w:rsid w:val="002B1E20"/>
    <w:rsid w:val="002B2A94"/>
    <w:rsid w:val="002B2C8C"/>
    <w:rsid w:val="002B3C6D"/>
    <w:rsid w:val="002B4265"/>
    <w:rsid w:val="002B4919"/>
    <w:rsid w:val="002B4B98"/>
    <w:rsid w:val="002B6F4E"/>
    <w:rsid w:val="002B7650"/>
    <w:rsid w:val="002C06E2"/>
    <w:rsid w:val="002C0E94"/>
    <w:rsid w:val="002C26EB"/>
    <w:rsid w:val="002C3C3C"/>
    <w:rsid w:val="002C6C42"/>
    <w:rsid w:val="002C7D70"/>
    <w:rsid w:val="002D179B"/>
    <w:rsid w:val="002D23B9"/>
    <w:rsid w:val="002D3534"/>
    <w:rsid w:val="002D49F7"/>
    <w:rsid w:val="002D63BF"/>
    <w:rsid w:val="002D64A2"/>
    <w:rsid w:val="002E0400"/>
    <w:rsid w:val="002E0B58"/>
    <w:rsid w:val="002E103D"/>
    <w:rsid w:val="002E1A01"/>
    <w:rsid w:val="002E1A0D"/>
    <w:rsid w:val="002E6173"/>
    <w:rsid w:val="002E6DB6"/>
    <w:rsid w:val="002F002B"/>
    <w:rsid w:val="002F0163"/>
    <w:rsid w:val="002F06AC"/>
    <w:rsid w:val="002F09BA"/>
    <w:rsid w:val="002F46B0"/>
    <w:rsid w:val="002F485A"/>
    <w:rsid w:val="002F5550"/>
    <w:rsid w:val="002F62C4"/>
    <w:rsid w:val="002F7818"/>
    <w:rsid w:val="002F7EC2"/>
    <w:rsid w:val="003006A5"/>
    <w:rsid w:val="003015E0"/>
    <w:rsid w:val="0030207B"/>
    <w:rsid w:val="00303778"/>
    <w:rsid w:val="00303A6E"/>
    <w:rsid w:val="003046FE"/>
    <w:rsid w:val="0030751A"/>
    <w:rsid w:val="00307CF8"/>
    <w:rsid w:val="00307E95"/>
    <w:rsid w:val="00307FEB"/>
    <w:rsid w:val="003128F8"/>
    <w:rsid w:val="00313D42"/>
    <w:rsid w:val="00322E5E"/>
    <w:rsid w:val="00323B17"/>
    <w:rsid w:val="003243A6"/>
    <w:rsid w:val="003247B0"/>
    <w:rsid w:val="0032734F"/>
    <w:rsid w:val="00330918"/>
    <w:rsid w:val="003310D8"/>
    <w:rsid w:val="0033296E"/>
    <w:rsid w:val="003337A9"/>
    <w:rsid w:val="0033431C"/>
    <w:rsid w:val="0033488F"/>
    <w:rsid w:val="00340E70"/>
    <w:rsid w:val="00342F85"/>
    <w:rsid w:val="00347557"/>
    <w:rsid w:val="00352435"/>
    <w:rsid w:val="003529EF"/>
    <w:rsid w:val="00355366"/>
    <w:rsid w:val="003555BB"/>
    <w:rsid w:val="00356DA4"/>
    <w:rsid w:val="00360A8B"/>
    <w:rsid w:val="003623C4"/>
    <w:rsid w:val="003629B6"/>
    <w:rsid w:val="00362BFF"/>
    <w:rsid w:val="003640C8"/>
    <w:rsid w:val="00364C11"/>
    <w:rsid w:val="00371225"/>
    <w:rsid w:val="003721AD"/>
    <w:rsid w:val="00376086"/>
    <w:rsid w:val="003761D9"/>
    <w:rsid w:val="00380608"/>
    <w:rsid w:val="00380630"/>
    <w:rsid w:val="00380E0A"/>
    <w:rsid w:val="0038171D"/>
    <w:rsid w:val="00382546"/>
    <w:rsid w:val="00382EAD"/>
    <w:rsid w:val="00383DC5"/>
    <w:rsid w:val="00385EED"/>
    <w:rsid w:val="00386A43"/>
    <w:rsid w:val="00390B58"/>
    <w:rsid w:val="00391166"/>
    <w:rsid w:val="00394851"/>
    <w:rsid w:val="00395F41"/>
    <w:rsid w:val="003967DF"/>
    <w:rsid w:val="003A0F06"/>
    <w:rsid w:val="003A156E"/>
    <w:rsid w:val="003A291C"/>
    <w:rsid w:val="003A3DE2"/>
    <w:rsid w:val="003A4860"/>
    <w:rsid w:val="003A4D47"/>
    <w:rsid w:val="003A6435"/>
    <w:rsid w:val="003A7D32"/>
    <w:rsid w:val="003B0E4F"/>
    <w:rsid w:val="003B1966"/>
    <w:rsid w:val="003B221E"/>
    <w:rsid w:val="003B5B25"/>
    <w:rsid w:val="003B60CA"/>
    <w:rsid w:val="003B7BDD"/>
    <w:rsid w:val="003C0CBE"/>
    <w:rsid w:val="003C1344"/>
    <w:rsid w:val="003C3421"/>
    <w:rsid w:val="003C5D0A"/>
    <w:rsid w:val="003D1987"/>
    <w:rsid w:val="003D3431"/>
    <w:rsid w:val="003D3AE8"/>
    <w:rsid w:val="003D69A7"/>
    <w:rsid w:val="003E1308"/>
    <w:rsid w:val="003E4BD9"/>
    <w:rsid w:val="003F07E8"/>
    <w:rsid w:val="003F46A7"/>
    <w:rsid w:val="003F472F"/>
    <w:rsid w:val="003F79EC"/>
    <w:rsid w:val="00400129"/>
    <w:rsid w:val="004005D9"/>
    <w:rsid w:val="00400A5A"/>
    <w:rsid w:val="00406154"/>
    <w:rsid w:val="004065BA"/>
    <w:rsid w:val="00407AE9"/>
    <w:rsid w:val="004120C7"/>
    <w:rsid w:val="0041257F"/>
    <w:rsid w:val="0042193A"/>
    <w:rsid w:val="0042205E"/>
    <w:rsid w:val="004267DE"/>
    <w:rsid w:val="00430ABD"/>
    <w:rsid w:val="00431631"/>
    <w:rsid w:val="00432FD5"/>
    <w:rsid w:val="00434883"/>
    <w:rsid w:val="00434C5D"/>
    <w:rsid w:val="004350F6"/>
    <w:rsid w:val="00435115"/>
    <w:rsid w:val="00441028"/>
    <w:rsid w:val="004426E8"/>
    <w:rsid w:val="00444432"/>
    <w:rsid w:val="00445D0A"/>
    <w:rsid w:val="00450DBC"/>
    <w:rsid w:val="00451896"/>
    <w:rsid w:val="00451B7B"/>
    <w:rsid w:val="0045292A"/>
    <w:rsid w:val="004540ED"/>
    <w:rsid w:val="00454843"/>
    <w:rsid w:val="004564BC"/>
    <w:rsid w:val="004565C7"/>
    <w:rsid w:val="00460176"/>
    <w:rsid w:val="00461D55"/>
    <w:rsid w:val="004627B9"/>
    <w:rsid w:val="00464BF1"/>
    <w:rsid w:val="00465E53"/>
    <w:rsid w:val="00466329"/>
    <w:rsid w:val="00473219"/>
    <w:rsid w:val="004767D2"/>
    <w:rsid w:val="00477DCC"/>
    <w:rsid w:val="00477FFA"/>
    <w:rsid w:val="004813B2"/>
    <w:rsid w:val="00481D66"/>
    <w:rsid w:val="00483579"/>
    <w:rsid w:val="004835F4"/>
    <w:rsid w:val="004836B2"/>
    <w:rsid w:val="00487B6B"/>
    <w:rsid w:val="004919CC"/>
    <w:rsid w:val="004928CB"/>
    <w:rsid w:val="00492941"/>
    <w:rsid w:val="00495AFF"/>
    <w:rsid w:val="00495E14"/>
    <w:rsid w:val="00496183"/>
    <w:rsid w:val="004975D0"/>
    <w:rsid w:val="004A08FC"/>
    <w:rsid w:val="004A3439"/>
    <w:rsid w:val="004B07F7"/>
    <w:rsid w:val="004B1364"/>
    <w:rsid w:val="004B2C5B"/>
    <w:rsid w:val="004B5104"/>
    <w:rsid w:val="004B5797"/>
    <w:rsid w:val="004B5B94"/>
    <w:rsid w:val="004B6304"/>
    <w:rsid w:val="004B64B3"/>
    <w:rsid w:val="004B6AF3"/>
    <w:rsid w:val="004C0179"/>
    <w:rsid w:val="004C0CEF"/>
    <w:rsid w:val="004C0D41"/>
    <w:rsid w:val="004C10F1"/>
    <w:rsid w:val="004C3F71"/>
    <w:rsid w:val="004C61F5"/>
    <w:rsid w:val="004D14C1"/>
    <w:rsid w:val="004D2C46"/>
    <w:rsid w:val="004D3578"/>
    <w:rsid w:val="004D4D9F"/>
    <w:rsid w:val="004D6BA6"/>
    <w:rsid w:val="004E13F9"/>
    <w:rsid w:val="004E2983"/>
    <w:rsid w:val="004E2ED7"/>
    <w:rsid w:val="004E3BA4"/>
    <w:rsid w:val="004E4E81"/>
    <w:rsid w:val="004E4E9F"/>
    <w:rsid w:val="004E5FED"/>
    <w:rsid w:val="004E67DB"/>
    <w:rsid w:val="004F1934"/>
    <w:rsid w:val="004F1E84"/>
    <w:rsid w:val="00500925"/>
    <w:rsid w:val="00502C2C"/>
    <w:rsid w:val="005042D1"/>
    <w:rsid w:val="00506098"/>
    <w:rsid w:val="00506161"/>
    <w:rsid w:val="0050659B"/>
    <w:rsid w:val="00506889"/>
    <w:rsid w:val="00510050"/>
    <w:rsid w:val="00512D6B"/>
    <w:rsid w:val="00512FF6"/>
    <w:rsid w:val="005153F7"/>
    <w:rsid w:val="0052216B"/>
    <w:rsid w:val="005224C1"/>
    <w:rsid w:val="0052338B"/>
    <w:rsid w:val="00523D4C"/>
    <w:rsid w:val="00524713"/>
    <w:rsid w:val="005275F9"/>
    <w:rsid w:val="00530F68"/>
    <w:rsid w:val="0053153F"/>
    <w:rsid w:val="00532F2D"/>
    <w:rsid w:val="005339D0"/>
    <w:rsid w:val="00534E75"/>
    <w:rsid w:val="00536954"/>
    <w:rsid w:val="005379BC"/>
    <w:rsid w:val="00540606"/>
    <w:rsid w:val="00541870"/>
    <w:rsid w:val="0054297E"/>
    <w:rsid w:val="005436EC"/>
    <w:rsid w:val="005447C5"/>
    <w:rsid w:val="00544A37"/>
    <w:rsid w:val="005455B0"/>
    <w:rsid w:val="005504A7"/>
    <w:rsid w:val="0055263D"/>
    <w:rsid w:val="00552E2B"/>
    <w:rsid w:val="0055303C"/>
    <w:rsid w:val="00553369"/>
    <w:rsid w:val="00553731"/>
    <w:rsid w:val="00554574"/>
    <w:rsid w:val="0055553F"/>
    <w:rsid w:val="0056150F"/>
    <w:rsid w:val="005678E0"/>
    <w:rsid w:val="005729F4"/>
    <w:rsid w:val="00572E82"/>
    <w:rsid w:val="005754C3"/>
    <w:rsid w:val="00575C7F"/>
    <w:rsid w:val="00576F58"/>
    <w:rsid w:val="00576F5E"/>
    <w:rsid w:val="005773B2"/>
    <w:rsid w:val="00577D19"/>
    <w:rsid w:val="0058062A"/>
    <w:rsid w:val="005834AE"/>
    <w:rsid w:val="00585920"/>
    <w:rsid w:val="0058666A"/>
    <w:rsid w:val="00586BEF"/>
    <w:rsid w:val="005875EC"/>
    <w:rsid w:val="00590434"/>
    <w:rsid w:val="00594050"/>
    <w:rsid w:val="0059432A"/>
    <w:rsid w:val="0059452A"/>
    <w:rsid w:val="005956E9"/>
    <w:rsid w:val="005963CF"/>
    <w:rsid w:val="00596E6D"/>
    <w:rsid w:val="005A0ABD"/>
    <w:rsid w:val="005A163F"/>
    <w:rsid w:val="005A2637"/>
    <w:rsid w:val="005A37E5"/>
    <w:rsid w:val="005A4497"/>
    <w:rsid w:val="005A5BBA"/>
    <w:rsid w:val="005A5F08"/>
    <w:rsid w:val="005A60B4"/>
    <w:rsid w:val="005A7A64"/>
    <w:rsid w:val="005B0719"/>
    <w:rsid w:val="005B0E8E"/>
    <w:rsid w:val="005B2E22"/>
    <w:rsid w:val="005B31D7"/>
    <w:rsid w:val="005B485C"/>
    <w:rsid w:val="005B4E77"/>
    <w:rsid w:val="005B5427"/>
    <w:rsid w:val="005B56F7"/>
    <w:rsid w:val="005B5CA8"/>
    <w:rsid w:val="005B680B"/>
    <w:rsid w:val="005B6889"/>
    <w:rsid w:val="005B68FA"/>
    <w:rsid w:val="005B7492"/>
    <w:rsid w:val="005B7E46"/>
    <w:rsid w:val="005C0C18"/>
    <w:rsid w:val="005C0D63"/>
    <w:rsid w:val="005C41F6"/>
    <w:rsid w:val="005C48C1"/>
    <w:rsid w:val="005C7059"/>
    <w:rsid w:val="005D189A"/>
    <w:rsid w:val="005D4DA7"/>
    <w:rsid w:val="005D585C"/>
    <w:rsid w:val="005D6963"/>
    <w:rsid w:val="005D72FA"/>
    <w:rsid w:val="005E3212"/>
    <w:rsid w:val="005E45D8"/>
    <w:rsid w:val="005E4855"/>
    <w:rsid w:val="005E7AEF"/>
    <w:rsid w:val="005F18D4"/>
    <w:rsid w:val="005F2383"/>
    <w:rsid w:val="005F44A0"/>
    <w:rsid w:val="005F48A6"/>
    <w:rsid w:val="005F57A1"/>
    <w:rsid w:val="005F65A1"/>
    <w:rsid w:val="005F7741"/>
    <w:rsid w:val="00600788"/>
    <w:rsid w:val="00600BA3"/>
    <w:rsid w:val="00600D7D"/>
    <w:rsid w:val="00605C5D"/>
    <w:rsid w:val="006106F0"/>
    <w:rsid w:val="006110E7"/>
    <w:rsid w:val="00612DC2"/>
    <w:rsid w:val="006135FD"/>
    <w:rsid w:val="00613A8D"/>
    <w:rsid w:val="006212F9"/>
    <w:rsid w:val="00622494"/>
    <w:rsid w:val="00624A82"/>
    <w:rsid w:val="0062747C"/>
    <w:rsid w:val="0062751F"/>
    <w:rsid w:val="0063253B"/>
    <w:rsid w:val="00633136"/>
    <w:rsid w:val="00636E70"/>
    <w:rsid w:val="0064020E"/>
    <w:rsid w:val="006410E2"/>
    <w:rsid w:val="0064160C"/>
    <w:rsid w:val="0064209A"/>
    <w:rsid w:val="006429DE"/>
    <w:rsid w:val="00645BA9"/>
    <w:rsid w:val="00646B73"/>
    <w:rsid w:val="006501CB"/>
    <w:rsid w:val="00650A3C"/>
    <w:rsid w:val="00651415"/>
    <w:rsid w:val="00651B66"/>
    <w:rsid w:val="00651B79"/>
    <w:rsid w:val="00652695"/>
    <w:rsid w:val="006526F6"/>
    <w:rsid w:val="006529D7"/>
    <w:rsid w:val="00652DCE"/>
    <w:rsid w:val="006545F8"/>
    <w:rsid w:val="00654F8C"/>
    <w:rsid w:val="00656312"/>
    <w:rsid w:val="0066135D"/>
    <w:rsid w:val="00661A5F"/>
    <w:rsid w:val="00663C36"/>
    <w:rsid w:val="00667012"/>
    <w:rsid w:val="00673DDB"/>
    <w:rsid w:val="00675F3B"/>
    <w:rsid w:val="0067671B"/>
    <w:rsid w:val="006768F0"/>
    <w:rsid w:val="00676C10"/>
    <w:rsid w:val="00677078"/>
    <w:rsid w:val="006775B7"/>
    <w:rsid w:val="00677C07"/>
    <w:rsid w:val="006831FB"/>
    <w:rsid w:val="00684F62"/>
    <w:rsid w:val="0068617E"/>
    <w:rsid w:val="00686E01"/>
    <w:rsid w:val="00687107"/>
    <w:rsid w:val="00692610"/>
    <w:rsid w:val="006939E4"/>
    <w:rsid w:val="00693A07"/>
    <w:rsid w:val="00695DE8"/>
    <w:rsid w:val="006978DE"/>
    <w:rsid w:val="00697A40"/>
    <w:rsid w:val="00697F28"/>
    <w:rsid w:val="006A0BD0"/>
    <w:rsid w:val="006A150C"/>
    <w:rsid w:val="006A2F6C"/>
    <w:rsid w:val="006A3BE2"/>
    <w:rsid w:val="006A6601"/>
    <w:rsid w:val="006B0A42"/>
    <w:rsid w:val="006B19DF"/>
    <w:rsid w:val="006B2EA9"/>
    <w:rsid w:val="006B3A13"/>
    <w:rsid w:val="006B3CB5"/>
    <w:rsid w:val="006C0A70"/>
    <w:rsid w:val="006C2008"/>
    <w:rsid w:val="006C2696"/>
    <w:rsid w:val="006C4076"/>
    <w:rsid w:val="006C4193"/>
    <w:rsid w:val="006C61E8"/>
    <w:rsid w:val="006D01AF"/>
    <w:rsid w:val="006D1884"/>
    <w:rsid w:val="006D1E56"/>
    <w:rsid w:val="006D65EC"/>
    <w:rsid w:val="006E074A"/>
    <w:rsid w:val="006E1C67"/>
    <w:rsid w:val="006E26DC"/>
    <w:rsid w:val="006E52B8"/>
    <w:rsid w:val="006E675F"/>
    <w:rsid w:val="006E68CA"/>
    <w:rsid w:val="006F32FB"/>
    <w:rsid w:val="006F3E66"/>
    <w:rsid w:val="00700FD6"/>
    <w:rsid w:val="00705D83"/>
    <w:rsid w:val="007063BA"/>
    <w:rsid w:val="0071201C"/>
    <w:rsid w:val="00712177"/>
    <w:rsid w:val="00713CD7"/>
    <w:rsid w:val="00714847"/>
    <w:rsid w:val="00715ECC"/>
    <w:rsid w:val="00717F9B"/>
    <w:rsid w:val="0072112F"/>
    <w:rsid w:val="007253C3"/>
    <w:rsid w:val="00730047"/>
    <w:rsid w:val="0073009C"/>
    <w:rsid w:val="007316BB"/>
    <w:rsid w:val="00731B6F"/>
    <w:rsid w:val="00731E05"/>
    <w:rsid w:val="00736FB9"/>
    <w:rsid w:val="00737562"/>
    <w:rsid w:val="007424FC"/>
    <w:rsid w:val="007443AD"/>
    <w:rsid w:val="007540ED"/>
    <w:rsid w:val="00754B1D"/>
    <w:rsid w:val="00756671"/>
    <w:rsid w:val="00762254"/>
    <w:rsid w:val="0076333E"/>
    <w:rsid w:val="00764BFF"/>
    <w:rsid w:val="00767284"/>
    <w:rsid w:val="00771B91"/>
    <w:rsid w:val="007737E3"/>
    <w:rsid w:val="007748DA"/>
    <w:rsid w:val="0077685A"/>
    <w:rsid w:val="00776A31"/>
    <w:rsid w:val="0078013F"/>
    <w:rsid w:val="007802A4"/>
    <w:rsid w:val="007824F4"/>
    <w:rsid w:val="0078345F"/>
    <w:rsid w:val="00783AB1"/>
    <w:rsid w:val="00784045"/>
    <w:rsid w:val="00784109"/>
    <w:rsid w:val="00785FC5"/>
    <w:rsid w:val="0078631B"/>
    <w:rsid w:val="00786A1E"/>
    <w:rsid w:val="0078760B"/>
    <w:rsid w:val="00787B55"/>
    <w:rsid w:val="00791A2B"/>
    <w:rsid w:val="00791C07"/>
    <w:rsid w:val="00792EE9"/>
    <w:rsid w:val="00794BD8"/>
    <w:rsid w:val="00795445"/>
    <w:rsid w:val="0079572A"/>
    <w:rsid w:val="00795D79"/>
    <w:rsid w:val="0079732B"/>
    <w:rsid w:val="007A1121"/>
    <w:rsid w:val="007A1122"/>
    <w:rsid w:val="007A15A6"/>
    <w:rsid w:val="007A2531"/>
    <w:rsid w:val="007A278E"/>
    <w:rsid w:val="007A7C0B"/>
    <w:rsid w:val="007B0955"/>
    <w:rsid w:val="007B11F2"/>
    <w:rsid w:val="007B1851"/>
    <w:rsid w:val="007B232E"/>
    <w:rsid w:val="007B358E"/>
    <w:rsid w:val="007B3C38"/>
    <w:rsid w:val="007B5E2F"/>
    <w:rsid w:val="007B6635"/>
    <w:rsid w:val="007C0099"/>
    <w:rsid w:val="007C37DF"/>
    <w:rsid w:val="007C6288"/>
    <w:rsid w:val="007C6507"/>
    <w:rsid w:val="007D05D4"/>
    <w:rsid w:val="007D06A5"/>
    <w:rsid w:val="007D085C"/>
    <w:rsid w:val="007D1100"/>
    <w:rsid w:val="007D2280"/>
    <w:rsid w:val="007D3EF7"/>
    <w:rsid w:val="007D489A"/>
    <w:rsid w:val="007D6B5F"/>
    <w:rsid w:val="007E1111"/>
    <w:rsid w:val="007E1865"/>
    <w:rsid w:val="007E5614"/>
    <w:rsid w:val="007F0754"/>
    <w:rsid w:val="007F3198"/>
    <w:rsid w:val="007F36AF"/>
    <w:rsid w:val="007F515C"/>
    <w:rsid w:val="007F5D81"/>
    <w:rsid w:val="008009B8"/>
    <w:rsid w:val="00800CEA"/>
    <w:rsid w:val="00807AD4"/>
    <w:rsid w:val="008104E0"/>
    <w:rsid w:val="00812DCE"/>
    <w:rsid w:val="0081387C"/>
    <w:rsid w:val="00817296"/>
    <w:rsid w:val="00817512"/>
    <w:rsid w:val="00822194"/>
    <w:rsid w:val="00822D26"/>
    <w:rsid w:val="008245C1"/>
    <w:rsid w:val="008269F5"/>
    <w:rsid w:val="00830105"/>
    <w:rsid w:val="0083053E"/>
    <w:rsid w:val="00830CE8"/>
    <w:rsid w:val="008317F6"/>
    <w:rsid w:val="00831B5E"/>
    <w:rsid w:val="00831F36"/>
    <w:rsid w:val="0083256C"/>
    <w:rsid w:val="0083338E"/>
    <w:rsid w:val="00833A44"/>
    <w:rsid w:val="0083519D"/>
    <w:rsid w:val="008362A6"/>
    <w:rsid w:val="00843016"/>
    <w:rsid w:val="00844420"/>
    <w:rsid w:val="00845A34"/>
    <w:rsid w:val="00846E1E"/>
    <w:rsid w:val="00850445"/>
    <w:rsid w:val="00850C6E"/>
    <w:rsid w:val="008543C2"/>
    <w:rsid w:val="008546D7"/>
    <w:rsid w:val="0085594F"/>
    <w:rsid w:val="0085766D"/>
    <w:rsid w:val="008630EC"/>
    <w:rsid w:val="00864888"/>
    <w:rsid w:val="00866791"/>
    <w:rsid w:val="00866B63"/>
    <w:rsid w:val="00870EAA"/>
    <w:rsid w:val="00874FE0"/>
    <w:rsid w:val="008769D5"/>
    <w:rsid w:val="008824B5"/>
    <w:rsid w:val="00882EE9"/>
    <w:rsid w:val="00883131"/>
    <w:rsid w:val="008834B2"/>
    <w:rsid w:val="00883A3E"/>
    <w:rsid w:val="008848CF"/>
    <w:rsid w:val="00885B2F"/>
    <w:rsid w:val="008866ED"/>
    <w:rsid w:val="008868A5"/>
    <w:rsid w:val="0089080A"/>
    <w:rsid w:val="00890A80"/>
    <w:rsid w:val="008926E5"/>
    <w:rsid w:val="008926F3"/>
    <w:rsid w:val="00892DB3"/>
    <w:rsid w:val="00893533"/>
    <w:rsid w:val="00894FAD"/>
    <w:rsid w:val="008955F6"/>
    <w:rsid w:val="008957C5"/>
    <w:rsid w:val="00896014"/>
    <w:rsid w:val="0089614B"/>
    <w:rsid w:val="00896556"/>
    <w:rsid w:val="00896BE6"/>
    <w:rsid w:val="00896FD6"/>
    <w:rsid w:val="00897BD9"/>
    <w:rsid w:val="008A04D3"/>
    <w:rsid w:val="008A0C76"/>
    <w:rsid w:val="008A4605"/>
    <w:rsid w:val="008A618B"/>
    <w:rsid w:val="008A663F"/>
    <w:rsid w:val="008B05F2"/>
    <w:rsid w:val="008B0636"/>
    <w:rsid w:val="008B1531"/>
    <w:rsid w:val="008B2EE5"/>
    <w:rsid w:val="008B3C82"/>
    <w:rsid w:val="008B41E0"/>
    <w:rsid w:val="008B5C5C"/>
    <w:rsid w:val="008B64C9"/>
    <w:rsid w:val="008C1795"/>
    <w:rsid w:val="008C4597"/>
    <w:rsid w:val="008C4B0D"/>
    <w:rsid w:val="008C7511"/>
    <w:rsid w:val="008C75D3"/>
    <w:rsid w:val="008C79A2"/>
    <w:rsid w:val="008D01F6"/>
    <w:rsid w:val="008D18C7"/>
    <w:rsid w:val="008D1E94"/>
    <w:rsid w:val="008D373A"/>
    <w:rsid w:val="008D4676"/>
    <w:rsid w:val="008D484C"/>
    <w:rsid w:val="008D68A5"/>
    <w:rsid w:val="008E19F3"/>
    <w:rsid w:val="008E3B44"/>
    <w:rsid w:val="008E58ED"/>
    <w:rsid w:val="008E6712"/>
    <w:rsid w:val="008E6AA0"/>
    <w:rsid w:val="008F0A7A"/>
    <w:rsid w:val="008F2226"/>
    <w:rsid w:val="008F25C5"/>
    <w:rsid w:val="008F4980"/>
    <w:rsid w:val="008F6707"/>
    <w:rsid w:val="008F6AAF"/>
    <w:rsid w:val="008F715C"/>
    <w:rsid w:val="008F7A61"/>
    <w:rsid w:val="00900951"/>
    <w:rsid w:val="00901813"/>
    <w:rsid w:val="00903020"/>
    <w:rsid w:val="00906176"/>
    <w:rsid w:val="0090637E"/>
    <w:rsid w:val="00906E67"/>
    <w:rsid w:val="009130B7"/>
    <w:rsid w:val="0091310D"/>
    <w:rsid w:val="00914002"/>
    <w:rsid w:val="00915ADA"/>
    <w:rsid w:val="009161BE"/>
    <w:rsid w:val="00917F21"/>
    <w:rsid w:val="009213AE"/>
    <w:rsid w:val="009222C9"/>
    <w:rsid w:val="00922BC9"/>
    <w:rsid w:val="00926825"/>
    <w:rsid w:val="009268FC"/>
    <w:rsid w:val="00926A98"/>
    <w:rsid w:val="00932625"/>
    <w:rsid w:val="00932ACD"/>
    <w:rsid w:val="00933256"/>
    <w:rsid w:val="009340FD"/>
    <w:rsid w:val="00934141"/>
    <w:rsid w:val="009344C2"/>
    <w:rsid w:val="009345C9"/>
    <w:rsid w:val="0093538A"/>
    <w:rsid w:val="00941295"/>
    <w:rsid w:val="009434D0"/>
    <w:rsid w:val="0094705C"/>
    <w:rsid w:val="009514FE"/>
    <w:rsid w:val="00952F66"/>
    <w:rsid w:val="00957B41"/>
    <w:rsid w:val="0096052E"/>
    <w:rsid w:val="00960BB0"/>
    <w:rsid w:val="00961519"/>
    <w:rsid w:val="00962FD2"/>
    <w:rsid w:val="009632AA"/>
    <w:rsid w:val="009644A2"/>
    <w:rsid w:val="00967162"/>
    <w:rsid w:val="009715F0"/>
    <w:rsid w:val="00971DE7"/>
    <w:rsid w:val="00973C62"/>
    <w:rsid w:val="0097419E"/>
    <w:rsid w:val="00974A97"/>
    <w:rsid w:val="00975D13"/>
    <w:rsid w:val="0097696C"/>
    <w:rsid w:val="00977B41"/>
    <w:rsid w:val="00977D76"/>
    <w:rsid w:val="009808FE"/>
    <w:rsid w:val="00982987"/>
    <w:rsid w:val="00985386"/>
    <w:rsid w:val="00990318"/>
    <w:rsid w:val="0099489F"/>
    <w:rsid w:val="00994B64"/>
    <w:rsid w:val="009955B3"/>
    <w:rsid w:val="00996D72"/>
    <w:rsid w:val="009A4D99"/>
    <w:rsid w:val="009A53B7"/>
    <w:rsid w:val="009A544A"/>
    <w:rsid w:val="009A69B1"/>
    <w:rsid w:val="009A6CDB"/>
    <w:rsid w:val="009B0A81"/>
    <w:rsid w:val="009B0CA9"/>
    <w:rsid w:val="009B301F"/>
    <w:rsid w:val="009B52C2"/>
    <w:rsid w:val="009B604B"/>
    <w:rsid w:val="009B6705"/>
    <w:rsid w:val="009C0ECA"/>
    <w:rsid w:val="009C283B"/>
    <w:rsid w:val="009C2B04"/>
    <w:rsid w:val="009C3544"/>
    <w:rsid w:val="009C45BA"/>
    <w:rsid w:val="009D2D28"/>
    <w:rsid w:val="009D4B75"/>
    <w:rsid w:val="009D6924"/>
    <w:rsid w:val="009D7AFB"/>
    <w:rsid w:val="009E055E"/>
    <w:rsid w:val="009E0C76"/>
    <w:rsid w:val="009E22C3"/>
    <w:rsid w:val="009E250D"/>
    <w:rsid w:val="009E2833"/>
    <w:rsid w:val="009E317D"/>
    <w:rsid w:val="009E3B52"/>
    <w:rsid w:val="009E3D89"/>
    <w:rsid w:val="009E5B43"/>
    <w:rsid w:val="009E6B59"/>
    <w:rsid w:val="009F097B"/>
    <w:rsid w:val="009F0DD5"/>
    <w:rsid w:val="009F2CB2"/>
    <w:rsid w:val="009F2CEE"/>
    <w:rsid w:val="009F3A56"/>
    <w:rsid w:val="009F59EE"/>
    <w:rsid w:val="009F5CD5"/>
    <w:rsid w:val="009F66D0"/>
    <w:rsid w:val="00A02D45"/>
    <w:rsid w:val="00A0581C"/>
    <w:rsid w:val="00A069E2"/>
    <w:rsid w:val="00A073C7"/>
    <w:rsid w:val="00A07431"/>
    <w:rsid w:val="00A07A9F"/>
    <w:rsid w:val="00A11B93"/>
    <w:rsid w:val="00A11C90"/>
    <w:rsid w:val="00A12821"/>
    <w:rsid w:val="00A12DE6"/>
    <w:rsid w:val="00A14FC9"/>
    <w:rsid w:val="00A2066F"/>
    <w:rsid w:val="00A21C37"/>
    <w:rsid w:val="00A23C45"/>
    <w:rsid w:val="00A25B10"/>
    <w:rsid w:val="00A26B19"/>
    <w:rsid w:val="00A33653"/>
    <w:rsid w:val="00A36D79"/>
    <w:rsid w:val="00A37A20"/>
    <w:rsid w:val="00A37AD0"/>
    <w:rsid w:val="00A40F40"/>
    <w:rsid w:val="00A4508B"/>
    <w:rsid w:val="00A4618A"/>
    <w:rsid w:val="00A53205"/>
    <w:rsid w:val="00A5429B"/>
    <w:rsid w:val="00A553A9"/>
    <w:rsid w:val="00A61F80"/>
    <w:rsid w:val="00A62566"/>
    <w:rsid w:val="00A62CCA"/>
    <w:rsid w:val="00A641DB"/>
    <w:rsid w:val="00A64553"/>
    <w:rsid w:val="00A6536F"/>
    <w:rsid w:val="00A65B9D"/>
    <w:rsid w:val="00A70932"/>
    <w:rsid w:val="00A719A5"/>
    <w:rsid w:val="00A72732"/>
    <w:rsid w:val="00A72A74"/>
    <w:rsid w:val="00A72F83"/>
    <w:rsid w:val="00A7372B"/>
    <w:rsid w:val="00A74A1E"/>
    <w:rsid w:val="00A7509B"/>
    <w:rsid w:val="00A7796E"/>
    <w:rsid w:val="00A77F44"/>
    <w:rsid w:val="00A803EF"/>
    <w:rsid w:val="00A86656"/>
    <w:rsid w:val="00A87B14"/>
    <w:rsid w:val="00A93638"/>
    <w:rsid w:val="00A95DA9"/>
    <w:rsid w:val="00A97D07"/>
    <w:rsid w:val="00AA0737"/>
    <w:rsid w:val="00AA218A"/>
    <w:rsid w:val="00AA48E7"/>
    <w:rsid w:val="00AB0673"/>
    <w:rsid w:val="00AB3D30"/>
    <w:rsid w:val="00AB4794"/>
    <w:rsid w:val="00AB4842"/>
    <w:rsid w:val="00AB7BAF"/>
    <w:rsid w:val="00AB7CCF"/>
    <w:rsid w:val="00AC2D2E"/>
    <w:rsid w:val="00AC614D"/>
    <w:rsid w:val="00AC7F1C"/>
    <w:rsid w:val="00AD0F3F"/>
    <w:rsid w:val="00AD4EA3"/>
    <w:rsid w:val="00AD7FC9"/>
    <w:rsid w:val="00AE05ED"/>
    <w:rsid w:val="00AE44CB"/>
    <w:rsid w:val="00AE55D4"/>
    <w:rsid w:val="00AE72D7"/>
    <w:rsid w:val="00AF05BB"/>
    <w:rsid w:val="00AF1038"/>
    <w:rsid w:val="00AF113B"/>
    <w:rsid w:val="00AF2633"/>
    <w:rsid w:val="00AF74AF"/>
    <w:rsid w:val="00B01F39"/>
    <w:rsid w:val="00B037AF"/>
    <w:rsid w:val="00B05862"/>
    <w:rsid w:val="00B05A4B"/>
    <w:rsid w:val="00B07D3B"/>
    <w:rsid w:val="00B11974"/>
    <w:rsid w:val="00B1264B"/>
    <w:rsid w:val="00B12CF8"/>
    <w:rsid w:val="00B15519"/>
    <w:rsid w:val="00B15922"/>
    <w:rsid w:val="00B2198E"/>
    <w:rsid w:val="00B244B9"/>
    <w:rsid w:val="00B24985"/>
    <w:rsid w:val="00B27178"/>
    <w:rsid w:val="00B277DA"/>
    <w:rsid w:val="00B30A9E"/>
    <w:rsid w:val="00B3265A"/>
    <w:rsid w:val="00B32817"/>
    <w:rsid w:val="00B33E8E"/>
    <w:rsid w:val="00B346ED"/>
    <w:rsid w:val="00B36901"/>
    <w:rsid w:val="00B37876"/>
    <w:rsid w:val="00B37F41"/>
    <w:rsid w:val="00B420F4"/>
    <w:rsid w:val="00B4245F"/>
    <w:rsid w:val="00B43ABC"/>
    <w:rsid w:val="00B4468E"/>
    <w:rsid w:val="00B470FB"/>
    <w:rsid w:val="00B479EB"/>
    <w:rsid w:val="00B507D2"/>
    <w:rsid w:val="00B51125"/>
    <w:rsid w:val="00B52CDF"/>
    <w:rsid w:val="00B65A3B"/>
    <w:rsid w:val="00B66DE0"/>
    <w:rsid w:val="00B72652"/>
    <w:rsid w:val="00B8133C"/>
    <w:rsid w:val="00B815A3"/>
    <w:rsid w:val="00B85C55"/>
    <w:rsid w:val="00B85CBF"/>
    <w:rsid w:val="00B90B23"/>
    <w:rsid w:val="00B91CEE"/>
    <w:rsid w:val="00B94777"/>
    <w:rsid w:val="00B9592E"/>
    <w:rsid w:val="00B95BB2"/>
    <w:rsid w:val="00B95EBA"/>
    <w:rsid w:val="00B96E03"/>
    <w:rsid w:val="00B97985"/>
    <w:rsid w:val="00BA0BC1"/>
    <w:rsid w:val="00BA1D82"/>
    <w:rsid w:val="00BA1FA3"/>
    <w:rsid w:val="00BA23D8"/>
    <w:rsid w:val="00BA27DA"/>
    <w:rsid w:val="00BA2A8A"/>
    <w:rsid w:val="00BA4230"/>
    <w:rsid w:val="00BA45FD"/>
    <w:rsid w:val="00BA4B6A"/>
    <w:rsid w:val="00BA5B9C"/>
    <w:rsid w:val="00BA7722"/>
    <w:rsid w:val="00BB4512"/>
    <w:rsid w:val="00BB4D49"/>
    <w:rsid w:val="00BB51F4"/>
    <w:rsid w:val="00BB56EB"/>
    <w:rsid w:val="00BB58F0"/>
    <w:rsid w:val="00BB6439"/>
    <w:rsid w:val="00BB675F"/>
    <w:rsid w:val="00BC133F"/>
    <w:rsid w:val="00BC1530"/>
    <w:rsid w:val="00BC1D75"/>
    <w:rsid w:val="00BC1D83"/>
    <w:rsid w:val="00BD05E4"/>
    <w:rsid w:val="00BD0936"/>
    <w:rsid w:val="00BD11E2"/>
    <w:rsid w:val="00BD17B0"/>
    <w:rsid w:val="00BD3267"/>
    <w:rsid w:val="00BD3715"/>
    <w:rsid w:val="00BD4630"/>
    <w:rsid w:val="00BD4EBD"/>
    <w:rsid w:val="00BD59F0"/>
    <w:rsid w:val="00BD5A47"/>
    <w:rsid w:val="00BD6E76"/>
    <w:rsid w:val="00BD702E"/>
    <w:rsid w:val="00BE07F9"/>
    <w:rsid w:val="00BE6717"/>
    <w:rsid w:val="00BF1148"/>
    <w:rsid w:val="00BF1811"/>
    <w:rsid w:val="00BF18AC"/>
    <w:rsid w:val="00BF36AE"/>
    <w:rsid w:val="00BF4092"/>
    <w:rsid w:val="00BF44F1"/>
    <w:rsid w:val="00BF4CD9"/>
    <w:rsid w:val="00BF688B"/>
    <w:rsid w:val="00C00EEF"/>
    <w:rsid w:val="00C02E39"/>
    <w:rsid w:val="00C0301A"/>
    <w:rsid w:val="00C04F1A"/>
    <w:rsid w:val="00C05CCC"/>
    <w:rsid w:val="00C07088"/>
    <w:rsid w:val="00C07D5F"/>
    <w:rsid w:val="00C07F35"/>
    <w:rsid w:val="00C15993"/>
    <w:rsid w:val="00C17C49"/>
    <w:rsid w:val="00C21F84"/>
    <w:rsid w:val="00C22B1C"/>
    <w:rsid w:val="00C23E32"/>
    <w:rsid w:val="00C24B73"/>
    <w:rsid w:val="00C2555B"/>
    <w:rsid w:val="00C26D3E"/>
    <w:rsid w:val="00C30EA3"/>
    <w:rsid w:val="00C31E67"/>
    <w:rsid w:val="00C325BB"/>
    <w:rsid w:val="00C33A4A"/>
    <w:rsid w:val="00C36E55"/>
    <w:rsid w:val="00C4086A"/>
    <w:rsid w:val="00C42CA5"/>
    <w:rsid w:val="00C42FAF"/>
    <w:rsid w:val="00C456DD"/>
    <w:rsid w:val="00C47E7D"/>
    <w:rsid w:val="00C52DA0"/>
    <w:rsid w:val="00C53031"/>
    <w:rsid w:val="00C568D7"/>
    <w:rsid w:val="00C56AD1"/>
    <w:rsid w:val="00C60BBC"/>
    <w:rsid w:val="00C6365D"/>
    <w:rsid w:val="00C636BC"/>
    <w:rsid w:val="00C6644B"/>
    <w:rsid w:val="00C668FF"/>
    <w:rsid w:val="00C67861"/>
    <w:rsid w:val="00C70A05"/>
    <w:rsid w:val="00C726D8"/>
    <w:rsid w:val="00C7532A"/>
    <w:rsid w:val="00C7663D"/>
    <w:rsid w:val="00C779DC"/>
    <w:rsid w:val="00C80ADA"/>
    <w:rsid w:val="00C81DF4"/>
    <w:rsid w:val="00C83132"/>
    <w:rsid w:val="00C864DC"/>
    <w:rsid w:val="00C908E5"/>
    <w:rsid w:val="00C9118F"/>
    <w:rsid w:val="00C9156E"/>
    <w:rsid w:val="00C947C0"/>
    <w:rsid w:val="00C947CE"/>
    <w:rsid w:val="00C95072"/>
    <w:rsid w:val="00C95F04"/>
    <w:rsid w:val="00C97E6F"/>
    <w:rsid w:val="00CA079E"/>
    <w:rsid w:val="00CA135D"/>
    <w:rsid w:val="00CA1722"/>
    <w:rsid w:val="00CA1806"/>
    <w:rsid w:val="00CA22D8"/>
    <w:rsid w:val="00CA5872"/>
    <w:rsid w:val="00CA78F9"/>
    <w:rsid w:val="00CA7CAF"/>
    <w:rsid w:val="00CB0499"/>
    <w:rsid w:val="00CB06F8"/>
    <w:rsid w:val="00CB08B5"/>
    <w:rsid w:val="00CB18B1"/>
    <w:rsid w:val="00CB2736"/>
    <w:rsid w:val="00CB38CA"/>
    <w:rsid w:val="00CB5712"/>
    <w:rsid w:val="00CB6969"/>
    <w:rsid w:val="00CB6F2B"/>
    <w:rsid w:val="00CB7254"/>
    <w:rsid w:val="00CC0CB0"/>
    <w:rsid w:val="00CC1067"/>
    <w:rsid w:val="00CC3D3D"/>
    <w:rsid w:val="00CC3DF9"/>
    <w:rsid w:val="00CC65C5"/>
    <w:rsid w:val="00CC73AB"/>
    <w:rsid w:val="00CD0325"/>
    <w:rsid w:val="00CD12BC"/>
    <w:rsid w:val="00CD32FA"/>
    <w:rsid w:val="00CD3324"/>
    <w:rsid w:val="00CD46EA"/>
    <w:rsid w:val="00CD4A18"/>
    <w:rsid w:val="00CD575C"/>
    <w:rsid w:val="00CD6257"/>
    <w:rsid w:val="00CD6E1E"/>
    <w:rsid w:val="00CD7A9C"/>
    <w:rsid w:val="00CE0770"/>
    <w:rsid w:val="00CE0BEA"/>
    <w:rsid w:val="00CE1E44"/>
    <w:rsid w:val="00CE37D5"/>
    <w:rsid w:val="00CE5086"/>
    <w:rsid w:val="00CE6C6E"/>
    <w:rsid w:val="00CE76FD"/>
    <w:rsid w:val="00CE7991"/>
    <w:rsid w:val="00CF177F"/>
    <w:rsid w:val="00CF2033"/>
    <w:rsid w:val="00CF5DF2"/>
    <w:rsid w:val="00CF6C98"/>
    <w:rsid w:val="00D0061B"/>
    <w:rsid w:val="00D012CF"/>
    <w:rsid w:val="00D016C3"/>
    <w:rsid w:val="00D01832"/>
    <w:rsid w:val="00D01DC0"/>
    <w:rsid w:val="00D02C28"/>
    <w:rsid w:val="00D02E81"/>
    <w:rsid w:val="00D0526B"/>
    <w:rsid w:val="00D07AA2"/>
    <w:rsid w:val="00D1081A"/>
    <w:rsid w:val="00D15569"/>
    <w:rsid w:val="00D15619"/>
    <w:rsid w:val="00D15A44"/>
    <w:rsid w:val="00D160DE"/>
    <w:rsid w:val="00D21C96"/>
    <w:rsid w:val="00D30074"/>
    <w:rsid w:val="00D30854"/>
    <w:rsid w:val="00D31127"/>
    <w:rsid w:val="00D320FC"/>
    <w:rsid w:val="00D333B4"/>
    <w:rsid w:val="00D3359F"/>
    <w:rsid w:val="00D35FF4"/>
    <w:rsid w:val="00D40C89"/>
    <w:rsid w:val="00D41337"/>
    <w:rsid w:val="00D422E9"/>
    <w:rsid w:val="00D47B55"/>
    <w:rsid w:val="00D47B8A"/>
    <w:rsid w:val="00D50703"/>
    <w:rsid w:val="00D531E4"/>
    <w:rsid w:val="00D53C47"/>
    <w:rsid w:val="00D53E59"/>
    <w:rsid w:val="00D55534"/>
    <w:rsid w:val="00D558AA"/>
    <w:rsid w:val="00D60057"/>
    <w:rsid w:val="00D60444"/>
    <w:rsid w:val="00D605B1"/>
    <w:rsid w:val="00D60D98"/>
    <w:rsid w:val="00D6181D"/>
    <w:rsid w:val="00D61D5F"/>
    <w:rsid w:val="00D61FAA"/>
    <w:rsid w:val="00D62038"/>
    <w:rsid w:val="00D628D2"/>
    <w:rsid w:val="00D62FEC"/>
    <w:rsid w:val="00D639EE"/>
    <w:rsid w:val="00D65C4E"/>
    <w:rsid w:val="00D6662D"/>
    <w:rsid w:val="00D67EA6"/>
    <w:rsid w:val="00D71C06"/>
    <w:rsid w:val="00D71EA0"/>
    <w:rsid w:val="00D72152"/>
    <w:rsid w:val="00D72157"/>
    <w:rsid w:val="00D721F1"/>
    <w:rsid w:val="00D73F33"/>
    <w:rsid w:val="00D74A93"/>
    <w:rsid w:val="00D76337"/>
    <w:rsid w:val="00D77A56"/>
    <w:rsid w:val="00D80B6D"/>
    <w:rsid w:val="00D80C55"/>
    <w:rsid w:val="00D80F78"/>
    <w:rsid w:val="00D8120C"/>
    <w:rsid w:val="00D84488"/>
    <w:rsid w:val="00D844C8"/>
    <w:rsid w:val="00D84B7D"/>
    <w:rsid w:val="00D84F78"/>
    <w:rsid w:val="00D8513A"/>
    <w:rsid w:val="00D85BBB"/>
    <w:rsid w:val="00D85FB4"/>
    <w:rsid w:val="00D879CA"/>
    <w:rsid w:val="00D906BE"/>
    <w:rsid w:val="00D942A9"/>
    <w:rsid w:val="00D943AD"/>
    <w:rsid w:val="00D94687"/>
    <w:rsid w:val="00D9690A"/>
    <w:rsid w:val="00DA2C91"/>
    <w:rsid w:val="00DA5316"/>
    <w:rsid w:val="00DA7B87"/>
    <w:rsid w:val="00DB022D"/>
    <w:rsid w:val="00DB0343"/>
    <w:rsid w:val="00DB342A"/>
    <w:rsid w:val="00DB3E19"/>
    <w:rsid w:val="00DB63D9"/>
    <w:rsid w:val="00DB6CA5"/>
    <w:rsid w:val="00DB7121"/>
    <w:rsid w:val="00DB7E77"/>
    <w:rsid w:val="00DC0BD6"/>
    <w:rsid w:val="00DC0F17"/>
    <w:rsid w:val="00DC30D0"/>
    <w:rsid w:val="00DC37CE"/>
    <w:rsid w:val="00DC422E"/>
    <w:rsid w:val="00DC72C4"/>
    <w:rsid w:val="00DD0B4E"/>
    <w:rsid w:val="00DD1F5E"/>
    <w:rsid w:val="00DD2DD1"/>
    <w:rsid w:val="00DD4803"/>
    <w:rsid w:val="00DD639C"/>
    <w:rsid w:val="00DD67DA"/>
    <w:rsid w:val="00DD7940"/>
    <w:rsid w:val="00DE1840"/>
    <w:rsid w:val="00DE1B89"/>
    <w:rsid w:val="00DE476A"/>
    <w:rsid w:val="00DE5007"/>
    <w:rsid w:val="00DE59C6"/>
    <w:rsid w:val="00DF0EB2"/>
    <w:rsid w:val="00DF26B9"/>
    <w:rsid w:val="00DF2E5A"/>
    <w:rsid w:val="00DF3A69"/>
    <w:rsid w:val="00DF4305"/>
    <w:rsid w:val="00DF4D81"/>
    <w:rsid w:val="00DF658B"/>
    <w:rsid w:val="00E00DC6"/>
    <w:rsid w:val="00E04B02"/>
    <w:rsid w:val="00E058A3"/>
    <w:rsid w:val="00E05E9B"/>
    <w:rsid w:val="00E07417"/>
    <w:rsid w:val="00E10ABF"/>
    <w:rsid w:val="00E130CB"/>
    <w:rsid w:val="00E151F3"/>
    <w:rsid w:val="00E1723B"/>
    <w:rsid w:val="00E17539"/>
    <w:rsid w:val="00E23A7D"/>
    <w:rsid w:val="00E244E6"/>
    <w:rsid w:val="00E26488"/>
    <w:rsid w:val="00E2695D"/>
    <w:rsid w:val="00E27028"/>
    <w:rsid w:val="00E32995"/>
    <w:rsid w:val="00E32C50"/>
    <w:rsid w:val="00E3404F"/>
    <w:rsid w:val="00E414AB"/>
    <w:rsid w:val="00E41A6D"/>
    <w:rsid w:val="00E41E9C"/>
    <w:rsid w:val="00E423C3"/>
    <w:rsid w:val="00E4323F"/>
    <w:rsid w:val="00E4469C"/>
    <w:rsid w:val="00E450AB"/>
    <w:rsid w:val="00E47059"/>
    <w:rsid w:val="00E5280E"/>
    <w:rsid w:val="00E52CEE"/>
    <w:rsid w:val="00E53A7F"/>
    <w:rsid w:val="00E54A8E"/>
    <w:rsid w:val="00E563FC"/>
    <w:rsid w:val="00E569BC"/>
    <w:rsid w:val="00E57F9B"/>
    <w:rsid w:val="00E60634"/>
    <w:rsid w:val="00E607C0"/>
    <w:rsid w:val="00E61348"/>
    <w:rsid w:val="00E6211E"/>
    <w:rsid w:val="00E6319B"/>
    <w:rsid w:val="00E6550B"/>
    <w:rsid w:val="00E65551"/>
    <w:rsid w:val="00E6726D"/>
    <w:rsid w:val="00E70FBC"/>
    <w:rsid w:val="00E74000"/>
    <w:rsid w:val="00E7623C"/>
    <w:rsid w:val="00E773C0"/>
    <w:rsid w:val="00E80764"/>
    <w:rsid w:val="00E80FCB"/>
    <w:rsid w:val="00E81433"/>
    <w:rsid w:val="00E81C95"/>
    <w:rsid w:val="00E845C0"/>
    <w:rsid w:val="00E852A3"/>
    <w:rsid w:val="00E86628"/>
    <w:rsid w:val="00E914B7"/>
    <w:rsid w:val="00E92775"/>
    <w:rsid w:val="00E93103"/>
    <w:rsid w:val="00EA0295"/>
    <w:rsid w:val="00EA0314"/>
    <w:rsid w:val="00EA0C1C"/>
    <w:rsid w:val="00EA477A"/>
    <w:rsid w:val="00EA5CA0"/>
    <w:rsid w:val="00EA5D92"/>
    <w:rsid w:val="00EB083E"/>
    <w:rsid w:val="00EB307B"/>
    <w:rsid w:val="00EB5354"/>
    <w:rsid w:val="00EB7780"/>
    <w:rsid w:val="00EC2DC7"/>
    <w:rsid w:val="00EC3779"/>
    <w:rsid w:val="00EC65E8"/>
    <w:rsid w:val="00EC71DE"/>
    <w:rsid w:val="00EC7F0E"/>
    <w:rsid w:val="00ED21C7"/>
    <w:rsid w:val="00ED2D1F"/>
    <w:rsid w:val="00ED58E9"/>
    <w:rsid w:val="00ED700E"/>
    <w:rsid w:val="00ED79D6"/>
    <w:rsid w:val="00EE1831"/>
    <w:rsid w:val="00EE3DAD"/>
    <w:rsid w:val="00EF2177"/>
    <w:rsid w:val="00EF2F7C"/>
    <w:rsid w:val="00EF3FC0"/>
    <w:rsid w:val="00EF42FC"/>
    <w:rsid w:val="00EF61B5"/>
    <w:rsid w:val="00F009B3"/>
    <w:rsid w:val="00F00A40"/>
    <w:rsid w:val="00F00A6E"/>
    <w:rsid w:val="00F05773"/>
    <w:rsid w:val="00F0773E"/>
    <w:rsid w:val="00F115D1"/>
    <w:rsid w:val="00F12CED"/>
    <w:rsid w:val="00F12DCE"/>
    <w:rsid w:val="00F13496"/>
    <w:rsid w:val="00F13B2F"/>
    <w:rsid w:val="00F14346"/>
    <w:rsid w:val="00F14982"/>
    <w:rsid w:val="00F163E9"/>
    <w:rsid w:val="00F22A26"/>
    <w:rsid w:val="00F23C0F"/>
    <w:rsid w:val="00F2598D"/>
    <w:rsid w:val="00F26166"/>
    <w:rsid w:val="00F26D3E"/>
    <w:rsid w:val="00F2720A"/>
    <w:rsid w:val="00F32739"/>
    <w:rsid w:val="00F32845"/>
    <w:rsid w:val="00F336A2"/>
    <w:rsid w:val="00F34643"/>
    <w:rsid w:val="00F36BA0"/>
    <w:rsid w:val="00F411C5"/>
    <w:rsid w:val="00F44AEB"/>
    <w:rsid w:val="00F45620"/>
    <w:rsid w:val="00F5304D"/>
    <w:rsid w:val="00F532E2"/>
    <w:rsid w:val="00F5470D"/>
    <w:rsid w:val="00F555FB"/>
    <w:rsid w:val="00F5638B"/>
    <w:rsid w:val="00F56493"/>
    <w:rsid w:val="00F60301"/>
    <w:rsid w:val="00F628BC"/>
    <w:rsid w:val="00F628FC"/>
    <w:rsid w:val="00F7033F"/>
    <w:rsid w:val="00F70DD4"/>
    <w:rsid w:val="00F7277F"/>
    <w:rsid w:val="00F72E32"/>
    <w:rsid w:val="00F73B85"/>
    <w:rsid w:val="00F747EC"/>
    <w:rsid w:val="00F76218"/>
    <w:rsid w:val="00F829B7"/>
    <w:rsid w:val="00F82DF0"/>
    <w:rsid w:val="00F84A4F"/>
    <w:rsid w:val="00F84ACE"/>
    <w:rsid w:val="00F8617B"/>
    <w:rsid w:val="00F863D7"/>
    <w:rsid w:val="00F9173C"/>
    <w:rsid w:val="00F94474"/>
    <w:rsid w:val="00F975AD"/>
    <w:rsid w:val="00FA05C2"/>
    <w:rsid w:val="00FA2D1E"/>
    <w:rsid w:val="00FA35EB"/>
    <w:rsid w:val="00FA6EE9"/>
    <w:rsid w:val="00FB18D0"/>
    <w:rsid w:val="00FB2241"/>
    <w:rsid w:val="00FB2315"/>
    <w:rsid w:val="00FB2ED6"/>
    <w:rsid w:val="00FB3591"/>
    <w:rsid w:val="00FB412B"/>
    <w:rsid w:val="00FB42E5"/>
    <w:rsid w:val="00FB58C3"/>
    <w:rsid w:val="00FB59EE"/>
    <w:rsid w:val="00FB5D32"/>
    <w:rsid w:val="00FB6B8F"/>
    <w:rsid w:val="00FC146F"/>
    <w:rsid w:val="00FC2522"/>
    <w:rsid w:val="00FC3C77"/>
    <w:rsid w:val="00FC5B56"/>
    <w:rsid w:val="00FD181C"/>
    <w:rsid w:val="00FD4B12"/>
    <w:rsid w:val="00FD5009"/>
    <w:rsid w:val="00FD55C9"/>
    <w:rsid w:val="00FD62DC"/>
    <w:rsid w:val="00FD64DF"/>
    <w:rsid w:val="00FD65D3"/>
    <w:rsid w:val="00FD6A70"/>
    <w:rsid w:val="00FE06B1"/>
    <w:rsid w:val="00FE1D87"/>
    <w:rsid w:val="00FE1EC8"/>
    <w:rsid w:val="00FE3560"/>
    <w:rsid w:val="00FE3E09"/>
    <w:rsid w:val="00FE4FBF"/>
    <w:rsid w:val="00FE6961"/>
    <w:rsid w:val="00FE78CB"/>
    <w:rsid w:val="00FF1E5A"/>
    <w:rsid w:val="00FF6AA1"/>
    <w:rsid w:val="00FF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  <w:style w:type="character" w:styleId="Zdraznn">
    <w:name w:val="Emphasis"/>
    <w:basedOn w:val="Standardnpsmoodstavce"/>
    <w:uiPriority w:val="20"/>
    <w:qFormat/>
    <w:rsid w:val="00E563FC"/>
    <w:rPr>
      <w:i/>
      <w:iCs/>
    </w:rPr>
  </w:style>
  <w:style w:type="character" w:styleId="Siln">
    <w:name w:val="Strong"/>
    <w:basedOn w:val="Standardnpsmoodstavce"/>
    <w:uiPriority w:val="22"/>
    <w:qFormat/>
    <w:rsid w:val="00A553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3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1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29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944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500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1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6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83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6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9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44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37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9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3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0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42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3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84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hyperlink" Target="https://www.bcas.cz/o-nas/broker-consulting-index-hypotecnich-uveru/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header" Target="header3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28" Type="http://schemas.openxmlformats.org/officeDocument/2006/relationships/fontTable" Target="fontTable.xm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hyperlink" Target="mailto:tereza.zahrubska@bcas.cz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12152C-812E-4938-AA52-33594C5F4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3</Pages>
  <Words>972</Words>
  <Characters>5739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Tereza Záhrubská</cp:lastModifiedBy>
  <cp:revision>16</cp:revision>
  <cp:lastPrinted>2023-03-06T11:31:00Z</cp:lastPrinted>
  <dcterms:created xsi:type="dcterms:W3CDTF">2025-01-03T10:19:00Z</dcterms:created>
  <dcterms:modified xsi:type="dcterms:W3CDTF">2025-02-10T09:49:00Z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