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3477F" w14:textId="73DE3A14" w:rsidR="00B712F8" w:rsidRPr="00B712F8" w:rsidRDefault="00B712F8" w:rsidP="00B712F8">
      <w:pPr>
        <w:spacing w:before="230"/>
        <w:jc w:val="center"/>
        <w:rPr>
          <w:rFonts w:asciiTheme="minorHAnsi" w:hAnsiTheme="minorHAnsi" w:cstheme="minorHAnsi"/>
          <w:sz w:val="24"/>
        </w:rPr>
      </w:pPr>
      <w:r w:rsidRPr="00B712F8">
        <w:rPr>
          <w:rFonts w:asciiTheme="minorHAnsi" w:hAnsiTheme="minorHAnsi" w:cstheme="minorHAnsi"/>
          <w:sz w:val="24"/>
        </w:rPr>
        <w:t>INDEX HYPOTEČNÍCH ÚVĚRŮ | FIXINDEX</w:t>
      </w:r>
    </w:p>
    <w:p w14:paraId="60EAB24B" w14:textId="1AA8A38E" w:rsid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PODÍLOVÝCH </w:t>
      </w:r>
    </w:p>
    <w:p w14:paraId="5297514E" w14:textId="27BF137B" w:rsidR="00873067" w:rsidRPr="00B712F8" w:rsidRDefault="00873067" w:rsidP="00B712F8">
      <w:pPr>
        <w:spacing w:before="230"/>
        <w:ind w:left="165"/>
        <w:jc w:val="center"/>
        <w:rPr>
          <w:rFonts w:asciiTheme="minorHAnsi" w:hAnsiTheme="minorHAnsi" w:cstheme="minorHAnsi"/>
          <w:sz w:val="24"/>
        </w:rPr>
      </w:pPr>
      <w:r>
        <w:rPr>
          <w:rFonts w:asciiTheme="minorHAnsi" w:hAnsiTheme="minorHAnsi" w:cstheme="minorHAnsi"/>
          <w:sz w:val="24"/>
        </w:rPr>
        <w:t>REALINDEX</w:t>
      </w:r>
    </w:p>
    <w:p w14:paraId="26DF00A4" w14:textId="285D3435" w:rsidR="00873067" w:rsidRPr="00B712F8" w:rsidRDefault="00B712F8" w:rsidP="00873067">
      <w:pPr>
        <w:spacing w:before="230"/>
        <w:ind w:left="165"/>
        <w:jc w:val="center"/>
        <w:rPr>
          <w:rFonts w:asciiTheme="minorHAnsi" w:hAnsiTheme="minorHAnsi" w:cstheme="minorHAnsi"/>
          <w:b/>
          <w:sz w:val="24"/>
        </w:rPr>
      </w:pPr>
      <w:r w:rsidRPr="00B712F8">
        <w:rPr>
          <w:rFonts w:asciiTheme="minorHAnsi" w:hAnsiTheme="minorHAnsi" w:cstheme="minorHAnsi"/>
          <w:b/>
          <w:sz w:val="24"/>
        </w:rPr>
        <w:t xml:space="preserve">POVINDEX </w:t>
      </w:r>
    </w:p>
    <w:p w14:paraId="35D84D67" w14:textId="77777777" w:rsidR="00B712F8" w:rsidRP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SPOTŘEBITELSKÝCH ÚVĚRŮ  </w:t>
      </w:r>
    </w:p>
    <w:p w14:paraId="461E2AE1" w14:textId="77777777" w:rsidR="00B712F8" w:rsidRPr="005D11F0" w:rsidRDefault="00B712F8" w:rsidP="00B712F8">
      <w:pPr>
        <w:pStyle w:val="Zkladntext"/>
        <w:rPr>
          <w:sz w:val="20"/>
        </w:rPr>
      </w:pPr>
    </w:p>
    <w:p w14:paraId="0E5FD800" w14:textId="77777777" w:rsidR="00B712F8" w:rsidRPr="005D11F0" w:rsidRDefault="00B712F8" w:rsidP="00B712F8">
      <w:pPr>
        <w:pStyle w:val="Zkladntext"/>
        <w:rPr>
          <w:sz w:val="20"/>
        </w:rPr>
      </w:pPr>
      <w:r w:rsidRPr="005D11F0">
        <w:rPr>
          <w:noProof/>
          <w:sz w:val="20"/>
          <w:lang w:bidi="ar-SA"/>
        </w:rPr>
        <w:drawing>
          <wp:anchor distT="0" distB="0" distL="114300" distR="114300" simplePos="0" relativeHeight="251659264" behindDoc="1" locked="0" layoutInCell="1" allowOverlap="1" wp14:anchorId="5B99E0AC" wp14:editId="394D1D8C">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EE3ED0" w14:textId="77777777" w:rsidR="00B712F8" w:rsidRPr="005D11F0" w:rsidRDefault="00B712F8" w:rsidP="00B712F8">
      <w:pPr>
        <w:pStyle w:val="Zkladntext"/>
        <w:rPr>
          <w:sz w:val="20"/>
        </w:rPr>
      </w:pPr>
    </w:p>
    <w:p w14:paraId="07EC57A1" w14:textId="77777777" w:rsidR="00B712F8" w:rsidRPr="005D11F0" w:rsidRDefault="00B712F8" w:rsidP="00B712F8">
      <w:pPr>
        <w:pStyle w:val="Zkladntext"/>
        <w:rPr>
          <w:sz w:val="20"/>
        </w:rPr>
      </w:pPr>
    </w:p>
    <w:p w14:paraId="10EA7975" w14:textId="77777777" w:rsidR="00B712F8" w:rsidRPr="005D11F0" w:rsidRDefault="00B712F8" w:rsidP="00B712F8">
      <w:pPr>
        <w:pStyle w:val="Zkladntext"/>
        <w:rPr>
          <w:sz w:val="20"/>
        </w:rPr>
      </w:pPr>
    </w:p>
    <w:p w14:paraId="0E42394D" w14:textId="77777777" w:rsidR="00B712F8" w:rsidRPr="005D11F0" w:rsidRDefault="00B712F8" w:rsidP="00B712F8">
      <w:pPr>
        <w:pStyle w:val="Zkladntext"/>
        <w:rPr>
          <w:sz w:val="20"/>
        </w:rPr>
      </w:pPr>
    </w:p>
    <w:p w14:paraId="1D9CF081" w14:textId="77777777" w:rsidR="00B712F8" w:rsidRPr="005D11F0" w:rsidRDefault="00B712F8" w:rsidP="00B712F8">
      <w:pPr>
        <w:pStyle w:val="Zkladntext"/>
        <w:rPr>
          <w:sz w:val="20"/>
        </w:rPr>
      </w:pPr>
    </w:p>
    <w:p w14:paraId="28C33AD0" w14:textId="77777777" w:rsidR="00B712F8" w:rsidRPr="005D11F0" w:rsidRDefault="00B712F8" w:rsidP="00B712F8">
      <w:pPr>
        <w:pStyle w:val="Zkladntext"/>
        <w:rPr>
          <w:sz w:val="20"/>
        </w:rPr>
      </w:pPr>
    </w:p>
    <w:p w14:paraId="64B40F02" w14:textId="77777777" w:rsidR="00B712F8" w:rsidRPr="005D11F0" w:rsidRDefault="00B712F8" w:rsidP="00B712F8">
      <w:pPr>
        <w:pStyle w:val="Zkladntext"/>
        <w:rPr>
          <w:sz w:val="20"/>
        </w:rPr>
      </w:pPr>
    </w:p>
    <w:p w14:paraId="6AB0AA92" w14:textId="77777777" w:rsidR="00B712F8" w:rsidRPr="005D11F0" w:rsidRDefault="00B712F8" w:rsidP="00B712F8">
      <w:pPr>
        <w:pStyle w:val="Zkladntext"/>
        <w:jc w:val="both"/>
        <w:rPr>
          <w:rFonts w:ascii="Arial" w:hAnsi="Arial" w:cs="Arial"/>
          <w:sz w:val="20"/>
        </w:rPr>
      </w:pPr>
    </w:p>
    <w:p w14:paraId="168CA3FE" w14:textId="77777777" w:rsidR="00B712F8" w:rsidRPr="005D11F0" w:rsidRDefault="00B712F8" w:rsidP="00B712F8">
      <w:pPr>
        <w:pStyle w:val="Zkladntext"/>
        <w:jc w:val="both"/>
        <w:rPr>
          <w:rFonts w:ascii="Arial" w:hAnsi="Arial" w:cs="Arial"/>
          <w:b/>
          <w:sz w:val="20"/>
        </w:rPr>
      </w:pPr>
    </w:p>
    <w:p w14:paraId="2C7C11E7" w14:textId="77777777" w:rsidR="00B712F8" w:rsidRPr="005D11F0" w:rsidRDefault="00B712F8" w:rsidP="00B712F8">
      <w:pPr>
        <w:pStyle w:val="Zkladntext"/>
        <w:jc w:val="both"/>
        <w:rPr>
          <w:rFonts w:ascii="Arial" w:hAnsi="Arial" w:cs="Arial"/>
          <w:b/>
          <w:sz w:val="20"/>
        </w:rPr>
      </w:pPr>
    </w:p>
    <w:p w14:paraId="2EC7A176" w14:textId="77777777" w:rsidR="00B712F8" w:rsidRPr="005D11F0" w:rsidRDefault="00B712F8" w:rsidP="00B712F8">
      <w:pPr>
        <w:pStyle w:val="Zkladntext"/>
        <w:jc w:val="both"/>
        <w:rPr>
          <w:rFonts w:ascii="Arial" w:hAnsi="Arial" w:cs="Arial"/>
          <w:b/>
          <w:sz w:val="20"/>
        </w:rPr>
      </w:pPr>
    </w:p>
    <w:p w14:paraId="3B89FDD7" w14:textId="77777777" w:rsidR="00B712F8" w:rsidRPr="005D11F0" w:rsidRDefault="00B712F8" w:rsidP="00B712F8">
      <w:pPr>
        <w:pStyle w:val="Zkladntext"/>
        <w:jc w:val="both"/>
        <w:rPr>
          <w:rFonts w:ascii="Arial" w:hAnsi="Arial" w:cs="Arial"/>
          <w:b/>
          <w:sz w:val="20"/>
        </w:rPr>
      </w:pPr>
    </w:p>
    <w:p w14:paraId="37DBF001" w14:textId="77777777" w:rsidR="00B712F8" w:rsidRPr="005D11F0" w:rsidRDefault="00B712F8" w:rsidP="00B712F8">
      <w:pPr>
        <w:pStyle w:val="Zkladntext"/>
        <w:jc w:val="both"/>
        <w:rPr>
          <w:rFonts w:ascii="Arial" w:hAnsi="Arial" w:cs="Arial"/>
          <w:b/>
          <w:sz w:val="20"/>
        </w:rPr>
      </w:pPr>
    </w:p>
    <w:p w14:paraId="0B933A79" w14:textId="77777777" w:rsidR="00B712F8" w:rsidRPr="005D11F0" w:rsidRDefault="00B712F8" w:rsidP="00B712F8">
      <w:pPr>
        <w:pStyle w:val="Zkladntext"/>
        <w:jc w:val="both"/>
        <w:rPr>
          <w:rFonts w:ascii="Arial" w:hAnsi="Arial" w:cs="Arial"/>
          <w:b/>
          <w:sz w:val="20"/>
        </w:rPr>
      </w:pPr>
    </w:p>
    <w:p w14:paraId="2A36DAD9" w14:textId="77777777" w:rsidR="00B712F8" w:rsidRPr="005D11F0" w:rsidRDefault="00B712F8" w:rsidP="00B712F8">
      <w:pPr>
        <w:pStyle w:val="Zkladntext"/>
        <w:jc w:val="both"/>
        <w:rPr>
          <w:rFonts w:ascii="Arial" w:hAnsi="Arial" w:cs="Arial"/>
          <w:b/>
          <w:sz w:val="20"/>
        </w:rPr>
      </w:pPr>
    </w:p>
    <w:p w14:paraId="157674BA" w14:textId="77777777" w:rsidR="00B712F8" w:rsidRPr="005D11F0" w:rsidRDefault="00B712F8" w:rsidP="00B712F8">
      <w:pPr>
        <w:pStyle w:val="Zkladntext"/>
        <w:jc w:val="both"/>
        <w:rPr>
          <w:rFonts w:ascii="Arial" w:hAnsi="Arial" w:cs="Arial"/>
          <w:b/>
          <w:sz w:val="20"/>
        </w:rPr>
      </w:pPr>
    </w:p>
    <w:p w14:paraId="7C68B864" w14:textId="77777777" w:rsidR="00B712F8" w:rsidRPr="005D11F0" w:rsidRDefault="00B712F8" w:rsidP="00B712F8">
      <w:pPr>
        <w:pStyle w:val="Zkladntext"/>
        <w:jc w:val="both"/>
        <w:rPr>
          <w:rFonts w:ascii="Arial" w:hAnsi="Arial" w:cs="Arial"/>
          <w:b/>
          <w:sz w:val="20"/>
        </w:rPr>
      </w:pPr>
    </w:p>
    <w:p w14:paraId="5876D6B4" w14:textId="77777777" w:rsidR="00B712F8" w:rsidRPr="005D11F0" w:rsidRDefault="00B712F8" w:rsidP="00B712F8">
      <w:pPr>
        <w:pStyle w:val="Zkladntext"/>
        <w:jc w:val="both"/>
        <w:rPr>
          <w:rFonts w:ascii="Arial" w:hAnsi="Arial" w:cs="Arial"/>
          <w:b/>
          <w:sz w:val="20"/>
        </w:rPr>
      </w:pPr>
    </w:p>
    <w:p w14:paraId="62179353" w14:textId="77777777" w:rsidR="00B712F8" w:rsidRPr="005D11F0" w:rsidRDefault="00B712F8" w:rsidP="00B712F8">
      <w:pPr>
        <w:pStyle w:val="Zkladntext"/>
        <w:jc w:val="both"/>
        <w:rPr>
          <w:rFonts w:ascii="Arial" w:hAnsi="Arial" w:cs="Arial"/>
          <w:b/>
          <w:sz w:val="20"/>
        </w:rPr>
      </w:pPr>
    </w:p>
    <w:p w14:paraId="3D7BD27C" w14:textId="77777777" w:rsidR="00B712F8" w:rsidRPr="005D11F0" w:rsidRDefault="00B712F8" w:rsidP="00B712F8">
      <w:pPr>
        <w:pStyle w:val="Zkladntext"/>
        <w:jc w:val="both"/>
        <w:rPr>
          <w:rFonts w:ascii="Arial" w:hAnsi="Arial" w:cs="Arial"/>
          <w:b/>
          <w:sz w:val="20"/>
        </w:rPr>
      </w:pPr>
    </w:p>
    <w:p w14:paraId="5246B823" w14:textId="77777777" w:rsidR="00B712F8" w:rsidRPr="005D11F0" w:rsidRDefault="00B712F8" w:rsidP="00B712F8">
      <w:pPr>
        <w:pStyle w:val="Zkladntext"/>
        <w:jc w:val="both"/>
        <w:rPr>
          <w:rFonts w:ascii="Arial" w:hAnsi="Arial" w:cs="Arial"/>
          <w:b/>
          <w:sz w:val="20"/>
        </w:rPr>
      </w:pPr>
    </w:p>
    <w:p w14:paraId="7E12EF6D" w14:textId="77777777" w:rsidR="00B712F8" w:rsidRPr="005D11F0" w:rsidRDefault="00B712F8" w:rsidP="00B712F8">
      <w:pPr>
        <w:pStyle w:val="Zkladntext"/>
        <w:jc w:val="both"/>
        <w:rPr>
          <w:rFonts w:ascii="Arial" w:hAnsi="Arial" w:cs="Arial"/>
          <w:b/>
          <w:sz w:val="20"/>
        </w:rPr>
      </w:pPr>
    </w:p>
    <w:p w14:paraId="37782B33" w14:textId="77777777" w:rsidR="00B712F8" w:rsidRPr="005D11F0" w:rsidRDefault="00B712F8" w:rsidP="00B712F8">
      <w:pPr>
        <w:pStyle w:val="Zkladntext"/>
        <w:jc w:val="both"/>
        <w:rPr>
          <w:rFonts w:ascii="Arial" w:hAnsi="Arial" w:cs="Arial"/>
          <w:b/>
          <w:sz w:val="20"/>
        </w:rPr>
      </w:pPr>
    </w:p>
    <w:p w14:paraId="181E0E15" w14:textId="77777777" w:rsidR="00B712F8" w:rsidRPr="005D11F0" w:rsidRDefault="00B712F8" w:rsidP="00B712F8">
      <w:pPr>
        <w:pStyle w:val="Zkladntext"/>
        <w:jc w:val="both"/>
        <w:rPr>
          <w:rFonts w:ascii="Arial" w:hAnsi="Arial" w:cs="Arial"/>
          <w:b/>
          <w:sz w:val="20"/>
        </w:rPr>
      </w:pPr>
    </w:p>
    <w:p w14:paraId="540F0B34" w14:textId="77777777" w:rsidR="00B712F8" w:rsidRPr="005D11F0" w:rsidRDefault="00B712F8" w:rsidP="00B712F8">
      <w:pPr>
        <w:pStyle w:val="Zkladntext"/>
        <w:jc w:val="both"/>
        <w:rPr>
          <w:rFonts w:ascii="Arial" w:hAnsi="Arial" w:cs="Arial"/>
          <w:b/>
          <w:sz w:val="20"/>
        </w:rPr>
      </w:pPr>
    </w:p>
    <w:p w14:paraId="602D9FFB" w14:textId="77777777" w:rsidR="00B712F8" w:rsidRPr="005D11F0" w:rsidRDefault="00B712F8" w:rsidP="00B712F8">
      <w:pPr>
        <w:pStyle w:val="Zkladntext"/>
        <w:jc w:val="both"/>
        <w:rPr>
          <w:rFonts w:ascii="Arial" w:hAnsi="Arial" w:cs="Arial"/>
          <w:b/>
          <w:sz w:val="20"/>
        </w:rPr>
      </w:pPr>
    </w:p>
    <w:p w14:paraId="514F7B2A" w14:textId="62E24A5B" w:rsidR="00B712F8" w:rsidRPr="005D11F0" w:rsidRDefault="00B712F8" w:rsidP="00B712F8">
      <w:pPr>
        <w:pStyle w:val="Zkladntext"/>
        <w:jc w:val="both"/>
        <w:rPr>
          <w:rFonts w:ascii="Arial" w:hAnsi="Arial" w:cs="Arial"/>
          <w:b/>
          <w:sz w:val="20"/>
        </w:rPr>
      </w:pPr>
    </w:p>
    <w:p w14:paraId="7134DC1D" w14:textId="77777777" w:rsidR="00B712F8" w:rsidRPr="005D11F0" w:rsidRDefault="00B712F8" w:rsidP="00B712F8">
      <w:pPr>
        <w:pStyle w:val="Zkladntext"/>
        <w:jc w:val="both"/>
        <w:rPr>
          <w:rFonts w:ascii="Arial" w:hAnsi="Arial" w:cs="Arial"/>
          <w:b/>
          <w:sz w:val="20"/>
        </w:rPr>
      </w:pPr>
    </w:p>
    <w:p w14:paraId="3B9A3695" w14:textId="0BA677B3" w:rsidR="00B712F8" w:rsidRPr="00B712F8" w:rsidRDefault="00B712F8" w:rsidP="00B712F8">
      <w:pPr>
        <w:pStyle w:val="Zkladntext"/>
        <w:jc w:val="both"/>
        <w:rPr>
          <w:rFonts w:asciiTheme="minorHAnsi" w:hAnsiTheme="minorHAnsi" w:cstheme="minorHAnsi"/>
          <w:b/>
        </w:rPr>
      </w:pPr>
      <w:r w:rsidRPr="00B712F8">
        <w:rPr>
          <w:rFonts w:asciiTheme="minorHAnsi" w:hAnsiTheme="minorHAnsi" w:cstheme="minorHAnsi"/>
          <w:b/>
        </w:rPr>
        <w:t>O společnosti Broker Consulting</w:t>
      </w:r>
    </w:p>
    <w:p w14:paraId="46DADFA7" w14:textId="77777777" w:rsidR="00F63179" w:rsidRPr="005B7E46" w:rsidRDefault="00F63179" w:rsidP="00F63179">
      <w:pPr>
        <w:jc w:val="both"/>
        <w:rPr>
          <w:rFonts w:asciiTheme="minorHAnsi" w:hAnsiTheme="minorHAnsi" w:cstheme="minorHAnsi"/>
          <w:sz w:val="20"/>
          <w:szCs w:val="20"/>
        </w:rPr>
      </w:pPr>
    </w:p>
    <w:p w14:paraId="6A9EF2EE" w14:textId="77777777" w:rsidR="005541A6" w:rsidRDefault="00F63179" w:rsidP="005541A6">
      <w:pPr>
        <w:jc w:val="both"/>
        <w:rPr>
          <w:rFonts w:asciiTheme="minorHAnsi" w:hAnsiTheme="minorHAnsi" w:cstheme="minorHAnsi"/>
          <w:sz w:val="20"/>
          <w:szCs w:val="20"/>
          <w:lang w:val="de-DE"/>
        </w:rPr>
      </w:pPr>
      <w:r w:rsidRPr="005B7E46">
        <w:rPr>
          <w:rFonts w:asciiTheme="minorHAnsi" w:hAnsiTheme="minorHAnsi" w:cstheme="minorHAnsi"/>
          <w:sz w:val="20"/>
          <w:szCs w:val="20"/>
        </w:rPr>
        <w:t>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w:t>
      </w:r>
      <w:r>
        <w:rPr>
          <w:rFonts w:asciiTheme="minorHAnsi" w:hAnsiTheme="minorHAnsi" w:cstheme="minorHAnsi"/>
          <w:sz w:val="20"/>
          <w:szCs w:val="20"/>
        </w:rPr>
        <w:t>) ve více než 150 kancelářích</w:t>
      </w:r>
      <w:r w:rsidRPr="005B7E46">
        <w:rPr>
          <w:rFonts w:asciiTheme="minorHAnsi" w:hAnsiTheme="minorHAnsi" w:cstheme="minorHAnsi"/>
          <w:sz w:val="20"/>
          <w:szCs w:val="20"/>
        </w:rPr>
        <w:t xml:space="preserve"> </w:t>
      </w:r>
      <w:r>
        <w:rPr>
          <w:rFonts w:asciiTheme="minorHAnsi" w:hAnsiTheme="minorHAnsi" w:cstheme="minorHAnsi"/>
          <w:sz w:val="20"/>
          <w:szCs w:val="20"/>
        </w:rPr>
        <w:t>a na několika desítkách poboček Broker Point Premium</w:t>
      </w:r>
      <w:r w:rsidRPr="005B7E46">
        <w:rPr>
          <w:rFonts w:asciiTheme="minorHAnsi" w:hAnsiTheme="minorHAnsi" w:cstheme="minorHAnsi"/>
          <w:sz w:val="20"/>
          <w:szCs w:val="20"/>
        </w:rPr>
        <w: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w:t>
      </w:r>
      <w:r>
        <w:rPr>
          <w:rFonts w:asciiTheme="minorHAnsi" w:hAnsiTheme="minorHAnsi" w:cstheme="minorHAnsi"/>
          <w:sz w:val="20"/>
          <w:szCs w:val="20"/>
        </w:rPr>
        <w:t xml:space="preserve"> služby společně, to je Broker Point Premium,</w:t>
      </w:r>
      <w:r w:rsidRPr="00961519">
        <w:rPr>
          <w:rFonts w:asciiTheme="minorHAnsi" w:hAnsiTheme="minorHAnsi" w:cstheme="minorHAnsi"/>
          <w:sz w:val="20"/>
          <w:szCs w:val="20"/>
        </w:rPr>
        <w:t xml:space="preserve"> </w:t>
      </w:r>
      <w:r>
        <w:rPr>
          <w:rFonts w:asciiTheme="minorHAnsi" w:hAnsiTheme="minorHAnsi" w:cstheme="minorHAnsi"/>
          <w:sz w:val="20"/>
          <w:szCs w:val="20"/>
        </w:rPr>
        <w:t xml:space="preserve">jehož přináší společnost Broker Consulting, která za vedení franšízy a její podporu získala ocenění </w:t>
      </w:r>
      <w:r w:rsidRPr="00A0680F">
        <w:rPr>
          <w:rFonts w:asciiTheme="minorHAnsi" w:hAnsiTheme="minorHAnsi" w:cstheme="minorHAnsi"/>
          <w:b/>
          <w:color w:val="FF0000"/>
          <w:sz w:val="20"/>
          <w:szCs w:val="20"/>
        </w:rPr>
        <w:t>Franchisor roku 2022</w:t>
      </w:r>
      <w:r w:rsidRPr="00A0680F">
        <w:rPr>
          <w:rFonts w:asciiTheme="minorHAnsi" w:hAnsiTheme="minorHAnsi" w:cstheme="minorHAnsi"/>
          <w:color w:val="FF0000"/>
          <w:sz w:val="20"/>
          <w:szCs w:val="20"/>
        </w:rPr>
        <w:t xml:space="preserve"> </w:t>
      </w:r>
      <w:r>
        <w:rPr>
          <w:rFonts w:asciiTheme="minorHAnsi" w:hAnsiTheme="minorHAnsi" w:cstheme="minorHAnsi"/>
          <w:sz w:val="20"/>
          <w:szCs w:val="20"/>
        </w:rPr>
        <w:t>od České asociace franchisingu</w:t>
      </w:r>
      <w:r w:rsidRPr="005B7E46">
        <w:rPr>
          <w:rFonts w:asciiTheme="minorHAnsi" w:hAnsiTheme="minorHAnsi" w:cstheme="minorHAnsi"/>
          <w:sz w:val="20"/>
          <w:szCs w:val="20"/>
        </w:rPr>
        <w:t xml:space="preserve">. </w:t>
      </w:r>
      <w:r w:rsidRPr="005B7E46">
        <w:rPr>
          <w:rStyle w:val="dn"/>
          <w:rFonts w:asciiTheme="minorHAnsi" w:hAnsiTheme="minorHAnsi" w:cstheme="minorHAnsi"/>
          <w:sz w:val="20"/>
          <w:szCs w:val="20"/>
        </w:rPr>
        <w:t xml:space="preserve">Více na </w:t>
      </w:r>
      <w:hyperlink r:id="rId9" w:history="1">
        <w:r w:rsidRPr="005B7E46">
          <w:rPr>
            <w:rStyle w:val="Hypertextovodkaz"/>
            <w:rFonts w:asciiTheme="minorHAnsi" w:hAnsiTheme="minorHAnsi" w:cstheme="minorHAnsi"/>
            <w:color w:val="auto"/>
            <w:sz w:val="20"/>
            <w:szCs w:val="20"/>
          </w:rPr>
          <w:t>bcas.cz</w:t>
        </w:r>
      </w:hyperlink>
      <w:r w:rsidRPr="005B7E46">
        <w:rPr>
          <w:rStyle w:val="Hypertextovodkaz"/>
          <w:rFonts w:asciiTheme="minorHAnsi" w:hAnsiTheme="minorHAnsi" w:cstheme="minorHAnsi"/>
          <w:color w:val="auto"/>
          <w:sz w:val="20"/>
          <w:szCs w:val="20"/>
          <w:u w:val="none"/>
        </w:rPr>
        <w:t xml:space="preserve">, </w:t>
      </w:r>
      <w:hyperlink r:id="rId10" w:history="1">
        <w:r>
          <w:rPr>
            <w:rStyle w:val="Hypertextovodkaz"/>
            <w:rFonts w:asciiTheme="minorHAnsi" w:hAnsiTheme="minorHAnsi" w:cstheme="minorHAnsi"/>
            <w:color w:val="auto"/>
            <w:sz w:val="20"/>
            <w:szCs w:val="20"/>
          </w:rPr>
          <w:t>brokerpointy</w:t>
        </w:r>
        <w:r w:rsidRPr="005B7E46">
          <w:rPr>
            <w:rStyle w:val="Hypertextovodkaz"/>
            <w:rFonts w:asciiTheme="minorHAnsi" w:hAnsiTheme="minorHAnsi" w:cstheme="minorHAnsi"/>
            <w:color w:val="auto"/>
            <w:sz w:val="20"/>
            <w:szCs w:val="20"/>
          </w:rPr>
          <w:t>.cz</w:t>
        </w:r>
      </w:hyperlink>
      <w:r w:rsidRPr="005B7E46">
        <w:rPr>
          <w:rStyle w:val="Hypertextovodkaz"/>
          <w:rFonts w:asciiTheme="minorHAnsi" w:hAnsiTheme="minorHAnsi" w:cstheme="minorHAnsi"/>
          <w:color w:val="auto"/>
          <w:sz w:val="20"/>
          <w:szCs w:val="20"/>
          <w:u w:val="none"/>
        </w:rPr>
        <w:t xml:space="preserve">, </w:t>
      </w:r>
      <w:r>
        <w:rPr>
          <w:rStyle w:val="Hypertextovodkaz"/>
          <w:rFonts w:asciiTheme="minorHAnsi" w:hAnsiTheme="minorHAnsi" w:cstheme="minorHAnsi"/>
          <w:color w:val="auto"/>
          <w:sz w:val="20"/>
          <w:szCs w:val="20"/>
          <w:u w:val="none"/>
        </w:rPr>
        <w:t>brokerpoint</w:t>
      </w:r>
      <w:hyperlink r:id="rId11" w:history="1">
        <w:r w:rsidRPr="005B7E46">
          <w:rPr>
            <w:rStyle w:val="Hypertextovodkaz"/>
            <w:rFonts w:asciiTheme="minorHAnsi" w:hAnsiTheme="minorHAnsi" w:cstheme="minorHAnsi"/>
            <w:color w:val="auto"/>
            <w:sz w:val="20"/>
            <w:szCs w:val="20"/>
          </w:rPr>
          <w:t>.tv</w:t>
        </w:r>
      </w:hyperlink>
      <w:r w:rsidRPr="005B7E46">
        <w:rPr>
          <w:rStyle w:val="dn"/>
          <w:rFonts w:asciiTheme="minorHAnsi" w:hAnsiTheme="minorHAnsi" w:cstheme="minorHAnsi"/>
          <w:sz w:val="20"/>
          <w:szCs w:val="20"/>
        </w:rPr>
        <w:t xml:space="preserve"> a na </w:t>
      </w:r>
      <w:hyperlink r:id="rId12" w:history="1">
        <w:r w:rsidRPr="005B7E46">
          <w:rPr>
            <w:rStyle w:val="Hypertextovodkaz"/>
            <w:rFonts w:asciiTheme="minorHAnsi" w:hAnsiTheme="minorHAnsi" w:cstheme="minorHAnsi"/>
            <w:color w:val="auto"/>
            <w:sz w:val="20"/>
            <w:szCs w:val="20"/>
          </w:rPr>
          <w:t>realityspolu.cz</w:t>
        </w:r>
      </w:hyperlink>
      <w:r w:rsidRPr="005B7E46">
        <w:rPr>
          <w:rStyle w:val="Hypertextovodkaz"/>
          <w:rFonts w:asciiTheme="minorHAnsi" w:hAnsiTheme="minorHAnsi" w:cstheme="minorHAnsi"/>
          <w:color w:val="auto"/>
          <w:sz w:val="20"/>
          <w:szCs w:val="20"/>
          <w:u w:val="none"/>
        </w:rPr>
        <w:t xml:space="preserve">. </w:t>
      </w:r>
      <w:r w:rsidRPr="005B7E46">
        <w:rPr>
          <w:rStyle w:val="dn"/>
          <w:rFonts w:asciiTheme="minorHAnsi" w:hAnsiTheme="minorHAnsi" w:cstheme="minorHAnsi"/>
          <w:sz w:val="20"/>
          <w:szCs w:val="20"/>
        </w:rPr>
        <w:t xml:space="preserve">Navštivte také náš </w:t>
      </w:r>
      <w:hyperlink r:id="rId13" w:history="1">
        <w:r w:rsidRPr="005B7E46">
          <w:rPr>
            <w:rStyle w:val="Hypertextovodkaz"/>
            <w:rFonts w:asciiTheme="minorHAnsi" w:hAnsiTheme="minorHAnsi" w:cstheme="minorHAnsi"/>
            <w:color w:val="auto"/>
            <w:sz w:val="20"/>
            <w:szCs w:val="20"/>
          </w:rPr>
          <w:t>Facebook</w:t>
        </w:r>
      </w:hyperlink>
      <w:r w:rsidRPr="005B7E46">
        <w:rPr>
          <w:rStyle w:val="dn"/>
          <w:rFonts w:asciiTheme="minorHAnsi" w:hAnsiTheme="minorHAnsi" w:cstheme="minorHAnsi"/>
          <w:sz w:val="20"/>
          <w:szCs w:val="20"/>
        </w:rPr>
        <w:t xml:space="preserve">, </w:t>
      </w:r>
      <w:hyperlink r:id="rId14" w:history="1">
        <w:r w:rsidRPr="005B7E46">
          <w:rPr>
            <w:rStyle w:val="Hypertextovodkaz"/>
            <w:rFonts w:asciiTheme="minorHAnsi" w:hAnsiTheme="minorHAnsi" w:cstheme="minorHAnsi"/>
            <w:color w:val="auto"/>
            <w:sz w:val="20"/>
            <w:szCs w:val="20"/>
          </w:rPr>
          <w:t>LinkedIN</w:t>
        </w:r>
      </w:hyperlink>
      <w:r w:rsidRPr="005B7E46">
        <w:rPr>
          <w:rStyle w:val="dn"/>
          <w:rFonts w:asciiTheme="minorHAnsi" w:hAnsiTheme="minorHAnsi" w:cstheme="minorHAnsi"/>
          <w:sz w:val="20"/>
          <w:szCs w:val="20"/>
        </w:rPr>
        <w:t xml:space="preserve"> Broker Consulting, Twitter </w:t>
      </w:r>
      <w:r w:rsidRPr="005B7E46">
        <w:rPr>
          <w:rFonts w:asciiTheme="minorHAnsi" w:hAnsiTheme="minorHAnsi" w:cstheme="minorHAnsi"/>
          <w:sz w:val="20"/>
          <w:szCs w:val="20"/>
          <w:shd w:val="clear" w:color="auto" w:fill="FFFFFF"/>
        </w:rPr>
        <w:t xml:space="preserve">@BC_oficialni, </w:t>
      </w:r>
      <w:r w:rsidRPr="005B7E46">
        <w:rPr>
          <w:rStyle w:val="dn"/>
          <w:rFonts w:asciiTheme="minorHAnsi" w:hAnsiTheme="minorHAnsi" w:cstheme="minorHAnsi"/>
          <w:sz w:val="20"/>
          <w:szCs w:val="20"/>
        </w:rPr>
        <w:t xml:space="preserve"> </w:t>
      </w:r>
      <w:hyperlink r:id="rId15" w:history="1">
        <w:r w:rsidRPr="005B7E46">
          <w:rPr>
            <w:rStyle w:val="Hypertextovodkaz"/>
            <w:rFonts w:asciiTheme="minorHAnsi" w:hAnsiTheme="minorHAnsi" w:cstheme="minorHAnsi"/>
            <w:color w:val="auto"/>
            <w:sz w:val="20"/>
            <w:szCs w:val="20"/>
          </w:rPr>
          <w:t>Facebook</w:t>
        </w:r>
      </w:hyperlink>
      <w:r w:rsidRPr="005B7E46">
        <w:rPr>
          <w:rStyle w:val="dn"/>
          <w:rFonts w:asciiTheme="minorHAnsi" w:hAnsiTheme="minorHAnsi" w:cstheme="minorHAnsi"/>
          <w:sz w:val="20"/>
          <w:szCs w:val="20"/>
        </w:rPr>
        <w:t xml:space="preserve"> a </w:t>
      </w:r>
      <w:hyperlink r:id="rId16" w:history="1">
        <w:r w:rsidRPr="005B7E46">
          <w:rPr>
            <w:rStyle w:val="Hypertextovodkaz"/>
            <w:rFonts w:asciiTheme="minorHAnsi" w:hAnsiTheme="minorHAnsi" w:cstheme="minorHAnsi"/>
            <w:color w:val="auto"/>
            <w:sz w:val="20"/>
            <w:szCs w:val="20"/>
          </w:rPr>
          <w:t>LinkedI</w:t>
        </w:r>
      </w:hyperlink>
      <w:r w:rsidRPr="005B7E46">
        <w:rPr>
          <w:rStyle w:val="Hypertextovodkaz"/>
          <w:rFonts w:asciiTheme="minorHAnsi" w:hAnsiTheme="minorHAnsi" w:cstheme="minorHAnsi"/>
          <w:color w:val="auto"/>
          <w:sz w:val="20"/>
          <w:szCs w:val="20"/>
        </w:rPr>
        <w:t>N</w:t>
      </w:r>
      <w:r>
        <w:rPr>
          <w:rStyle w:val="dn"/>
          <w:rFonts w:asciiTheme="minorHAnsi" w:hAnsiTheme="minorHAnsi" w:cstheme="minorHAnsi"/>
          <w:sz w:val="20"/>
          <w:szCs w:val="20"/>
        </w:rPr>
        <w:t xml:space="preserve"> Broker Point Premium</w:t>
      </w:r>
      <w:r w:rsidRPr="005B7E46">
        <w:rPr>
          <w:rStyle w:val="dn"/>
          <w:rFonts w:asciiTheme="minorHAnsi" w:hAnsiTheme="minorHAnsi" w:cstheme="minorHAnsi"/>
          <w:sz w:val="20"/>
          <w:szCs w:val="20"/>
        </w:rPr>
        <w:t xml:space="preserve">. </w:t>
      </w:r>
    </w:p>
    <w:p w14:paraId="0608F15A" w14:textId="018900D3" w:rsidR="00BC7898" w:rsidRPr="005541A6" w:rsidRDefault="003B2C75" w:rsidP="005541A6">
      <w:pPr>
        <w:spacing w:after="120"/>
        <w:jc w:val="center"/>
        <w:rPr>
          <w:rFonts w:asciiTheme="minorHAnsi" w:hAnsiTheme="minorHAnsi" w:cstheme="minorHAnsi"/>
          <w:sz w:val="20"/>
          <w:szCs w:val="20"/>
          <w:lang w:val="de-DE"/>
        </w:rPr>
      </w:pPr>
      <w:bookmarkStart w:id="0" w:name="_GoBack"/>
      <w:bookmarkEnd w:id="0"/>
      <w:r>
        <w:rPr>
          <w:rFonts w:asciiTheme="minorHAnsi" w:hAnsiTheme="minorHAnsi" w:cstheme="minorHAnsi"/>
          <w:b/>
          <w:sz w:val="30"/>
          <w:szCs w:val="30"/>
        </w:rPr>
        <w:lastRenderedPageBreak/>
        <w:t>Průměrná</w:t>
      </w:r>
      <w:r w:rsidR="005A08D2">
        <w:rPr>
          <w:rFonts w:asciiTheme="minorHAnsi" w:hAnsiTheme="minorHAnsi" w:cstheme="minorHAnsi"/>
          <w:b/>
          <w:sz w:val="30"/>
          <w:szCs w:val="30"/>
        </w:rPr>
        <w:t xml:space="preserve"> hodnot</w:t>
      </w:r>
      <w:r w:rsidR="00903F62">
        <w:rPr>
          <w:rFonts w:asciiTheme="minorHAnsi" w:hAnsiTheme="minorHAnsi" w:cstheme="minorHAnsi"/>
          <w:b/>
          <w:sz w:val="30"/>
          <w:szCs w:val="30"/>
        </w:rPr>
        <w:t>a POVIndexu klesá již třetí měsíc</w:t>
      </w:r>
      <w:r w:rsidR="005A08D2">
        <w:rPr>
          <w:rFonts w:asciiTheme="minorHAnsi" w:hAnsiTheme="minorHAnsi" w:cstheme="minorHAnsi"/>
          <w:b/>
          <w:sz w:val="30"/>
          <w:szCs w:val="30"/>
        </w:rPr>
        <w:t xml:space="preserve"> v řadě</w:t>
      </w:r>
    </w:p>
    <w:p w14:paraId="201FCCAF" w14:textId="567E26C7" w:rsidR="00BC7898" w:rsidRDefault="00BC7898" w:rsidP="00BC7898">
      <w:pPr>
        <w:pStyle w:val="Odstavecseseznamem"/>
        <w:numPr>
          <w:ilvl w:val="0"/>
          <w:numId w:val="24"/>
        </w:numPr>
        <w:ind w:left="357" w:right="40" w:hanging="357"/>
        <w:rPr>
          <w:rFonts w:asciiTheme="minorHAnsi" w:hAnsiTheme="minorHAnsi" w:cstheme="minorHAnsi"/>
          <w:b/>
        </w:rPr>
      </w:pPr>
      <w:r w:rsidRPr="00B77830">
        <w:rPr>
          <w:rFonts w:asciiTheme="minorHAnsi" w:hAnsiTheme="minorHAnsi" w:cstheme="minorHAnsi"/>
          <w:b/>
        </w:rPr>
        <w:t>Celorepublikový průměr naměřené hodn</w:t>
      </w:r>
      <w:r w:rsidR="002C2283">
        <w:rPr>
          <w:rFonts w:asciiTheme="minorHAnsi" w:hAnsiTheme="minorHAnsi" w:cstheme="minorHAnsi"/>
          <w:b/>
        </w:rPr>
        <w:t xml:space="preserve">oty POVIndexu </w:t>
      </w:r>
      <w:r w:rsidR="005A08D2">
        <w:rPr>
          <w:rFonts w:asciiTheme="minorHAnsi" w:hAnsiTheme="minorHAnsi" w:cstheme="minorHAnsi"/>
          <w:b/>
        </w:rPr>
        <w:t>oproti lednu klesl o 116</w:t>
      </w:r>
      <w:r w:rsidR="002C2283">
        <w:rPr>
          <w:rFonts w:asciiTheme="minorHAnsi" w:hAnsiTheme="minorHAnsi" w:cstheme="minorHAnsi"/>
          <w:b/>
        </w:rPr>
        <w:t xml:space="preserve"> korun</w:t>
      </w:r>
      <w:r w:rsidRPr="00B77830">
        <w:rPr>
          <w:rFonts w:asciiTheme="minorHAnsi" w:hAnsiTheme="minorHAnsi" w:cstheme="minorHAnsi"/>
          <w:b/>
        </w:rPr>
        <w:t>.</w:t>
      </w:r>
    </w:p>
    <w:p w14:paraId="53362C4B" w14:textId="4E744947" w:rsidR="00362251" w:rsidRPr="00B05DAB" w:rsidRDefault="00362251" w:rsidP="00BC7898">
      <w:pPr>
        <w:pStyle w:val="Odstavecseseznamem"/>
        <w:numPr>
          <w:ilvl w:val="0"/>
          <w:numId w:val="24"/>
        </w:numPr>
        <w:ind w:left="357" w:right="40" w:hanging="357"/>
        <w:rPr>
          <w:rFonts w:asciiTheme="minorHAnsi" w:hAnsiTheme="minorHAnsi" w:cstheme="minorHAnsi"/>
          <w:b/>
        </w:rPr>
      </w:pPr>
      <w:r>
        <w:rPr>
          <w:rFonts w:asciiTheme="minorHAnsi" w:hAnsiTheme="minorHAnsi" w:cstheme="minorHAnsi"/>
          <w:b/>
        </w:rPr>
        <w:t>Největší pokles evidujeme ve středočeském Benešově.</w:t>
      </w:r>
    </w:p>
    <w:p w14:paraId="5DF2B2CF" w14:textId="385AC3E4" w:rsidR="00B169AF" w:rsidRPr="00510F13" w:rsidRDefault="00BC7898" w:rsidP="00510F13">
      <w:pPr>
        <w:pStyle w:val="Odstavecseseznamem"/>
        <w:numPr>
          <w:ilvl w:val="0"/>
          <w:numId w:val="24"/>
        </w:numPr>
        <w:spacing w:after="120"/>
        <w:ind w:left="357" w:right="40" w:hanging="357"/>
        <w:rPr>
          <w:rFonts w:asciiTheme="minorHAnsi" w:hAnsiTheme="minorHAnsi" w:cstheme="minorHAnsi"/>
          <w:b/>
        </w:rPr>
      </w:pPr>
      <w:r w:rsidRPr="00BC7898">
        <w:rPr>
          <w:rFonts w:asciiTheme="minorHAnsi" w:hAnsiTheme="minorHAnsi" w:cstheme="minorHAnsi"/>
          <w:b/>
        </w:rPr>
        <w:t>Novela zá</w:t>
      </w:r>
      <w:r w:rsidR="00362251">
        <w:rPr>
          <w:rFonts w:asciiTheme="minorHAnsi" w:hAnsiTheme="minorHAnsi" w:cstheme="minorHAnsi"/>
          <w:b/>
        </w:rPr>
        <w:t>kona o silničním provozu přinesla</w:t>
      </w:r>
      <w:r w:rsidRPr="00BC7898">
        <w:rPr>
          <w:rFonts w:asciiTheme="minorHAnsi" w:hAnsiTheme="minorHAnsi" w:cstheme="minorHAnsi"/>
          <w:b/>
        </w:rPr>
        <w:t xml:space="preserve"> změny v pojištění.</w:t>
      </w:r>
    </w:p>
    <w:p w14:paraId="064F3EA8" w14:textId="28D6965C" w:rsidR="00EC7691" w:rsidRDefault="00825B44" w:rsidP="00A83718">
      <w:pPr>
        <w:spacing w:after="120"/>
        <w:ind w:right="40"/>
        <w:jc w:val="both"/>
        <w:rPr>
          <w:rFonts w:asciiTheme="minorHAnsi" w:hAnsiTheme="minorHAnsi" w:cstheme="minorHAnsi"/>
          <w:b/>
        </w:rPr>
      </w:pPr>
      <w:r w:rsidRPr="00A83718">
        <w:rPr>
          <w:rFonts w:asciiTheme="minorHAnsi" w:hAnsiTheme="minorHAnsi" w:cstheme="minorHAnsi"/>
          <w:i/>
        </w:rPr>
        <w:t>Praha</w:t>
      </w:r>
      <w:r w:rsidR="00147995">
        <w:rPr>
          <w:rFonts w:asciiTheme="minorHAnsi" w:hAnsiTheme="minorHAnsi" w:cstheme="minorHAnsi"/>
          <w:i/>
        </w:rPr>
        <w:t>, 17</w:t>
      </w:r>
      <w:r w:rsidR="00362251">
        <w:rPr>
          <w:rFonts w:asciiTheme="minorHAnsi" w:hAnsiTheme="minorHAnsi" w:cstheme="minorHAnsi"/>
          <w:i/>
        </w:rPr>
        <w:t>. dubna</w:t>
      </w:r>
      <w:r w:rsidR="00AD3D91">
        <w:rPr>
          <w:rFonts w:asciiTheme="minorHAnsi" w:hAnsiTheme="minorHAnsi" w:cstheme="minorHAnsi"/>
          <w:i/>
        </w:rPr>
        <w:t xml:space="preserve"> 2024 </w:t>
      </w:r>
      <w:r w:rsidR="00B20F7B" w:rsidRPr="00A83718">
        <w:rPr>
          <w:rFonts w:asciiTheme="minorHAnsi" w:hAnsiTheme="minorHAnsi" w:cstheme="minorHAnsi"/>
          <w:b/>
        </w:rPr>
        <w:t>–</w:t>
      </w:r>
      <w:r w:rsidR="00B20F7B" w:rsidRPr="005541A6">
        <w:rPr>
          <w:rFonts w:asciiTheme="minorHAnsi" w:hAnsiTheme="minorHAnsi" w:cstheme="minorHAnsi"/>
          <w:b/>
          <w:sz w:val="21"/>
          <w:szCs w:val="21"/>
        </w:rPr>
        <w:t xml:space="preserve"> </w:t>
      </w:r>
      <w:r w:rsidR="00BA4EE1">
        <w:rPr>
          <w:rFonts w:asciiTheme="minorHAnsi" w:hAnsiTheme="minorHAnsi" w:cstheme="minorHAnsi"/>
          <w:b/>
          <w:sz w:val="21"/>
          <w:szCs w:val="21"/>
        </w:rPr>
        <w:t xml:space="preserve">Průměrná hodnota POVIndexu </w:t>
      </w:r>
      <w:r w:rsidR="005A08D2">
        <w:rPr>
          <w:rFonts w:asciiTheme="minorHAnsi" w:hAnsiTheme="minorHAnsi" w:cstheme="minorHAnsi"/>
          <w:b/>
          <w:sz w:val="21"/>
          <w:szCs w:val="21"/>
        </w:rPr>
        <w:t>od začátku roku klesá</w:t>
      </w:r>
      <w:r w:rsidR="00E35A9F">
        <w:rPr>
          <w:rFonts w:asciiTheme="minorHAnsi" w:hAnsiTheme="minorHAnsi" w:cstheme="minorHAnsi"/>
          <w:b/>
          <w:sz w:val="21"/>
          <w:szCs w:val="21"/>
        </w:rPr>
        <w:t>. Celorepublikový průměr</w:t>
      </w:r>
      <w:r w:rsidR="00BA4EE1">
        <w:rPr>
          <w:rFonts w:asciiTheme="minorHAnsi" w:hAnsiTheme="minorHAnsi" w:cstheme="minorHAnsi"/>
          <w:b/>
          <w:sz w:val="21"/>
          <w:szCs w:val="21"/>
        </w:rPr>
        <w:t xml:space="preserve"> této hodnoty oproti lednu poklesl o 116 korun, a to na konečných</w:t>
      </w:r>
      <w:r w:rsidR="003434AD" w:rsidRPr="005541A6">
        <w:rPr>
          <w:rFonts w:asciiTheme="minorHAnsi" w:hAnsiTheme="minorHAnsi" w:cstheme="minorHAnsi"/>
          <w:b/>
          <w:sz w:val="21"/>
          <w:szCs w:val="21"/>
        </w:rPr>
        <w:t xml:space="preserve"> 6 90</w:t>
      </w:r>
      <w:r w:rsidR="00BA4EE1">
        <w:rPr>
          <w:rFonts w:asciiTheme="minorHAnsi" w:hAnsiTheme="minorHAnsi" w:cstheme="minorHAnsi"/>
          <w:b/>
          <w:sz w:val="21"/>
          <w:szCs w:val="21"/>
        </w:rPr>
        <w:t>7 korun.</w:t>
      </w:r>
      <w:r w:rsidR="003434AD" w:rsidRPr="005541A6">
        <w:rPr>
          <w:rFonts w:asciiTheme="minorHAnsi" w:hAnsiTheme="minorHAnsi" w:cstheme="minorHAnsi"/>
          <w:b/>
          <w:sz w:val="21"/>
          <w:szCs w:val="21"/>
        </w:rPr>
        <w:t xml:space="preserve"> Nejvě</w:t>
      </w:r>
      <w:r w:rsidR="00BA4EE1">
        <w:rPr>
          <w:rFonts w:asciiTheme="minorHAnsi" w:hAnsiTheme="minorHAnsi" w:cstheme="minorHAnsi"/>
          <w:b/>
          <w:sz w:val="21"/>
          <w:szCs w:val="21"/>
        </w:rPr>
        <w:t>tší pokles</w:t>
      </w:r>
      <w:r w:rsidR="003434AD" w:rsidRPr="005541A6">
        <w:rPr>
          <w:rFonts w:asciiTheme="minorHAnsi" w:hAnsiTheme="minorHAnsi" w:cstheme="minorHAnsi"/>
          <w:b/>
          <w:sz w:val="21"/>
          <w:szCs w:val="21"/>
        </w:rPr>
        <w:t xml:space="preserve"> byl </w:t>
      </w:r>
      <w:r w:rsidR="004A1F27" w:rsidRPr="005541A6">
        <w:rPr>
          <w:rFonts w:asciiTheme="minorHAnsi" w:hAnsiTheme="minorHAnsi" w:cstheme="minorHAnsi"/>
          <w:b/>
          <w:sz w:val="21"/>
          <w:szCs w:val="21"/>
        </w:rPr>
        <w:t xml:space="preserve">v měsíci březnu </w:t>
      </w:r>
      <w:r w:rsidR="003434AD" w:rsidRPr="005541A6">
        <w:rPr>
          <w:rFonts w:asciiTheme="minorHAnsi" w:hAnsiTheme="minorHAnsi" w:cstheme="minorHAnsi"/>
          <w:b/>
          <w:sz w:val="21"/>
          <w:szCs w:val="21"/>
        </w:rPr>
        <w:t>zaznamenán ve středočeském Benešově, a to</w:t>
      </w:r>
      <w:r w:rsidR="00996ED3" w:rsidRPr="005541A6">
        <w:rPr>
          <w:rFonts w:asciiTheme="minorHAnsi" w:hAnsiTheme="minorHAnsi" w:cstheme="minorHAnsi"/>
          <w:b/>
          <w:sz w:val="21"/>
          <w:szCs w:val="21"/>
        </w:rPr>
        <w:t xml:space="preserve"> o téměř tři procenta. </w:t>
      </w:r>
      <w:r w:rsidR="00C63428">
        <w:rPr>
          <w:rFonts w:asciiTheme="minorHAnsi" w:hAnsiTheme="minorHAnsi" w:cstheme="minorHAnsi"/>
          <w:b/>
          <w:sz w:val="21"/>
          <w:szCs w:val="21"/>
        </w:rPr>
        <w:t>Konkrétně se hodnota</w:t>
      </w:r>
      <w:r w:rsidR="004A1F27" w:rsidRPr="005541A6">
        <w:rPr>
          <w:rFonts w:asciiTheme="minorHAnsi" w:hAnsiTheme="minorHAnsi" w:cstheme="minorHAnsi"/>
          <w:b/>
          <w:sz w:val="21"/>
          <w:szCs w:val="21"/>
        </w:rPr>
        <w:t xml:space="preserve"> snížila z únorových 6 274 korun na březnových 6 089 korun. Novela silničního zákona přinesla mimo jiné změny v pojištění odpovědnosti z provozu vozidla.</w:t>
      </w:r>
    </w:p>
    <w:p w14:paraId="73B3A5C0" w14:textId="03FCDC16" w:rsidR="00A83718" w:rsidRDefault="00321026" w:rsidP="005541A6">
      <w:pPr>
        <w:spacing w:after="120"/>
        <w:ind w:right="40"/>
        <w:jc w:val="both"/>
        <w:rPr>
          <w:rFonts w:asciiTheme="minorHAnsi" w:hAnsiTheme="minorHAnsi" w:cstheme="minorHAnsi"/>
          <w:sz w:val="21"/>
          <w:szCs w:val="21"/>
        </w:rPr>
      </w:pPr>
      <w:r w:rsidRPr="005541A6">
        <w:rPr>
          <w:rFonts w:asciiTheme="minorHAnsi" w:hAnsiTheme="minorHAnsi" w:cstheme="minorHAnsi"/>
          <w:sz w:val="21"/>
          <w:szCs w:val="21"/>
        </w:rPr>
        <w:t xml:space="preserve">Od začátku letošního roku evidujeme </w:t>
      </w:r>
      <w:r w:rsidR="00791031">
        <w:rPr>
          <w:rFonts w:asciiTheme="minorHAnsi" w:hAnsiTheme="minorHAnsi" w:cstheme="minorHAnsi"/>
          <w:sz w:val="21"/>
          <w:szCs w:val="21"/>
        </w:rPr>
        <w:t>m</w:t>
      </w:r>
      <w:r w:rsidR="00082C13">
        <w:rPr>
          <w:rFonts w:asciiTheme="minorHAnsi" w:hAnsiTheme="minorHAnsi" w:cstheme="minorHAnsi"/>
          <w:sz w:val="21"/>
          <w:szCs w:val="21"/>
        </w:rPr>
        <w:t>írný pokles průměrné hodnoty POVIndexu</w:t>
      </w:r>
      <w:r w:rsidR="00FB22D4">
        <w:rPr>
          <w:rFonts w:asciiTheme="minorHAnsi" w:hAnsiTheme="minorHAnsi" w:cstheme="minorHAnsi"/>
          <w:sz w:val="21"/>
          <w:szCs w:val="21"/>
        </w:rPr>
        <w:t xml:space="preserve">, která oproti lednu klesla o 116 korun. Se svými </w:t>
      </w:r>
      <w:r w:rsidR="00791031">
        <w:rPr>
          <w:rFonts w:asciiTheme="minorHAnsi" w:hAnsiTheme="minorHAnsi" w:cstheme="minorHAnsi"/>
          <w:sz w:val="21"/>
          <w:szCs w:val="21"/>
        </w:rPr>
        <w:t xml:space="preserve"> 6 907 korun</w:t>
      </w:r>
      <w:r w:rsidR="00FB22D4">
        <w:rPr>
          <w:rFonts w:asciiTheme="minorHAnsi" w:hAnsiTheme="minorHAnsi" w:cstheme="minorHAnsi"/>
          <w:sz w:val="21"/>
          <w:szCs w:val="21"/>
        </w:rPr>
        <w:t>ami sice převyšuj</w:t>
      </w:r>
      <w:r w:rsidR="004951BF">
        <w:rPr>
          <w:rFonts w:asciiTheme="minorHAnsi" w:hAnsiTheme="minorHAnsi" w:cstheme="minorHAnsi"/>
          <w:sz w:val="21"/>
          <w:szCs w:val="21"/>
        </w:rPr>
        <w:t>e průměr pětiletého sledování</w:t>
      </w:r>
      <w:r w:rsidR="00E35A9F">
        <w:rPr>
          <w:rFonts w:asciiTheme="minorHAnsi" w:hAnsiTheme="minorHAnsi" w:cstheme="minorHAnsi"/>
          <w:sz w:val="21"/>
          <w:szCs w:val="21"/>
        </w:rPr>
        <w:t xml:space="preserve"> (</w:t>
      </w:r>
      <w:r w:rsidR="00E35A9F" w:rsidRPr="005541A6">
        <w:rPr>
          <w:rFonts w:asciiTheme="minorHAnsi" w:hAnsiTheme="minorHAnsi" w:cstheme="minorHAnsi"/>
          <w:sz w:val="21"/>
          <w:szCs w:val="21"/>
        </w:rPr>
        <w:t>6 762,30 korun</w:t>
      </w:r>
      <w:r w:rsidR="00E35A9F">
        <w:rPr>
          <w:rFonts w:asciiTheme="minorHAnsi" w:hAnsiTheme="minorHAnsi" w:cstheme="minorHAnsi"/>
          <w:sz w:val="21"/>
          <w:szCs w:val="21"/>
        </w:rPr>
        <w:t>)</w:t>
      </w:r>
      <w:r w:rsidR="00FB22D4">
        <w:rPr>
          <w:rFonts w:asciiTheme="minorHAnsi" w:hAnsiTheme="minorHAnsi" w:cstheme="minorHAnsi"/>
          <w:sz w:val="21"/>
          <w:szCs w:val="21"/>
        </w:rPr>
        <w:t xml:space="preserve">, nicméně jeho hodnota je nižší než </w:t>
      </w:r>
      <w:r w:rsidR="00253417">
        <w:rPr>
          <w:rFonts w:asciiTheme="minorHAnsi" w:hAnsiTheme="minorHAnsi" w:cstheme="minorHAnsi"/>
          <w:sz w:val="21"/>
          <w:szCs w:val="21"/>
        </w:rPr>
        <w:t xml:space="preserve">v </w:t>
      </w:r>
      <w:r w:rsidR="00FB22D4">
        <w:rPr>
          <w:rFonts w:asciiTheme="minorHAnsi" w:hAnsiTheme="minorHAnsi" w:cstheme="minorHAnsi"/>
          <w:sz w:val="21"/>
          <w:szCs w:val="21"/>
        </w:rPr>
        <w:t>měsíci lednu</w:t>
      </w:r>
      <w:r w:rsidR="00253417">
        <w:rPr>
          <w:rFonts w:asciiTheme="minorHAnsi" w:hAnsiTheme="minorHAnsi" w:cstheme="minorHAnsi"/>
          <w:sz w:val="21"/>
          <w:szCs w:val="21"/>
        </w:rPr>
        <w:t xml:space="preserve"> (7 023 korun)</w:t>
      </w:r>
      <w:r w:rsidR="00FB22D4">
        <w:rPr>
          <w:rFonts w:asciiTheme="minorHAnsi" w:hAnsiTheme="minorHAnsi" w:cstheme="minorHAnsi"/>
          <w:sz w:val="21"/>
          <w:szCs w:val="21"/>
        </w:rPr>
        <w:t xml:space="preserve"> i únoru</w:t>
      </w:r>
      <w:r w:rsidR="00253417">
        <w:rPr>
          <w:rFonts w:asciiTheme="minorHAnsi" w:hAnsiTheme="minorHAnsi" w:cstheme="minorHAnsi"/>
          <w:sz w:val="21"/>
          <w:szCs w:val="21"/>
        </w:rPr>
        <w:t xml:space="preserve"> (</w:t>
      </w:r>
      <w:r w:rsidR="00253417" w:rsidRPr="005541A6">
        <w:rPr>
          <w:rFonts w:asciiTheme="minorHAnsi" w:hAnsiTheme="minorHAnsi" w:cstheme="minorHAnsi"/>
          <w:sz w:val="21"/>
          <w:szCs w:val="21"/>
        </w:rPr>
        <w:t xml:space="preserve">7 </w:t>
      </w:r>
      <w:r w:rsidR="00253417">
        <w:rPr>
          <w:rFonts w:asciiTheme="minorHAnsi" w:hAnsiTheme="minorHAnsi" w:cstheme="minorHAnsi"/>
          <w:sz w:val="21"/>
          <w:szCs w:val="21"/>
        </w:rPr>
        <w:t>006 korun)</w:t>
      </w:r>
      <w:r w:rsidR="002A7D3D" w:rsidRPr="005541A6">
        <w:rPr>
          <w:rFonts w:asciiTheme="minorHAnsi" w:hAnsiTheme="minorHAnsi" w:cstheme="minorHAnsi"/>
          <w:color w:val="000000"/>
          <w:sz w:val="21"/>
          <w:szCs w:val="21"/>
        </w:rPr>
        <w:t xml:space="preserve">. </w:t>
      </w:r>
      <w:r w:rsidR="002A7D3D" w:rsidRPr="005541A6">
        <w:rPr>
          <w:rFonts w:asciiTheme="minorHAnsi" w:hAnsiTheme="minorHAnsi" w:cstheme="minorHAnsi"/>
          <w:sz w:val="21"/>
          <w:szCs w:val="21"/>
        </w:rPr>
        <w:t>Na</w:t>
      </w:r>
      <w:r w:rsidR="00487579" w:rsidRPr="005541A6">
        <w:rPr>
          <w:rFonts w:asciiTheme="minorHAnsi" w:hAnsiTheme="minorHAnsi" w:cstheme="minorHAnsi"/>
          <w:sz w:val="21"/>
          <w:szCs w:val="21"/>
        </w:rPr>
        <w:t>d průměrem</w:t>
      </w:r>
      <w:r w:rsidR="004951BF">
        <w:rPr>
          <w:rFonts w:asciiTheme="minorHAnsi" w:hAnsiTheme="minorHAnsi" w:cstheme="minorHAnsi"/>
          <w:sz w:val="21"/>
          <w:szCs w:val="21"/>
        </w:rPr>
        <w:t xml:space="preserve"> námi sledovaného období</w:t>
      </w:r>
      <w:r w:rsidR="002A7D3D" w:rsidRPr="005541A6">
        <w:rPr>
          <w:rFonts w:asciiTheme="minorHAnsi" w:hAnsiTheme="minorHAnsi" w:cstheme="minorHAnsi"/>
          <w:sz w:val="21"/>
          <w:szCs w:val="21"/>
        </w:rPr>
        <w:t xml:space="preserve"> se pohybuje také loňský březnový Index se svými </w:t>
      </w:r>
      <w:r w:rsidR="00487579" w:rsidRPr="005541A6">
        <w:rPr>
          <w:rFonts w:asciiTheme="minorHAnsi" w:hAnsiTheme="minorHAnsi" w:cstheme="minorHAnsi"/>
          <w:sz w:val="21"/>
          <w:szCs w:val="21"/>
        </w:rPr>
        <w:t>6 821 </w:t>
      </w:r>
      <w:r w:rsidR="002A7D3D" w:rsidRPr="005541A6">
        <w:rPr>
          <w:rFonts w:asciiTheme="minorHAnsi" w:hAnsiTheme="minorHAnsi" w:cstheme="minorHAnsi"/>
          <w:sz w:val="21"/>
          <w:szCs w:val="21"/>
        </w:rPr>
        <w:t xml:space="preserve">korunami a </w:t>
      </w:r>
      <w:r w:rsidR="00253417">
        <w:rPr>
          <w:rFonts w:asciiTheme="minorHAnsi" w:hAnsiTheme="minorHAnsi" w:cstheme="minorHAnsi"/>
          <w:sz w:val="21"/>
          <w:szCs w:val="21"/>
        </w:rPr>
        <w:t xml:space="preserve">březnový </w:t>
      </w:r>
      <w:r w:rsidR="002A7D3D" w:rsidRPr="005541A6">
        <w:rPr>
          <w:rFonts w:asciiTheme="minorHAnsi" w:hAnsiTheme="minorHAnsi" w:cstheme="minorHAnsi"/>
          <w:sz w:val="21"/>
          <w:szCs w:val="21"/>
        </w:rPr>
        <w:t>POVIndex z r</w:t>
      </w:r>
      <w:r w:rsidR="00564B35">
        <w:rPr>
          <w:rFonts w:asciiTheme="minorHAnsi" w:hAnsiTheme="minorHAnsi" w:cstheme="minorHAnsi"/>
          <w:sz w:val="21"/>
          <w:szCs w:val="21"/>
        </w:rPr>
        <w:t>oku 2020 s hodnotou 6 819 korun</w:t>
      </w:r>
      <w:r w:rsidR="002A7D3D" w:rsidRPr="005541A6">
        <w:rPr>
          <w:rFonts w:asciiTheme="minorHAnsi" w:hAnsiTheme="minorHAnsi" w:cstheme="minorHAnsi"/>
          <w:sz w:val="21"/>
          <w:szCs w:val="21"/>
        </w:rPr>
        <w:t>.</w:t>
      </w:r>
      <w:r w:rsidR="00C47882" w:rsidRPr="005541A6">
        <w:rPr>
          <w:rFonts w:asciiTheme="minorHAnsi" w:hAnsiTheme="minorHAnsi" w:cstheme="minorHAnsi"/>
          <w:sz w:val="21"/>
          <w:szCs w:val="21"/>
        </w:rPr>
        <w:t xml:space="preserve"> </w:t>
      </w:r>
    </w:p>
    <w:p w14:paraId="0883B7C5" w14:textId="4FBEE110" w:rsidR="005541A6" w:rsidRPr="005541A6" w:rsidRDefault="005541A6" w:rsidP="005541A6">
      <w:pPr>
        <w:spacing w:after="120"/>
        <w:ind w:right="40"/>
        <w:jc w:val="center"/>
        <w:rPr>
          <w:rFonts w:asciiTheme="minorHAnsi" w:hAnsiTheme="minorHAnsi" w:cstheme="minorHAnsi"/>
          <w:sz w:val="21"/>
          <w:szCs w:val="21"/>
        </w:rPr>
      </w:pPr>
      <w:r>
        <w:rPr>
          <w:rFonts w:asciiTheme="minorHAnsi" w:hAnsiTheme="minorHAnsi" w:cstheme="minorHAnsi"/>
          <w:noProof/>
          <w:sz w:val="21"/>
          <w:szCs w:val="21"/>
          <w:lang w:bidi="ar-SA"/>
        </w:rPr>
        <w:drawing>
          <wp:inline distT="0" distB="0" distL="0" distR="0" wp14:anchorId="68CCFD2D" wp14:editId="1B198370">
            <wp:extent cx="5626389" cy="2527430"/>
            <wp:effectExtent l="0" t="0" r="0" b="63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png"/>
                    <pic:cNvPicPr/>
                  </pic:nvPicPr>
                  <pic:blipFill>
                    <a:blip r:embed="rId17">
                      <a:extLst>
                        <a:ext uri="{28A0092B-C50C-407E-A947-70E740481C1C}">
                          <a14:useLocalDpi xmlns:a14="http://schemas.microsoft.com/office/drawing/2010/main" val="0"/>
                        </a:ext>
                      </a:extLst>
                    </a:blip>
                    <a:stretch>
                      <a:fillRect/>
                    </a:stretch>
                  </pic:blipFill>
                  <pic:spPr>
                    <a:xfrm>
                      <a:off x="0" y="0"/>
                      <a:ext cx="5626389" cy="2527430"/>
                    </a:xfrm>
                    <a:prstGeom prst="rect">
                      <a:avLst/>
                    </a:prstGeom>
                  </pic:spPr>
                </pic:pic>
              </a:graphicData>
            </a:graphic>
          </wp:inline>
        </w:drawing>
      </w:r>
    </w:p>
    <w:p w14:paraId="2FF885ED" w14:textId="77777777" w:rsidR="00B169AF" w:rsidRDefault="00B169AF" w:rsidP="005541A6">
      <w:pPr>
        <w:spacing w:after="120"/>
        <w:jc w:val="both"/>
        <w:rPr>
          <w:rFonts w:asciiTheme="minorHAnsi" w:hAnsiTheme="minorHAnsi" w:cstheme="minorHAnsi"/>
          <w:sz w:val="21"/>
          <w:szCs w:val="21"/>
        </w:rPr>
      </w:pPr>
    </w:p>
    <w:p w14:paraId="26C469D1" w14:textId="191754CD" w:rsidR="00A477F8" w:rsidRPr="00510F13" w:rsidRDefault="0079157C" w:rsidP="00510F13">
      <w:pPr>
        <w:spacing w:after="120"/>
        <w:jc w:val="both"/>
        <w:rPr>
          <w:rFonts w:asciiTheme="minorHAnsi" w:hAnsiTheme="minorHAnsi" w:cstheme="minorHAnsi"/>
          <w:sz w:val="21"/>
          <w:szCs w:val="21"/>
        </w:rPr>
      </w:pPr>
      <w:r w:rsidRPr="00510F13">
        <w:rPr>
          <w:rFonts w:asciiTheme="minorHAnsi" w:hAnsiTheme="minorHAnsi" w:cstheme="minorHAnsi"/>
          <w:sz w:val="21"/>
          <w:szCs w:val="21"/>
        </w:rPr>
        <w:t>Nepatrný p</w:t>
      </w:r>
      <w:r w:rsidR="000607B6" w:rsidRPr="00510F13">
        <w:rPr>
          <w:rFonts w:asciiTheme="minorHAnsi" w:hAnsiTheme="minorHAnsi" w:cstheme="minorHAnsi"/>
          <w:sz w:val="21"/>
          <w:szCs w:val="21"/>
        </w:rPr>
        <w:t xml:space="preserve">okles průměrné hodnoty POVIndexu je </w:t>
      </w:r>
      <w:r w:rsidR="00016100" w:rsidRPr="00510F13">
        <w:rPr>
          <w:rFonts w:asciiTheme="minorHAnsi" w:hAnsiTheme="minorHAnsi" w:cstheme="minorHAnsi"/>
          <w:sz w:val="21"/>
          <w:szCs w:val="21"/>
        </w:rPr>
        <w:t>od začátku roku</w:t>
      </w:r>
      <w:r w:rsidR="000607B6" w:rsidRPr="00510F13">
        <w:rPr>
          <w:rFonts w:asciiTheme="minorHAnsi" w:hAnsiTheme="minorHAnsi" w:cstheme="minorHAnsi"/>
          <w:sz w:val="21"/>
          <w:szCs w:val="21"/>
        </w:rPr>
        <w:t xml:space="preserve"> patrný také v</w:t>
      </w:r>
      <w:r w:rsidR="005F2232" w:rsidRPr="00510F13">
        <w:rPr>
          <w:rFonts w:asciiTheme="minorHAnsi" w:hAnsiTheme="minorHAnsi" w:cstheme="minorHAnsi"/>
          <w:sz w:val="21"/>
          <w:szCs w:val="21"/>
        </w:rPr>
        <w:t> </w:t>
      </w:r>
      <w:r w:rsidR="000607B6" w:rsidRPr="00510F13">
        <w:rPr>
          <w:rFonts w:asciiTheme="minorHAnsi" w:hAnsiTheme="minorHAnsi" w:cstheme="minorHAnsi"/>
          <w:sz w:val="21"/>
          <w:szCs w:val="21"/>
        </w:rPr>
        <w:t>Praze</w:t>
      </w:r>
      <w:r w:rsidR="005F2232" w:rsidRPr="00510F13">
        <w:rPr>
          <w:rFonts w:asciiTheme="minorHAnsi" w:hAnsiTheme="minorHAnsi" w:cstheme="minorHAnsi"/>
          <w:sz w:val="21"/>
          <w:szCs w:val="21"/>
        </w:rPr>
        <w:t>.</w:t>
      </w:r>
      <w:r w:rsidRPr="00510F13">
        <w:rPr>
          <w:rFonts w:asciiTheme="minorHAnsi" w:hAnsiTheme="minorHAnsi" w:cstheme="minorHAnsi"/>
          <w:sz w:val="21"/>
          <w:szCs w:val="21"/>
        </w:rPr>
        <w:t xml:space="preserve"> O</w:t>
      </w:r>
      <w:r w:rsidR="00085EEC" w:rsidRPr="00510F13">
        <w:rPr>
          <w:rFonts w:asciiTheme="minorHAnsi" w:hAnsiTheme="minorHAnsi" w:cstheme="minorHAnsi"/>
          <w:sz w:val="21"/>
          <w:szCs w:val="21"/>
        </w:rPr>
        <w:t>proti lednu</w:t>
      </w:r>
      <w:r w:rsidR="005F2232" w:rsidRPr="00510F13">
        <w:rPr>
          <w:rFonts w:asciiTheme="minorHAnsi" w:hAnsiTheme="minorHAnsi" w:cstheme="minorHAnsi"/>
          <w:sz w:val="21"/>
          <w:szCs w:val="21"/>
        </w:rPr>
        <w:t xml:space="preserve"> (7 779 korun) poklesla </w:t>
      </w:r>
      <w:r w:rsidR="00996A46" w:rsidRPr="00510F13">
        <w:rPr>
          <w:rFonts w:asciiTheme="minorHAnsi" w:hAnsiTheme="minorHAnsi" w:cstheme="minorHAnsi"/>
          <w:sz w:val="21"/>
          <w:szCs w:val="21"/>
        </w:rPr>
        <w:t xml:space="preserve">březnová </w:t>
      </w:r>
      <w:r w:rsidR="005F2232" w:rsidRPr="00510F13">
        <w:rPr>
          <w:rFonts w:asciiTheme="minorHAnsi" w:hAnsiTheme="minorHAnsi" w:cstheme="minorHAnsi"/>
          <w:sz w:val="21"/>
          <w:szCs w:val="21"/>
        </w:rPr>
        <w:t>hodnota B</w:t>
      </w:r>
      <w:r w:rsidR="00996A46" w:rsidRPr="00510F13">
        <w:rPr>
          <w:rFonts w:asciiTheme="minorHAnsi" w:hAnsiTheme="minorHAnsi" w:cstheme="minorHAnsi"/>
          <w:sz w:val="21"/>
          <w:szCs w:val="21"/>
        </w:rPr>
        <w:t>roker Consulting POVIndexu</w:t>
      </w:r>
      <w:r w:rsidR="00085EEC" w:rsidRPr="00510F13">
        <w:rPr>
          <w:rFonts w:asciiTheme="minorHAnsi" w:hAnsiTheme="minorHAnsi" w:cstheme="minorHAnsi"/>
          <w:sz w:val="21"/>
          <w:szCs w:val="21"/>
        </w:rPr>
        <w:t xml:space="preserve"> </w:t>
      </w:r>
      <w:r w:rsidR="005F2232" w:rsidRPr="00510F13">
        <w:rPr>
          <w:rFonts w:asciiTheme="minorHAnsi" w:hAnsiTheme="minorHAnsi" w:cstheme="minorHAnsi"/>
          <w:sz w:val="21"/>
          <w:szCs w:val="21"/>
        </w:rPr>
        <w:t>na konečných 7 726 korun</w:t>
      </w:r>
      <w:r w:rsidR="00996A46" w:rsidRPr="00510F13">
        <w:rPr>
          <w:rFonts w:asciiTheme="minorHAnsi" w:hAnsiTheme="minorHAnsi" w:cstheme="minorHAnsi"/>
          <w:sz w:val="21"/>
          <w:szCs w:val="21"/>
        </w:rPr>
        <w:t>, zatímco v únoru se pohybovala okolo</w:t>
      </w:r>
      <w:r w:rsidR="008464E5" w:rsidRPr="00510F13">
        <w:rPr>
          <w:rFonts w:asciiTheme="minorHAnsi" w:hAnsiTheme="minorHAnsi" w:cstheme="minorHAnsi"/>
          <w:sz w:val="21"/>
          <w:szCs w:val="21"/>
        </w:rPr>
        <w:t xml:space="preserve"> </w:t>
      </w:r>
      <w:r w:rsidR="005F2232" w:rsidRPr="00510F13">
        <w:rPr>
          <w:rFonts w:asciiTheme="minorHAnsi" w:hAnsiTheme="minorHAnsi" w:cstheme="minorHAnsi"/>
          <w:sz w:val="21"/>
          <w:szCs w:val="21"/>
        </w:rPr>
        <w:t xml:space="preserve">7 738 korun. </w:t>
      </w:r>
      <w:r w:rsidR="00936E2B" w:rsidRPr="00510F13">
        <w:rPr>
          <w:rFonts w:asciiTheme="minorHAnsi" w:hAnsiTheme="minorHAnsi" w:cstheme="minorHAnsi"/>
          <w:i/>
          <w:sz w:val="21"/>
          <w:szCs w:val="21"/>
        </w:rPr>
        <w:t>„</w:t>
      </w:r>
      <w:r w:rsidR="008464E5" w:rsidRPr="00510F13">
        <w:rPr>
          <w:rFonts w:asciiTheme="minorHAnsi" w:hAnsiTheme="minorHAnsi" w:cstheme="minorHAnsi"/>
          <w:i/>
          <w:sz w:val="21"/>
          <w:szCs w:val="21"/>
        </w:rPr>
        <w:t>Srovnáme-li</w:t>
      </w:r>
      <w:r w:rsidR="005541A6" w:rsidRPr="00510F13">
        <w:rPr>
          <w:rFonts w:asciiTheme="minorHAnsi" w:hAnsiTheme="minorHAnsi" w:cstheme="minorHAnsi"/>
          <w:i/>
          <w:sz w:val="21"/>
          <w:szCs w:val="21"/>
        </w:rPr>
        <w:t xml:space="preserve"> </w:t>
      </w:r>
      <w:r w:rsidR="008464E5" w:rsidRPr="00510F13">
        <w:rPr>
          <w:rFonts w:asciiTheme="minorHAnsi" w:hAnsiTheme="minorHAnsi" w:cstheme="minorHAnsi"/>
          <w:i/>
          <w:sz w:val="21"/>
          <w:szCs w:val="21"/>
        </w:rPr>
        <w:t xml:space="preserve">data za </w:t>
      </w:r>
      <w:r w:rsidR="005541A6" w:rsidRPr="00510F13">
        <w:rPr>
          <w:rFonts w:asciiTheme="minorHAnsi" w:hAnsiTheme="minorHAnsi" w:cstheme="minorHAnsi"/>
          <w:i/>
          <w:sz w:val="21"/>
          <w:szCs w:val="21"/>
        </w:rPr>
        <w:t>všechny námi sledované roky tak</w:t>
      </w:r>
      <w:r w:rsidR="008464E5" w:rsidRPr="00510F13">
        <w:rPr>
          <w:rFonts w:asciiTheme="minorHAnsi" w:hAnsiTheme="minorHAnsi" w:cstheme="minorHAnsi"/>
          <w:i/>
          <w:sz w:val="21"/>
          <w:szCs w:val="21"/>
        </w:rPr>
        <w:t xml:space="preserve"> je pat</w:t>
      </w:r>
      <w:r w:rsidR="005541A6" w:rsidRPr="00510F13">
        <w:rPr>
          <w:rFonts w:asciiTheme="minorHAnsi" w:hAnsiTheme="minorHAnsi" w:cstheme="minorHAnsi"/>
          <w:i/>
          <w:sz w:val="21"/>
          <w:szCs w:val="21"/>
        </w:rPr>
        <w:t>rné, že průměrná cena pojištění</w:t>
      </w:r>
      <w:r w:rsidR="008464E5" w:rsidRPr="00510F13">
        <w:rPr>
          <w:rFonts w:asciiTheme="minorHAnsi" w:hAnsiTheme="minorHAnsi" w:cstheme="minorHAnsi"/>
          <w:i/>
          <w:sz w:val="21"/>
          <w:szCs w:val="21"/>
        </w:rPr>
        <w:t xml:space="preserve"> typického vozu </w:t>
      </w:r>
      <w:r w:rsidR="00C87E22" w:rsidRPr="00510F13">
        <w:rPr>
          <w:rFonts w:asciiTheme="minorHAnsi" w:hAnsiTheme="minorHAnsi" w:cstheme="minorHAnsi"/>
          <w:i/>
          <w:sz w:val="21"/>
          <w:szCs w:val="21"/>
        </w:rPr>
        <w:t xml:space="preserve">v Praze </w:t>
      </w:r>
      <w:r w:rsidR="00936E2B" w:rsidRPr="00510F13">
        <w:rPr>
          <w:rFonts w:asciiTheme="minorHAnsi" w:hAnsiTheme="minorHAnsi" w:cstheme="minorHAnsi"/>
          <w:i/>
          <w:sz w:val="21"/>
          <w:szCs w:val="21"/>
        </w:rPr>
        <w:t xml:space="preserve">meziročně </w:t>
      </w:r>
      <w:r w:rsidR="008464E5" w:rsidRPr="00510F13">
        <w:rPr>
          <w:rFonts w:asciiTheme="minorHAnsi" w:hAnsiTheme="minorHAnsi" w:cstheme="minorHAnsi"/>
          <w:i/>
          <w:sz w:val="21"/>
          <w:szCs w:val="21"/>
        </w:rPr>
        <w:t>stoupá. Za poslední čtyři roky došlo ke zvýšení o 520 korun</w:t>
      </w:r>
      <w:r w:rsidR="005541A6" w:rsidRPr="00510F13">
        <w:rPr>
          <w:rFonts w:asciiTheme="minorHAnsi" w:hAnsiTheme="minorHAnsi" w:cstheme="minorHAnsi"/>
          <w:i/>
          <w:sz w:val="21"/>
          <w:szCs w:val="21"/>
        </w:rPr>
        <w:t xml:space="preserve">, což představuje více než sedmi </w:t>
      </w:r>
      <w:r w:rsidR="00936E2B" w:rsidRPr="00510F13">
        <w:rPr>
          <w:rFonts w:asciiTheme="minorHAnsi" w:hAnsiTheme="minorHAnsi" w:cstheme="minorHAnsi"/>
          <w:i/>
          <w:sz w:val="21"/>
          <w:szCs w:val="21"/>
        </w:rPr>
        <w:t xml:space="preserve">procentní růst. V roce 2021 se průměrná cena pohybovala okolo 7 206 korun, o rok později poté 7 349 korun. Loni to bylo 7 461 korun,“ </w:t>
      </w:r>
      <w:r w:rsidR="005541A6" w:rsidRPr="00510F13">
        <w:rPr>
          <w:rFonts w:asciiTheme="minorHAnsi" w:hAnsiTheme="minorHAnsi" w:cs="Arial"/>
          <w:sz w:val="21"/>
          <w:szCs w:val="21"/>
        </w:rPr>
        <w:t>uvedl</w:t>
      </w:r>
      <w:r w:rsidR="00936E2B" w:rsidRPr="00510F13">
        <w:rPr>
          <w:rFonts w:asciiTheme="minorHAnsi" w:hAnsiTheme="minorHAnsi" w:cstheme="minorHAnsi"/>
          <w:b/>
          <w:bCs/>
          <w:sz w:val="21"/>
          <w:szCs w:val="21"/>
        </w:rPr>
        <w:t xml:space="preserve"> analytik </w:t>
      </w:r>
      <w:r w:rsidR="005541A6" w:rsidRPr="00510F13">
        <w:rPr>
          <w:rFonts w:asciiTheme="minorHAnsi" w:hAnsiTheme="minorHAnsi" w:cstheme="minorHAnsi"/>
          <w:b/>
          <w:bCs/>
          <w:sz w:val="21"/>
          <w:szCs w:val="21"/>
        </w:rPr>
        <w:t xml:space="preserve">neživotního pojištění </w:t>
      </w:r>
      <w:r w:rsidR="00936E2B" w:rsidRPr="00510F13">
        <w:rPr>
          <w:rFonts w:asciiTheme="minorHAnsi" w:hAnsiTheme="minorHAnsi" w:cstheme="minorHAnsi"/>
          <w:b/>
          <w:bCs/>
          <w:sz w:val="21"/>
          <w:szCs w:val="21"/>
        </w:rPr>
        <w:t>společnosti Broker Consulting Jiří Váchal.</w:t>
      </w:r>
    </w:p>
    <w:p w14:paraId="6C07EE22" w14:textId="2111AD35" w:rsidR="00B169AF" w:rsidRPr="00510F13" w:rsidRDefault="002414C7" w:rsidP="00B169AF">
      <w:pPr>
        <w:jc w:val="both"/>
        <w:rPr>
          <w:rFonts w:asciiTheme="minorHAnsi" w:hAnsiTheme="minorHAnsi" w:cstheme="minorHAnsi"/>
          <w:sz w:val="21"/>
          <w:szCs w:val="21"/>
        </w:rPr>
      </w:pPr>
      <w:r w:rsidRPr="00510F13">
        <w:rPr>
          <w:rFonts w:asciiTheme="minorHAnsi" w:hAnsiTheme="minorHAnsi" w:cstheme="minorHAnsi"/>
          <w:sz w:val="21"/>
          <w:szCs w:val="21"/>
        </w:rPr>
        <w:t>A jak je na tom například středočeský Benešov? V krátkodobém horizontu lépe</w:t>
      </w:r>
      <w:r w:rsidR="00903F62" w:rsidRPr="00510F13">
        <w:rPr>
          <w:rFonts w:asciiTheme="minorHAnsi" w:hAnsiTheme="minorHAnsi" w:cstheme="minorHAnsi"/>
          <w:sz w:val="21"/>
          <w:szCs w:val="21"/>
        </w:rPr>
        <w:t xml:space="preserve">, průměrná březnová hodnota POVIndexu (6 089 korun) zde totiž poklesla oproti únoru (6 274 korun) o téměř tři procenta. </w:t>
      </w:r>
      <w:r w:rsidR="00B169AF" w:rsidRPr="00510F13">
        <w:rPr>
          <w:rFonts w:asciiTheme="minorHAnsi" w:hAnsiTheme="minorHAnsi" w:cstheme="minorHAnsi"/>
          <w:sz w:val="21"/>
          <w:szCs w:val="21"/>
        </w:rPr>
        <w:t xml:space="preserve">Meziroční srovnání hodnot však ukazuje i zde postupný nárůst. V březnu roku 2020 byla hodnota Broker Consulting POVIndexu 5 992 korun, o rok později 5 838 korun a v roce 2022 to bylo 5 833 korun. Nejvyšší hodnotu zaznamenal Broker Consulting POVIndex v roce 2023, a to 6 181 korun. </w:t>
      </w:r>
    </w:p>
    <w:p w14:paraId="2C43231C" w14:textId="2015A455" w:rsidR="00545CF4" w:rsidRPr="00EE591F" w:rsidRDefault="00545CF4" w:rsidP="00545CF4">
      <w:pPr>
        <w:spacing w:after="120"/>
        <w:ind w:right="130"/>
        <w:rPr>
          <w:rFonts w:asciiTheme="minorHAnsi" w:hAnsiTheme="minorHAnsi" w:cstheme="minorHAnsi"/>
          <w:sz w:val="21"/>
          <w:szCs w:val="21"/>
        </w:rPr>
      </w:pPr>
    </w:p>
    <w:p w14:paraId="26A6C3D6" w14:textId="77777777" w:rsidR="00545CF4" w:rsidRPr="00E211E6" w:rsidRDefault="00545CF4" w:rsidP="00545CF4">
      <w:pPr>
        <w:spacing w:after="120"/>
        <w:ind w:right="130"/>
        <w:rPr>
          <w:rFonts w:asciiTheme="minorHAnsi" w:hAnsiTheme="minorHAnsi" w:cstheme="minorHAnsi"/>
          <w:b/>
          <w:bCs/>
          <w:color w:val="4F81BD" w:themeColor="accent1"/>
          <w:sz w:val="21"/>
          <w:szCs w:val="21"/>
        </w:rPr>
      </w:pPr>
      <w:r>
        <w:rPr>
          <w:rFonts w:asciiTheme="minorHAnsi" w:hAnsiTheme="minorHAnsi" w:cstheme="minorHAnsi"/>
          <w:b/>
          <w:bCs/>
          <w:color w:val="4F81BD" w:themeColor="accent1"/>
          <w:sz w:val="21"/>
          <w:szCs w:val="21"/>
        </w:rPr>
        <w:t xml:space="preserve">BOX: Březnové </w:t>
      </w:r>
      <w:r w:rsidRPr="00E211E6">
        <w:rPr>
          <w:rFonts w:asciiTheme="minorHAnsi" w:hAnsiTheme="minorHAnsi" w:cstheme="minorHAnsi"/>
          <w:b/>
          <w:bCs/>
          <w:color w:val="4F81BD" w:themeColor="accent1"/>
          <w:sz w:val="21"/>
          <w:szCs w:val="21"/>
        </w:rPr>
        <w:t>hodnoty Broker Consulting POVIndexu</w:t>
      </w:r>
      <w:r>
        <w:rPr>
          <w:rFonts w:asciiTheme="minorHAnsi" w:hAnsiTheme="minorHAnsi" w:cstheme="minorHAnsi"/>
          <w:b/>
          <w:bCs/>
          <w:color w:val="4F81BD" w:themeColor="accent1"/>
          <w:sz w:val="21"/>
          <w:szCs w:val="21"/>
        </w:rPr>
        <w:t xml:space="preserve"> (celorepublikový průměr)</w:t>
      </w:r>
    </w:p>
    <w:tbl>
      <w:tblPr>
        <w:tblStyle w:val="Mkatabulky"/>
        <w:tblW w:w="0" w:type="auto"/>
        <w:tblLook w:val="04A0" w:firstRow="1" w:lastRow="0" w:firstColumn="1" w:lastColumn="0" w:noHBand="0" w:noVBand="1"/>
      </w:tblPr>
      <w:tblGrid>
        <w:gridCol w:w="2689"/>
        <w:gridCol w:w="2268"/>
      </w:tblGrid>
      <w:tr w:rsidR="00545CF4" w:rsidRPr="00E211E6" w14:paraId="6389D4E3" w14:textId="77777777" w:rsidTr="00BB34F0">
        <w:tc>
          <w:tcPr>
            <w:tcW w:w="2689" w:type="dxa"/>
          </w:tcPr>
          <w:p w14:paraId="66B3BA56" w14:textId="77777777" w:rsidR="00545CF4" w:rsidRPr="00E211E6" w:rsidRDefault="00545CF4" w:rsidP="00BB34F0">
            <w:pPr>
              <w:spacing w:after="120"/>
              <w:ind w:right="130"/>
              <w:jc w:val="center"/>
              <w:rPr>
                <w:rFonts w:asciiTheme="minorHAnsi" w:hAnsiTheme="minorHAnsi" w:cstheme="minorHAnsi"/>
                <w:b/>
                <w:bCs/>
                <w:color w:val="4F81BD" w:themeColor="accent1"/>
                <w:sz w:val="21"/>
                <w:szCs w:val="21"/>
              </w:rPr>
            </w:pPr>
            <w:r w:rsidRPr="00E211E6">
              <w:rPr>
                <w:rFonts w:asciiTheme="minorHAnsi" w:hAnsiTheme="minorHAnsi" w:cstheme="minorHAnsi"/>
                <w:b/>
                <w:bCs/>
                <w:color w:val="4F81BD" w:themeColor="accent1"/>
                <w:sz w:val="21"/>
                <w:szCs w:val="21"/>
              </w:rPr>
              <w:t>Rok</w:t>
            </w:r>
          </w:p>
        </w:tc>
        <w:tc>
          <w:tcPr>
            <w:tcW w:w="2268" w:type="dxa"/>
          </w:tcPr>
          <w:p w14:paraId="18006E08" w14:textId="77777777" w:rsidR="00545CF4" w:rsidRPr="00E211E6" w:rsidRDefault="00545CF4" w:rsidP="00BB34F0">
            <w:pPr>
              <w:spacing w:after="120"/>
              <w:ind w:right="130"/>
              <w:jc w:val="center"/>
              <w:rPr>
                <w:rFonts w:asciiTheme="minorHAnsi" w:hAnsiTheme="minorHAnsi" w:cstheme="minorHAnsi"/>
                <w:b/>
                <w:bCs/>
                <w:color w:val="4F81BD" w:themeColor="accent1"/>
                <w:sz w:val="21"/>
                <w:szCs w:val="21"/>
              </w:rPr>
            </w:pPr>
            <w:r w:rsidRPr="00E211E6">
              <w:rPr>
                <w:rFonts w:asciiTheme="minorHAnsi" w:hAnsiTheme="minorHAnsi" w:cstheme="minorHAnsi"/>
                <w:b/>
                <w:bCs/>
                <w:color w:val="4F81BD" w:themeColor="accent1"/>
                <w:sz w:val="21"/>
                <w:szCs w:val="21"/>
              </w:rPr>
              <w:t>Hodnota POV Indexu</w:t>
            </w:r>
          </w:p>
        </w:tc>
      </w:tr>
      <w:tr w:rsidR="00545CF4" w:rsidRPr="00E211E6" w14:paraId="6F01C53C" w14:textId="77777777" w:rsidTr="00BB34F0">
        <w:tc>
          <w:tcPr>
            <w:tcW w:w="2689" w:type="dxa"/>
          </w:tcPr>
          <w:p w14:paraId="39B8FA35" w14:textId="77777777" w:rsidR="00545CF4" w:rsidRPr="00E211E6" w:rsidRDefault="00545CF4" w:rsidP="005541A6">
            <w:pPr>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2020</w:t>
            </w:r>
          </w:p>
        </w:tc>
        <w:tc>
          <w:tcPr>
            <w:tcW w:w="2268" w:type="dxa"/>
          </w:tcPr>
          <w:p w14:paraId="086392C2" w14:textId="77777777" w:rsidR="00545CF4" w:rsidRPr="00E211E6" w:rsidRDefault="00545CF4" w:rsidP="005541A6">
            <w:pPr>
              <w:ind w:right="130"/>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 xml:space="preserve">6 819 </w:t>
            </w:r>
            <w:r w:rsidRPr="00E211E6">
              <w:rPr>
                <w:rFonts w:asciiTheme="minorHAnsi" w:hAnsiTheme="minorHAnsi" w:cstheme="minorHAnsi"/>
                <w:color w:val="4F81BD" w:themeColor="accent1"/>
                <w:sz w:val="21"/>
                <w:szCs w:val="21"/>
              </w:rPr>
              <w:t>Kč</w:t>
            </w:r>
          </w:p>
        </w:tc>
      </w:tr>
      <w:tr w:rsidR="00545CF4" w:rsidRPr="00E211E6" w14:paraId="6A2AFE3D" w14:textId="77777777" w:rsidTr="00BB34F0">
        <w:tc>
          <w:tcPr>
            <w:tcW w:w="2689" w:type="dxa"/>
          </w:tcPr>
          <w:p w14:paraId="31F887CF" w14:textId="77777777" w:rsidR="00545CF4" w:rsidRPr="00E211E6" w:rsidRDefault="00545CF4" w:rsidP="005541A6">
            <w:pPr>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lastRenderedPageBreak/>
              <w:t>2021</w:t>
            </w:r>
          </w:p>
        </w:tc>
        <w:tc>
          <w:tcPr>
            <w:tcW w:w="2268" w:type="dxa"/>
          </w:tcPr>
          <w:p w14:paraId="267ED12A" w14:textId="77777777" w:rsidR="00545CF4" w:rsidRPr="00E211E6" w:rsidRDefault="00545CF4" w:rsidP="005541A6">
            <w:pPr>
              <w:ind w:right="130"/>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6 522 Kč</w:t>
            </w:r>
          </w:p>
        </w:tc>
      </w:tr>
      <w:tr w:rsidR="00545CF4" w:rsidRPr="00E211E6" w14:paraId="3BC4185B" w14:textId="77777777" w:rsidTr="00BB34F0">
        <w:tc>
          <w:tcPr>
            <w:tcW w:w="2689" w:type="dxa"/>
          </w:tcPr>
          <w:p w14:paraId="0E685D07" w14:textId="77777777" w:rsidR="00545CF4" w:rsidRPr="00E211E6" w:rsidRDefault="00545CF4" w:rsidP="005541A6">
            <w:pPr>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2022</w:t>
            </w:r>
          </w:p>
        </w:tc>
        <w:tc>
          <w:tcPr>
            <w:tcW w:w="2268" w:type="dxa"/>
          </w:tcPr>
          <w:p w14:paraId="54C59A7A" w14:textId="77777777" w:rsidR="00545CF4" w:rsidRPr="00E211E6" w:rsidRDefault="00545CF4" w:rsidP="005541A6">
            <w:pPr>
              <w:ind w:right="130"/>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6 591 Kč</w:t>
            </w:r>
          </w:p>
        </w:tc>
      </w:tr>
      <w:tr w:rsidR="00545CF4" w:rsidRPr="00E211E6" w14:paraId="733E33D4" w14:textId="77777777" w:rsidTr="00BB34F0">
        <w:tc>
          <w:tcPr>
            <w:tcW w:w="2689" w:type="dxa"/>
          </w:tcPr>
          <w:p w14:paraId="6CE73352" w14:textId="77777777" w:rsidR="00545CF4" w:rsidRPr="00E211E6" w:rsidRDefault="00545CF4" w:rsidP="005541A6">
            <w:pPr>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2023</w:t>
            </w:r>
          </w:p>
        </w:tc>
        <w:tc>
          <w:tcPr>
            <w:tcW w:w="2268" w:type="dxa"/>
          </w:tcPr>
          <w:p w14:paraId="7CA8CFF0" w14:textId="77777777" w:rsidR="00545CF4" w:rsidRPr="00E211E6" w:rsidRDefault="00545CF4" w:rsidP="005541A6">
            <w:pPr>
              <w:ind w:right="130"/>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6 821</w:t>
            </w:r>
            <w:r w:rsidRPr="00E211E6">
              <w:rPr>
                <w:rFonts w:asciiTheme="minorHAnsi" w:hAnsiTheme="minorHAnsi" w:cstheme="minorHAnsi"/>
                <w:color w:val="4F81BD" w:themeColor="accent1"/>
                <w:sz w:val="21"/>
                <w:szCs w:val="21"/>
              </w:rPr>
              <w:t xml:space="preserve"> Kč</w:t>
            </w:r>
          </w:p>
        </w:tc>
      </w:tr>
      <w:tr w:rsidR="00545CF4" w:rsidRPr="00E211E6" w14:paraId="55C6F2DD" w14:textId="77777777" w:rsidTr="00BB34F0">
        <w:tc>
          <w:tcPr>
            <w:tcW w:w="2689" w:type="dxa"/>
          </w:tcPr>
          <w:p w14:paraId="34573FC8" w14:textId="77777777" w:rsidR="00545CF4" w:rsidRDefault="00545CF4" w:rsidP="005541A6">
            <w:pPr>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 xml:space="preserve">2024 </w:t>
            </w:r>
          </w:p>
        </w:tc>
        <w:tc>
          <w:tcPr>
            <w:tcW w:w="2268" w:type="dxa"/>
          </w:tcPr>
          <w:p w14:paraId="1236A790" w14:textId="77777777" w:rsidR="00545CF4" w:rsidRDefault="00545CF4" w:rsidP="005541A6">
            <w:pPr>
              <w:ind w:right="130"/>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6 907 Kč</w:t>
            </w:r>
          </w:p>
        </w:tc>
      </w:tr>
      <w:tr w:rsidR="00545CF4" w:rsidRPr="00E211E6" w14:paraId="088819C0" w14:textId="77777777" w:rsidTr="00BB34F0">
        <w:tc>
          <w:tcPr>
            <w:tcW w:w="2689" w:type="dxa"/>
          </w:tcPr>
          <w:p w14:paraId="4C5FE0ED" w14:textId="77777777" w:rsidR="00545CF4" w:rsidRPr="00E211E6" w:rsidRDefault="00545CF4" w:rsidP="005541A6">
            <w:pPr>
              <w:ind w:right="130"/>
              <w:jc w:val="center"/>
              <w:rPr>
                <w:rFonts w:asciiTheme="minorHAnsi" w:hAnsiTheme="minorHAnsi" w:cstheme="minorHAnsi"/>
                <w:color w:val="4F81BD" w:themeColor="accent1"/>
                <w:sz w:val="21"/>
                <w:szCs w:val="21"/>
              </w:rPr>
            </w:pPr>
            <w:r w:rsidRPr="00E211E6">
              <w:rPr>
                <w:rFonts w:asciiTheme="minorHAnsi" w:hAnsiTheme="minorHAnsi" w:cstheme="minorHAnsi"/>
                <w:color w:val="4F81BD" w:themeColor="accent1"/>
                <w:sz w:val="21"/>
                <w:szCs w:val="21"/>
              </w:rPr>
              <w:t>Průměr za celé sledování</w:t>
            </w:r>
          </w:p>
        </w:tc>
        <w:tc>
          <w:tcPr>
            <w:tcW w:w="2268" w:type="dxa"/>
          </w:tcPr>
          <w:p w14:paraId="1544B95E" w14:textId="77777777" w:rsidR="00545CF4" w:rsidRPr="00E211E6" w:rsidRDefault="00545CF4" w:rsidP="005541A6">
            <w:pPr>
              <w:ind w:right="130"/>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6 762,30</w:t>
            </w:r>
            <w:r w:rsidRPr="00E211E6">
              <w:rPr>
                <w:rFonts w:asciiTheme="minorHAnsi" w:hAnsiTheme="minorHAnsi" w:cstheme="minorHAnsi"/>
                <w:color w:val="4F81BD" w:themeColor="accent1"/>
                <w:sz w:val="21"/>
                <w:szCs w:val="21"/>
              </w:rPr>
              <w:t xml:space="preserve"> Kč</w:t>
            </w:r>
          </w:p>
        </w:tc>
      </w:tr>
    </w:tbl>
    <w:p w14:paraId="70A78899" w14:textId="6B7404F2" w:rsidR="00545CF4" w:rsidRDefault="00545CF4" w:rsidP="00545CF4">
      <w:pPr>
        <w:spacing w:after="120"/>
        <w:ind w:right="130"/>
        <w:rPr>
          <w:rFonts w:asciiTheme="minorHAnsi" w:hAnsiTheme="minorHAnsi" w:cstheme="minorHAnsi"/>
          <w:b/>
          <w:bCs/>
          <w:color w:val="4F81BD" w:themeColor="accent1"/>
          <w:sz w:val="21"/>
          <w:szCs w:val="21"/>
        </w:rPr>
      </w:pPr>
    </w:p>
    <w:p w14:paraId="663052B6" w14:textId="77777777" w:rsidR="00545CF4" w:rsidRDefault="00545CF4" w:rsidP="00545CF4">
      <w:pPr>
        <w:spacing w:after="120"/>
        <w:ind w:right="130"/>
        <w:rPr>
          <w:rFonts w:asciiTheme="minorHAnsi" w:hAnsiTheme="minorHAnsi" w:cstheme="minorHAnsi"/>
          <w:b/>
          <w:bCs/>
          <w:color w:val="4F81BD" w:themeColor="accent1"/>
          <w:sz w:val="21"/>
          <w:szCs w:val="21"/>
        </w:rPr>
      </w:pPr>
      <w:r>
        <w:rPr>
          <w:rFonts w:asciiTheme="minorHAnsi" w:hAnsiTheme="minorHAnsi" w:cstheme="minorHAnsi"/>
          <w:b/>
          <w:bCs/>
          <w:color w:val="4F81BD" w:themeColor="accent1"/>
          <w:sz w:val="21"/>
          <w:szCs w:val="21"/>
        </w:rPr>
        <w:t>BOX: Únorové</w:t>
      </w:r>
      <w:r w:rsidRPr="00E211E6">
        <w:rPr>
          <w:rFonts w:asciiTheme="minorHAnsi" w:hAnsiTheme="minorHAnsi" w:cstheme="minorHAnsi"/>
          <w:b/>
          <w:bCs/>
          <w:color w:val="4F81BD" w:themeColor="accent1"/>
          <w:sz w:val="21"/>
          <w:szCs w:val="21"/>
        </w:rPr>
        <w:t xml:space="preserve"> hodnoty Broker Consulting POVIndexu</w:t>
      </w:r>
      <w:r>
        <w:rPr>
          <w:rFonts w:asciiTheme="minorHAnsi" w:hAnsiTheme="minorHAnsi" w:cstheme="minorHAnsi"/>
          <w:b/>
          <w:bCs/>
          <w:color w:val="4F81BD" w:themeColor="accent1"/>
          <w:sz w:val="21"/>
          <w:szCs w:val="21"/>
        </w:rPr>
        <w:t xml:space="preserve">  BOX: Březnové</w:t>
      </w:r>
      <w:r w:rsidRPr="00E211E6">
        <w:rPr>
          <w:rFonts w:asciiTheme="minorHAnsi" w:hAnsiTheme="minorHAnsi" w:cstheme="minorHAnsi"/>
          <w:b/>
          <w:bCs/>
          <w:color w:val="4F81BD" w:themeColor="accent1"/>
          <w:sz w:val="21"/>
          <w:szCs w:val="21"/>
        </w:rPr>
        <w:t xml:space="preserve"> hodnoty Broker Consulting POVIndexu</w:t>
      </w:r>
      <w:r>
        <w:rPr>
          <w:rFonts w:asciiTheme="minorHAnsi" w:hAnsiTheme="minorHAnsi" w:cstheme="minorHAnsi"/>
          <w:b/>
          <w:bCs/>
          <w:color w:val="4F81BD" w:themeColor="accent1"/>
          <w:sz w:val="21"/>
          <w:szCs w:val="21"/>
        </w:rPr>
        <w:t xml:space="preserve"> </w:t>
      </w:r>
    </w:p>
    <w:p w14:paraId="05D316EB" w14:textId="60B60582" w:rsidR="00545CF4" w:rsidRPr="00E211E6" w:rsidRDefault="005541A6" w:rsidP="00545CF4">
      <w:pPr>
        <w:spacing w:after="120"/>
        <w:ind w:right="130"/>
        <w:rPr>
          <w:rFonts w:asciiTheme="minorHAnsi" w:hAnsiTheme="minorHAnsi" w:cstheme="minorHAnsi"/>
          <w:b/>
          <w:bCs/>
          <w:color w:val="4F81BD" w:themeColor="accent1"/>
          <w:sz w:val="21"/>
          <w:szCs w:val="21"/>
        </w:rPr>
      </w:pPr>
      <w:r>
        <w:rPr>
          <w:rFonts w:asciiTheme="minorHAnsi" w:hAnsiTheme="minorHAnsi" w:cstheme="minorHAnsi"/>
          <w:b/>
          <w:bCs/>
          <w:color w:val="4F81BD" w:themeColor="accent1"/>
          <w:sz w:val="21"/>
          <w:szCs w:val="21"/>
        </w:rPr>
        <w:t>PRAHA</w:t>
      </w:r>
      <w:r>
        <w:rPr>
          <w:rFonts w:asciiTheme="minorHAnsi" w:hAnsiTheme="minorHAnsi" w:cstheme="minorHAnsi"/>
          <w:b/>
          <w:bCs/>
          <w:color w:val="4F81BD" w:themeColor="accent1"/>
          <w:sz w:val="21"/>
          <w:szCs w:val="21"/>
        </w:rPr>
        <w:tab/>
      </w:r>
      <w:r>
        <w:rPr>
          <w:rFonts w:asciiTheme="minorHAnsi" w:hAnsiTheme="minorHAnsi" w:cstheme="minorHAnsi"/>
          <w:b/>
          <w:bCs/>
          <w:color w:val="4F81BD" w:themeColor="accent1"/>
          <w:sz w:val="21"/>
          <w:szCs w:val="21"/>
        </w:rPr>
        <w:tab/>
      </w:r>
      <w:r>
        <w:rPr>
          <w:rFonts w:asciiTheme="minorHAnsi" w:hAnsiTheme="minorHAnsi" w:cstheme="minorHAnsi"/>
          <w:b/>
          <w:bCs/>
          <w:color w:val="4F81BD" w:themeColor="accent1"/>
          <w:sz w:val="21"/>
          <w:szCs w:val="21"/>
        </w:rPr>
        <w:tab/>
      </w:r>
      <w:r>
        <w:rPr>
          <w:rFonts w:asciiTheme="minorHAnsi" w:hAnsiTheme="minorHAnsi" w:cstheme="minorHAnsi"/>
          <w:b/>
          <w:bCs/>
          <w:color w:val="4F81BD" w:themeColor="accent1"/>
          <w:sz w:val="21"/>
          <w:szCs w:val="21"/>
        </w:rPr>
        <w:tab/>
        <w:t xml:space="preserve">                         </w:t>
      </w:r>
      <w:r w:rsidR="00545CF4">
        <w:rPr>
          <w:rFonts w:asciiTheme="minorHAnsi" w:hAnsiTheme="minorHAnsi" w:cstheme="minorHAnsi"/>
          <w:b/>
          <w:bCs/>
          <w:color w:val="4F81BD" w:themeColor="accent1"/>
          <w:sz w:val="21"/>
          <w:szCs w:val="21"/>
        </w:rPr>
        <w:t>BENEŠOV u PRAHY</w:t>
      </w:r>
    </w:p>
    <w:tbl>
      <w:tblPr>
        <w:tblStyle w:val="Mkatabulky"/>
        <w:tblW w:w="0" w:type="auto"/>
        <w:tblLook w:val="04A0" w:firstRow="1" w:lastRow="0" w:firstColumn="1" w:lastColumn="0" w:noHBand="0" w:noVBand="1"/>
      </w:tblPr>
      <w:tblGrid>
        <w:gridCol w:w="2167"/>
        <w:gridCol w:w="1828"/>
        <w:gridCol w:w="1828"/>
        <w:gridCol w:w="1828"/>
      </w:tblGrid>
      <w:tr w:rsidR="00545CF4" w:rsidRPr="00E211E6" w14:paraId="2C89EC3A" w14:textId="77777777" w:rsidTr="00BB34F0">
        <w:trPr>
          <w:trHeight w:val="358"/>
        </w:trPr>
        <w:tc>
          <w:tcPr>
            <w:tcW w:w="2167" w:type="dxa"/>
          </w:tcPr>
          <w:p w14:paraId="0E22EBFF" w14:textId="77777777" w:rsidR="00545CF4" w:rsidRPr="00E211E6" w:rsidRDefault="00545CF4" w:rsidP="005541A6">
            <w:pPr>
              <w:ind w:right="130"/>
              <w:jc w:val="center"/>
              <w:rPr>
                <w:rFonts w:asciiTheme="minorHAnsi" w:hAnsiTheme="minorHAnsi" w:cstheme="minorHAnsi"/>
                <w:b/>
                <w:bCs/>
                <w:color w:val="4F81BD" w:themeColor="accent1"/>
                <w:sz w:val="21"/>
                <w:szCs w:val="21"/>
              </w:rPr>
            </w:pPr>
            <w:r w:rsidRPr="00E211E6">
              <w:rPr>
                <w:rFonts w:asciiTheme="minorHAnsi" w:hAnsiTheme="minorHAnsi" w:cstheme="minorHAnsi"/>
                <w:b/>
                <w:bCs/>
                <w:color w:val="4F81BD" w:themeColor="accent1"/>
                <w:sz w:val="21"/>
                <w:szCs w:val="21"/>
              </w:rPr>
              <w:t>Rok</w:t>
            </w:r>
          </w:p>
        </w:tc>
        <w:tc>
          <w:tcPr>
            <w:tcW w:w="1828" w:type="dxa"/>
          </w:tcPr>
          <w:p w14:paraId="6CC45912" w14:textId="77777777" w:rsidR="00545CF4" w:rsidRPr="00E211E6" w:rsidRDefault="00545CF4" w:rsidP="005541A6">
            <w:pPr>
              <w:ind w:right="130"/>
              <w:jc w:val="center"/>
              <w:rPr>
                <w:rFonts w:asciiTheme="minorHAnsi" w:hAnsiTheme="minorHAnsi" w:cstheme="minorHAnsi"/>
                <w:b/>
                <w:bCs/>
                <w:color w:val="4F81BD" w:themeColor="accent1"/>
                <w:sz w:val="21"/>
                <w:szCs w:val="21"/>
              </w:rPr>
            </w:pPr>
            <w:r w:rsidRPr="00E211E6">
              <w:rPr>
                <w:rFonts w:asciiTheme="minorHAnsi" w:hAnsiTheme="minorHAnsi" w:cstheme="minorHAnsi"/>
                <w:b/>
                <w:bCs/>
                <w:color w:val="4F81BD" w:themeColor="accent1"/>
                <w:sz w:val="21"/>
                <w:szCs w:val="21"/>
              </w:rPr>
              <w:t>Hodnota POV Indexu</w:t>
            </w:r>
          </w:p>
        </w:tc>
        <w:tc>
          <w:tcPr>
            <w:tcW w:w="1828" w:type="dxa"/>
          </w:tcPr>
          <w:p w14:paraId="4399F3A9" w14:textId="77777777" w:rsidR="00545CF4" w:rsidRPr="00E211E6" w:rsidRDefault="00545CF4" w:rsidP="005541A6">
            <w:pPr>
              <w:ind w:right="130"/>
              <w:jc w:val="center"/>
              <w:rPr>
                <w:rFonts w:asciiTheme="minorHAnsi" w:hAnsiTheme="minorHAnsi" w:cstheme="minorHAnsi"/>
                <w:b/>
                <w:bCs/>
                <w:color w:val="4F81BD" w:themeColor="accent1"/>
                <w:sz w:val="21"/>
                <w:szCs w:val="21"/>
              </w:rPr>
            </w:pPr>
            <w:r>
              <w:rPr>
                <w:rFonts w:asciiTheme="minorHAnsi" w:hAnsiTheme="minorHAnsi" w:cstheme="minorHAnsi"/>
                <w:b/>
                <w:bCs/>
                <w:color w:val="4F81BD" w:themeColor="accent1"/>
                <w:sz w:val="21"/>
                <w:szCs w:val="21"/>
              </w:rPr>
              <w:t xml:space="preserve"> </w:t>
            </w:r>
            <w:r w:rsidRPr="00E211E6">
              <w:rPr>
                <w:rFonts w:asciiTheme="minorHAnsi" w:hAnsiTheme="minorHAnsi" w:cstheme="minorHAnsi"/>
                <w:b/>
                <w:bCs/>
                <w:color w:val="4F81BD" w:themeColor="accent1"/>
                <w:sz w:val="21"/>
                <w:szCs w:val="21"/>
              </w:rPr>
              <w:t>Rok</w:t>
            </w:r>
          </w:p>
        </w:tc>
        <w:tc>
          <w:tcPr>
            <w:tcW w:w="1828" w:type="dxa"/>
          </w:tcPr>
          <w:p w14:paraId="0425786F" w14:textId="77777777" w:rsidR="00545CF4" w:rsidRPr="00E211E6" w:rsidRDefault="00545CF4" w:rsidP="005541A6">
            <w:pPr>
              <w:ind w:right="130"/>
              <w:jc w:val="center"/>
              <w:rPr>
                <w:rFonts w:asciiTheme="minorHAnsi" w:hAnsiTheme="minorHAnsi" w:cstheme="minorHAnsi"/>
                <w:b/>
                <w:bCs/>
                <w:color w:val="4F81BD" w:themeColor="accent1"/>
                <w:sz w:val="21"/>
                <w:szCs w:val="21"/>
              </w:rPr>
            </w:pPr>
            <w:r w:rsidRPr="00E211E6">
              <w:rPr>
                <w:rFonts w:asciiTheme="minorHAnsi" w:hAnsiTheme="minorHAnsi" w:cstheme="minorHAnsi"/>
                <w:b/>
                <w:bCs/>
                <w:color w:val="4F81BD" w:themeColor="accent1"/>
                <w:sz w:val="21"/>
                <w:szCs w:val="21"/>
              </w:rPr>
              <w:t>Hodnota POV Indexu</w:t>
            </w:r>
          </w:p>
        </w:tc>
      </w:tr>
      <w:tr w:rsidR="00545CF4" w:rsidRPr="00E211E6" w14:paraId="21A22AC2" w14:textId="77777777" w:rsidTr="00BB34F0">
        <w:trPr>
          <w:trHeight w:val="349"/>
        </w:trPr>
        <w:tc>
          <w:tcPr>
            <w:tcW w:w="2167" w:type="dxa"/>
          </w:tcPr>
          <w:p w14:paraId="423845DC" w14:textId="77777777" w:rsidR="00545CF4" w:rsidRPr="00E211E6" w:rsidRDefault="00545CF4" w:rsidP="005541A6">
            <w:pPr>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 xml:space="preserve">   </w:t>
            </w:r>
            <w:r w:rsidRPr="00E211E6">
              <w:rPr>
                <w:rFonts w:asciiTheme="minorHAnsi" w:hAnsiTheme="minorHAnsi" w:cstheme="minorHAnsi"/>
                <w:color w:val="4F81BD" w:themeColor="accent1"/>
                <w:sz w:val="21"/>
                <w:szCs w:val="21"/>
              </w:rPr>
              <w:t>2020</w:t>
            </w:r>
          </w:p>
        </w:tc>
        <w:tc>
          <w:tcPr>
            <w:tcW w:w="1828" w:type="dxa"/>
          </w:tcPr>
          <w:p w14:paraId="03DCEC22" w14:textId="77777777" w:rsidR="00545CF4" w:rsidRPr="00E211E6" w:rsidRDefault="00545CF4" w:rsidP="005541A6">
            <w:pPr>
              <w:ind w:right="130"/>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7 646</w:t>
            </w:r>
            <w:r w:rsidRPr="00E211E6">
              <w:rPr>
                <w:rFonts w:asciiTheme="minorHAnsi" w:hAnsiTheme="minorHAnsi" w:cstheme="minorHAnsi"/>
                <w:color w:val="4F81BD" w:themeColor="accent1"/>
                <w:sz w:val="21"/>
                <w:szCs w:val="21"/>
              </w:rPr>
              <w:t xml:space="preserve"> Kč</w:t>
            </w:r>
          </w:p>
        </w:tc>
        <w:tc>
          <w:tcPr>
            <w:tcW w:w="1828" w:type="dxa"/>
          </w:tcPr>
          <w:p w14:paraId="4D5B7458" w14:textId="77777777" w:rsidR="00545CF4" w:rsidRDefault="00545CF4" w:rsidP="005541A6">
            <w:pPr>
              <w:ind w:right="130"/>
              <w:rPr>
                <w:rFonts w:asciiTheme="minorHAnsi" w:hAnsiTheme="minorHAnsi" w:cstheme="minorHAnsi"/>
                <w:color w:val="4F81BD" w:themeColor="accent1"/>
                <w:sz w:val="21"/>
                <w:szCs w:val="21"/>
              </w:rPr>
            </w:pPr>
            <w:r w:rsidRPr="00E211E6">
              <w:rPr>
                <w:rFonts w:asciiTheme="minorHAnsi" w:hAnsiTheme="minorHAnsi" w:cstheme="minorHAnsi"/>
                <w:color w:val="4F81BD" w:themeColor="accent1"/>
                <w:sz w:val="21"/>
                <w:szCs w:val="21"/>
              </w:rPr>
              <w:t>2020</w:t>
            </w:r>
          </w:p>
        </w:tc>
        <w:tc>
          <w:tcPr>
            <w:tcW w:w="1828" w:type="dxa"/>
          </w:tcPr>
          <w:p w14:paraId="488B4350" w14:textId="77777777" w:rsidR="00545CF4" w:rsidRDefault="00545CF4" w:rsidP="005541A6">
            <w:pPr>
              <w:ind w:right="130"/>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5 992</w:t>
            </w:r>
            <w:r w:rsidRPr="00E211E6">
              <w:rPr>
                <w:rFonts w:asciiTheme="minorHAnsi" w:hAnsiTheme="minorHAnsi" w:cstheme="minorHAnsi"/>
                <w:color w:val="4F81BD" w:themeColor="accent1"/>
                <w:sz w:val="21"/>
                <w:szCs w:val="21"/>
              </w:rPr>
              <w:t xml:space="preserve"> Kč</w:t>
            </w:r>
          </w:p>
        </w:tc>
      </w:tr>
      <w:tr w:rsidR="00545CF4" w:rsidRPr="00E211E6" w14:paraId="13711DCB" w14:textId="77777777" w:rsidTr="00BB34F0">
        <w:trPr>
          <w:trHeight w:val="358"/>
        </w:trPr>
        <w:tc>
          <w:tcPr>
            <w:tcW w:w="2167" w:type="dxa"/>
          </w:tcPr>
          <w:p w14:paraId="654F0E05" w14:textId="77777777" w:rsidR="00545CF4" w:rsidRPr="00E211E6" w:rsidRDefault="00545CF4" w:rsidP="005541A6">
            <w:pPr>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 xml:space="preserve"> 2021</w:t>
            </w:r>
          </w:p>
        </w:tc>
        <w:tc>
          <w:tcPr>
            <w:tcW w:w="1828" w:type="dxa"/>
          </w:tcPr>
          <w:p w14:paraId="24D9C2D7" w14:textId="77777777" w:rsidR="00545CF4" w:rsidRPr="00E211E6" w:rsidRDefault="00545CF4" w:rsidP="005541A6">
            <w:pPr>
              <w:ind w:right="130"/>
              <w:rPr>
                <w:rFonts w:asciiTheme="minorHAnsi" w:hAnsiTheme="minorHAnsi" w:cstheme="minorHAnsi"/>
                <w:color w:val="4F81BD" w:themeColor="accent1"/>
                <w:sz w:val="21"/>
                <w:szCs w:val="21"/>
              </w:rPr>
            </w:pPr>
            <w:r w:rsidRPr="00345D3E">
              <w:rPr>
                <w:rFonts w:asciiTheme="minorHAnsi" w:hAnsiTheme="minorHAnsi" w:cs="Arial"/>
                <w:color w:val="4F81BD" w:themeColor="accent1"/>
                <w:sz w:val="20"/>
                <w:szCs w:val="20"/>
              </w:rPr>
              <w:t>7</w:t>
            </w:r>
            <w:r>
              <w:rPr>
                <w:rFonts w:asciiTheme="minorHAnsi" w:hAnsiTheme="minorHAnsi" w:cs="Arial"/>
                <w:color w:val="4F81BD" w:themeColor="accent1"/>
                <w:sz w:val="20"/>
                <w:szCs w:val="20"/>
              </w:rPr>
              <w:t xml:space="preserve"> 206</w:t>
            </w:r>
            <w:r w:rsidRPr="00345D3E">
              <w:rPr>
                <w:rFonts w:asciiTheme="minorHAnsi" w:hAnsiTheme="minorHAnsi" w:cs="Arial"/>
                <w:color w:val="4F81BD" w:themeColor="accent1"/>
                <w:sz w:val="20"/>
                <w:szCs w:val="20"/>
              </w:rPr>
              <w:t xml:space="preserve"> Kč</w:t>
            </w:r>
          </w:p>
        </w:tc>
        <w:tc>
          <w:tcPr>
            <w:tcW w:w="1828" w:type="dxa"/>
          </w:tcPr>
          <w:p w14:paraId="51147098" w14:textId="77777777" w:rsidR="00545CF4" w:rsidRPr="00345D3E" w:rsidRDefault="00545CF4" w:rsidP="005541A6">
            <w:pPr>
              <w:ind w:right="130"/>
              <w:rPr>
                <w:rFonts w:asciiTheme="minorHAnsi" w:hAnsiTheme="minorHAnsi" w:cs="Arial"/>
                <w:color w:val="4F81BD" w:themeColor="accent1"/>
                <w:sz w:val="20"/>
                <w:szCs w:val="20"/>
              </w:rPr>
            </w:pPr>
            <w:r>
              <w:rPr>
                <w:rFonts w:asciiTheme="minorHAnsi" w:hAnsiTheme="minorHAnsi" w:cstheme="minorHAnsi"/>
                <w:color w:val="4F81BD" w:themeColor="accent1"/>
                <w:sz w:val="21"/>
                <w:szCs w:val="21"/>
              </w:rPr>
              <w:t>2021</w:t>
            </w:r>
          </w:p>
        </w:tc>
        <w:tc>
          <w:tcPr>
            <w:tcW w:w="1828" w:type="dxa"/>
          </w:tcPr>
          <w:p w14:paraId="183063CB" w14:textId="77777777" w:rsidR="00545CF4" w:rsidRPr="00345D3E" w:rsidRDefault="00545CF4" w:rsidP="005541A6">
            <w:pPr>
              <w:ind w:right="130"/>
              <w:rPr>
                <w:rFonts w:asciiTheme="minorHAnsi" w:hAnsiTheme="minorHAnsi" w:cs="Arial"/>
                <w:color w:val="4F81BD" w:themeColor="accent1"/>
                <w:sz w:val="20"/>
                <w:szCs w:val="20"/>
              </w:rPr>
            </w:pPr>
            <w:r>
              <w:rPr>
                <w:rFonts w:asciiTheme="minorHAnsi" w:hAnsiTheme="minorHAnsi" w:cs="Arial"/>
                <w:color w:val="4F81BD" w:themeColor="accent1"/>
                <w:sz w:val="20"/>
                <w:szCs w:val="20"/>
              </w:rPr>
              <w:t>5 838</w:t>
            </w:r>
            <w:r w:rsidRPr="00345D3E">
              <w:rPr>
                <w:rFonts w:asciiTheme="minorHAnsi" w:hAnsiTheme="minorHAnsi" w:cs="Arial"/>
                <w:color w:val="4F81BD" w:themeColor="accent1"/>
                <w:sz w:val="20"/>
                <w:szCs w:val="20"/>
              </w:rPr>
              <w:t xml:space="preserve"> Kč</w:t>
            </w:r>
          </w:p>
        </w:tc>
      </w:tr>
      <w:tr w:rsidR="00545CF4" w:rsidRPr="00345D3E" w14:paraId="6A029D1B" w14:textId="77777777" w:rsidTr="00BB34F0">
        <w:trPr>
          <w:trHeight w:val="358"/>
        </w:trPr>
        <w:tc>
          <w:tcPr>
            <w:tcW w:w="2167" w:type="dxa"/>
          </w:tcPr>
          <w:p w14:paraId="7590AD50" w14:textId="77777777" w:rsidR="00545CF4" w:rsidRPr="00E211E6" w:rsidRDefault="00545CF4" w:rsidP="005541A6">
            <w:pPr>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2022</w:t>
            </w:r>
          </w:p>
        </w:tc>
        <w:tc>
          <w:tcPr>
            <w:tcW w:w="1828" w:type="dxa"/>
          </w:tcPr>
          <w:p w14:paraId="4A55DB96" w14:textId="77777777" w:rsidR="00545CF4" w:rsidRPr="00345D3E" w:rsidRDefault="00545CF4" w:rsidP="005541A6">
            <w:pPr>
              <w:ind w:right="130"/>
              <w:rPr>
                <w:rFonts w:asciiTheme="minorHAnsi" w:hAnsiTheme="minorHAnsi" w:cstheme="minorHAnsi"/>
                <w:color w:val="4F81BD" w:themeColor="accent1"/>
                <w:sz w:val="21"/>
                <w:szCs w:val="21"/>
              </w:rPr>
            </w:pPr>
            <w:r w:rsidRPr="00345D3E">
              <w:rPr>
                <w:rFonts w:asciiTheme="minorHAnsi" w:hAnsiTheme="minorHAnsi" w:cs="Arial"/>
                <w:color w:val="4F81BD" w:themeColor="accent1"/>
                <w:sz w:val="20"/>
                <w:szCs w:val="20"/>
              </w:rPr>
              <w:t>7</w:t>
            </w:r>
            <w:r>
              <w:rPr>
                <w:rFonts w:asciiTheme="minorHAnsi" w:hAnsiTheme="minorHAnsi" w:cs="Arial"/>
                <w:color w:val="4F81BD" w:themeColor="accent1"/>
                <w:sz w:val="20"/>
                <w:szCs w:val="20"/>
              </w:rPr>
              <w:t xml:space="preserve">  349</w:t>
            </w:r>
            <w:r w:rsidRPr="00345D3E">
              <w:rPr>
                <w:rFonts w:asciiTheme="minorHAnsi" w:hAnsiTheme="minorHAnsi" w:cs="Arial"/>
                <w:color w:val="4F81BD" w:themeColor="accent1"/>
                <w:sz w:val="20"/>
                <w:szCs w:val="20"/>
              </w:rPr>
              <w:t xml:space="preserve"> Kč</w:t>
            </w:r>
          </w:p>
        </w:tc>
        <w:tc>
          <w:tcPr>
            <w:tcW w:w="1828" w:type="dxa"/>
          </w:tcPr>
          <w:p w14:paraId="5AD5D757" w14:textId="77777777" w:rsidR="00545CF4" w:rsidRPr="00345D3E" w:rsidRDefault="00545CF4" w:rsidP="005541A6">
            <w:pPr>
              <w:ind w:right="130"/>
              <w:rPr>
                <w:rFonts w:asciiTheme="minorHAnsi" w:hAnsiTheme="minorHAnsi" w:cs="Arial"/>
                <w:color w:val="4F81BD" w:themeColor="accent1"/>
                <w:sz w:val="20"/>
                <w:szCs w:val="20"/>
              </w:rPr>
            </w:pPr>
            <w:r>
              <w:rPr>
                <w:rFonts w:asciiTheme="minorHAnsi" w:hAnsiTheme="minorHAnsi" w:cstheme="minorHAnsi"/>
                <w:color w:val="4F81BD" w:themeColor="accent1"/>
                <w:sz w:val="21"/>
                <w:szCs w:val="21"/>
              </w:rPr>
              <w:t>2022</w:t>
            </w:r>
          </w:p>
        </w:tc>
        <w:tc>
          <w:tcPr>
            <w:tcW w:w="1828" w:type="dxa"/>
          </w:tcPr>
          <w:p w14:paraId="58B31A3E" w14:textId="77777777" w:rsidR="00545CF4" w:rsidRPr="00345D3E" w:rsidRDefault="00545CF4" w:rsidP="005541A6">
            <w:pPr>
              <w:ind w:right="130"/>
              <w:rPr>
                <w:rFonts w:asciiTheme="minorHAnsi" w:hAnsiTheme="minorHAnsi" w:cs="Arial"/>
                <w:color w:val="4F81BD" w:themeColor="accent1"/>
                <w:sz w:val="20"/>
                <w:szCs w:val="20"/>
              </w:rPr>
            </w:pPr>
            <w:r>
              <w:rPr>
                <w:rFonts w:asciiTheme="minorHAnsi" w:hAnsiTheme="minorHAnsi" w:cs="Arial"/>
                <w:color w:val="4F81BD" w:themeColor="accent1"/>
                <w:sz w:val="20"/>
                <w:szCs w:val="20"/>
              </w:rPr>
              <w:t>5 833</w:t>
            </w:r>
            <w:r w:rsidRPr="00345D3E">
              <w:rPr>
                <w:rFonts w:asciiTheme="minorHAnsi" w:hAnsiTheme="minorHAnsi" w:cs="Arial"/>
                <w:color w:val="4F81BD" w:themeColor="accent1"/>
                <w:sz w:val="20"/>
                <w:szCs w:val="20"/>
              </w:rPr>
              <w:t xml:space="preserve"> Kč</w:t>
            </w:r>
          </w:p>
        </w:tc>
      </w:tr>
      <w:tr w:rsidR="00545CF4" w:rsidRPr="00345D3E" w14:paraId="2E0EC6E6" w14:textId="77777777" w:rsidTr="00BB34F0">
        <w:trPr>
          <w:trHeight w:val="349"/>
        </w:trPr>
        <w:tc>
          <w:tcPr>
            <w:tcW w:w="2167" w:type="dxa"/>
          </w:tcPr>
          <w:p w14:paraId="0151F3D2" w14:textId="77777777" w:rsidR="00545CF4" w:rsidRPr="00E211E6" w:rsidRDefault="00545CF4" w:rsidP="005541A6">
            <w:pPr>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2023</w:t>
            </w:r>
          </w:p>
        </w:tc>
        <w:tc>
          <w:tcPr>
            <w:tcW w:w="1828" w:type="dxa"/>
          </w:tcPr>
          <w:p w14:paraId="40037F0E" w14:textId="77777777" w:rsidR="00545CF4" w:rsidRPr="00345D3E" w:rsidRDefault="00545CF4" w:rsidP="005541A6">
            <w:pPr>
              <w:ind w:right="130"/>
              <w:rPr>
                <w:rFonts w:asciiTheme="minorHAnsi" w:hAnsiTheme="minorHAnsi" w:cstheme="minorHAnsi"/>
                <w:color w:val="4F81BD" w:themeColor="accent1"/>
                <w:sz w:val="21"/>
                <w:szCs w:val="21"/>
              </w:rPr>
            </w:pPr>
            <w:r w:rsidRPr="00345D3E">
              <w:rPr>
                <w:rFonts w:asciiTheme="minorHAnsi" w:hAnsiTheme="minorHAnsi" w:cs="Arial"/>
                <w:color w:val="4F81BD" w:themeColor="accent1"/>
                <w:sz w:val="20"/>
                <w:szCs w:val="20"/>
              </w:rPr>
              <w:t>7</w:t>
            </w:r>
            <w:r>
              <w:rPr>
                <w:rFonts w:asciiTheme="minorHAnsi" w:hAnsiTheme="minorHAnsi" w:cs="Arial"/>
                <w:color w:val="4F81BD" w:themeColor="accent1"/>
                <w:sz w:val="20"/>
                <w:szCs w:val="20"/>
              </w:rPr>
              <w:t xml:space="preserve"> 461</w:t>
            </w:r>
            <w:r w:rsidRPr="00345D3E">
              <w:rPr>
                <w:rFonts w:asciiTheme="minorHAnsi" w:hAnsiTheme="minorHAnsi" w:cs="Arial"/>
                <w:color w:val="4F81BD" w:themeColor="accent1"/>
                <w:sz w:val="20"/>
                <w:szCs w:val="20"/>
              </w:rPr>
              <w:t xml:space="preserve"> Kč</w:t>
            </w:r>
          </w:p>
        </w:tc>
        <w:tc>
          <w:tcPr>
            <w:tcW w:w="1828" w:type="dxa"/>
          </w:tcPr>
          <w:p w14:paraId="612E05AA" w14:textId="77777777" w:rsidR="00545CF4" w:rsidRPr="00345D3E" w:rsidRDefault="00545CF4" w:rsidP="005541A6">
            <w:pPr>
              <w:ind w:right="130"/>
              <w:rPr>
                <w:rFonts w:asciiTheme="minorHAnsi" w:hAnsiTheme="minorHAnsi" w:cs="Arial"/>
                <w:color w:val="4F81BD" w:themeColor="accent1"/>
                <w:sz w:val="20"/>
                <w:szCs w:val="20"/>
              </w:rPr>
            </w:pPr>
            <w:r>
              <w:rPr>
                <w:rFonts w:asciiTheme="minorHAnsi" w:hAnsiTheme="minorHAnsi" w:cstheme="minorHAnsi"/>
                <w:color w:val="4F81BD" w:themeColor="accent1"/>
                <w:sz w:val="21"/>
                <w:szCs w:val="21"/>
              </w:rPr>
              <w:t>2023</w:t>
            </w:r>
          </w:p>
        </w:tc>
        <w:tc>
          <w:tcPr>
            <w:tcW w:w="1828" w:type="dxa"/>
          </w:tcPr>
          <w:p w14:paraId="3D9C3E4C" w14:textId="77777777" w:rsidR="00545CF4" w:rsidRPr="00345D3E" w:rsidRDefault="00545CF4" w:rsidP="005541A6">
            <w:pPr>
              <w:ind w:right="130"/>
              <w:rPr>
                <w:rFonts w:asciiTheme="minorHAnsi" w:hAnsiTheme="minorHAnsi" w:cs="Arial"/>
                <w:color w:val="4F81BD" w:themeColor="accent1"/>
                <w:sz w:val="20"/>
                <w:szCs w:val="20"/>
              </w:rPr>
            </w:pPr>
            <w:r>
              <w:rPr>
                <w:rFonts w:asciiTheme="minorHAnsi" w:hAnsiTheme="minorHAnsi" w:cs="Arial"/>
                <w:color w:val="4F81BD" w:themeColor="accent1"/>
                <w:sz w:val="20"/>
                <w:szCs w:val="20"/>
              </w:rPr>
              <w:t>6 181</w:t>
            </w:r>
            <w:r w:rsidRPr="00345D3E">
              <w:rPr>
                <w:rFonts w:asciiTheme="minorHAnsi" w:hAnsiTheme="minorHAnsi" w:cs="Arial"/>
                <w:color w:val="4F81BD" w:themeColor="accent1"/>
                <w:sz w:val="20"/>
                <w:szCs w:val="20"/>
              </w:rPr>
              <w:t xml:space="preserve"> Kč</w:t>
            </w:r>
          </w:p>
        </w:tc>
      </w:tr>
      <w:tr w:rsidR="00545CF4" w:rsidRPr="00345D3E" w14:paraId="6619602A" w14:textId="77777777" w:rsidTr="00BB34F0">
        <w:trPr>
          <w:trHeight w:val="358"/>
        </w:trPr>
        <w:tc>
          <w:tcPr>
            <w:tcW w:w="2167" w:type="dxa"/>
          </w:tcPr>
          <w:p w14:paraId="07F11E81" w14:textId="77777777" w:rsidR="00545CF4" w:rsidRDefault="00545CF4" w:rsidP="005541A6">
            <w:pPr>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2024</w:t>
            </w:r>
          </w:p>
        </w:tc>
        <w:tc>
          <w:tcPr>
            <w:tcW w:w="1828" w:type="dxa"/>
          </w:tcPr>
          <w:p w14:paraId="482BF023" w14:textId="77777777" w:rsidR="00545CF4" w:rsidRPr="00345D3E" w:rsidRDefault="00545CF4" w:rsidP="005541A6">
            <w:pPr>
              <w:ind w:right="130"/>
              <w:rPr>
                <w:rFonts w:asciiTheme="minorHAnsi" w:hAnsiTheme="minorHAnsi" w:cs="Arial"/>
                <w:color w:val="4F81BD" w:themeColor="accent1"/>
                <w:sz w:val="20"/>
                <w:szCs w:val="20"/>
              </w:rPr>
            </w:pPr>
            <w:r>
              <w:rPr>
                <w:rFonts w:asciiTheme="minorHAnsi" w:hAnsiTheme="minorHAnsi" w:cs="Arial"/>
                <w:color w:val="4F81BD" w:themeColor="accent1"/>
                <w:sz w:val="20"/>
                <w:szCs w:val="20"/>
              </w:rPr>
              <w:t>7 726K</w:t>
            </w:r>
            <w:r w:rsidRPr="00345D3E">
              <w:rPr>
                <w:rFonts w:asciiTheme="minorHAnsi" w:hAnsiTheme="minorHAnsi" w:cs="Arial"/>
                <w:color w:val="4F81BD" w:themeColor="accent1"/>
                <w:sz w:val="20"/>
                <w:szCs w:val="20"/>
              </w:rPr>
              <w:t>č</w:t>
            </w:r>
          </w:p>
        </w:tc>
        <w:tc>
          <w:tcPr>
            <w:tcW w:w="1828" w:type="dxa"/>
          </w:tcPr>
          <w:p w14:paraId="58A84E2C" w14:textId="77777777" w:rsidR="00545CF4" w:rsidRDefault="00545CF4" w:rsidP="005541A6">
            <w:pPr>
              <w:ind w:right="130"/>
              <w:rPr>
                <w:rFonts w:asciiTheme="minorHAnsi" w:hAnsiTheme="minorHAnsi" w:cs="Arial"/>
                <w:color w:val="4F81BD" w:themeColor="accent1"/>
                <w:sz w:val="20"/>
                <w:szCs w:val="20"/>
              </w:rPr>
            </w:pPr>
            <w:r>
              <w:rPr>
                <w:rFonts w:asciiTheme="minorHAnsi" w:hAnsiTheme="minorHAnsi" w:cstheme="minorHAnsi"/>
                <w:color w:val="4F81BD" w:themeColor="accent1"/>
                <w:sz w:val="21"/>
                <w:szCs w:val="21"/>
              </w:rPr>
              <w:t>2024</w:t>
            </w:r>
          </w:p>
        </w:tc>
        <w:tc>
          <w:tcPr>
            <w:tcW w:w="1828" w:type="dxa"/>
          </w:tcPr>
          <w:p w14:paraId="4BCBD78F" w14:textId="77777777" w:rsidR="00545CF4" w:rsidRDefault="00545CF4" w:rsidP="005541A6">
            <w:pPr>
              <w:ind w:right="130"/>
              <w:rPr>
                <w:rFonts w:asciiTheme="minorHAnsi" w:hAnsiTheme="minorHAnsi" w:cs="Arial"/>
                <w:color w:val="4F81BD" w:themeColor="accent1"/>
                <w:sz w:val="20"/>
                <w:szCs w:val="20"/>
              </w:rPr>
            </w:pPr>
            <w:r>
              <w:rPr>
                <w:rFonts w:asciiTheme="minorHAnsi" w:hAnsiTheme="minorHAnsi" w:cs="Arial"/>
                <w:color w:val="4F81BD" w:themeColor="accent1"/>
                <w:sz w:val="20"/>
                <w:szCs w:val="20"/>
              </w:rPr>
              <w:t>6 089</w:t>
            </w:r>
            <w:r w:rsidRPr="00345D3E">
              <w:rPr>
                <w:rFonts w:asciiTheme="minorHAnsi" w:hAnsiTheme="minorHAnsi" w:cs="Arial"/>
                <w:color w:val="4F81BD" w:themeColor="accent1"/>
                <w:sz w:val="20"/>
                <w:szCs w:val="20"/>
              </w:rPr>
              <w:t xml:space="preserve"> </w:t>
            </w:r>
            <w:r>
              <w:rPr>
                <w:rFonts w:asciiTheme="minorHAnsi" w:hAnsiTheme="minorHAnsi" w:cs="Arial"/>
                <w:color w:val="4F81BD" w:themeColor="accent1"/>
                <w:sz w:val="20"/>
                <w:szCs w:val="20"/>
              </w:rPr>
              <w:t>K</w:t>
            </w:r>
            <w:r w:rsidRPr="00345D3E">
              <w:rPr>
                <w:rFonts w:asciiTheme="minorHAnsi" w:hAnsiTheme="minorHAnsi" w:cs="Arial"/>
                <w:color w:val="4F81BD" w:themeColor="accent1"/>
                <w:sz w:val="20"/>
                <w:szCs w:val="20"/>
              </w:rPr>
              <w:t>č</w:t>
            </w:r>
          </w:p>
        </w:tc>
      </w:tr>
      <w:tr w:rsidR="00545CF4" w:rsidRPr="00345D3E" w14:paraId="6D467011" w14:textId="77777777" w:rsidTr="00BB34F0">
        <w:trPr>
          <w:trHeight w:val="349"/>
        </w:trPr>
        <w:tc>
          <w:tcPr>
            <w:tcW w:w="2167" w:type="dxa"/>
          </w:tcPr>
          <w:p w14:paraId="768B1594" w14:textId="77777777" w:rsidR="00545CF4" w:rsidRPr="00E211E6" w:rsidRDefault="00545CF4" w:rsidP="005541A6">
            <w:pPr>
              <w:ind w:right="130"/>
              <w:jc w:val="center"/>
              <w:rPr>
                <w:rFonts w:asciiTheme="minorHAnsi" w:hAnsiTheme="minorHAnsi" w:cstheme="minorHAnsi"/>
                <w:color w:val="4F81BD" w:themeColor="accent1"/>
                <w:sz w:val="21"/>
                <w:szCs w:val="21"/>
              </w:rPr>
            </w:pPr>
            <w:r w:rsidRPr="00E211E6">
              <w:rPr>
                <w:rFonts w:asciiTheme="minorHAnsi" w:hAnsiTheme="minorHAnsi" w:cstheme="minorHAnsi"/>
                <w:color w:val="4F81BD" w:themeColor="accent1"/>
                <w:sz w:val="21"/>
                <w:szCs w:val="21"/>
              </w:rPr>
              <w:t>Průměr za celé sledování</w:t>
            </w:r>
          </w:p>
        </w:tc>
        <w:tc>
          <w:tcPr>
            <w:tcW w:w="1828" w:type="dxa"/>
          </w:tcPr>
          <w:p w14:paraId="50C7C54D" w14:textId="77777777" w:rsidR="00545CF4" w:rsidRPr="00345D3E" w:rsidRDefault="00545CF4" w:rsidP="005541A6">
            <w:pPr>
              <w:ind w:right="130"/>
              <w:rPr>
                <w:rFonts w:asciiTheme="minorHAnsi" w:hAnsiTheme="minorHAnsi" w:cstheme="minorHAnsi"/>
                <w:color w:val="4F81BD" w:themeColor="accent1"/>
                <w:sz w:val="21"/>
                <w:szCs w:val="21"/>
              </w:rPr>
            </w:pPr>
            <w:r>
              <w:rPr>
                <w:rFonts w:asciiTheme="minorHAnsi" w:hAnsiTheme="minorHAnsi" w:cs="Arial"/>
                <w:color w:val="4F81BD" w:themeColor="accent1"/>
                <w:sz w:val="20"/>
                <w:szCs w:val="20"/>
              </w:rPr>
              <w:t>7 515,80</w:t>
            </w:r>
            <w:r w:rsidRPr="00345D3E">
              <w:rPr>
                <w:rFonts w:asciiTheme="minorHAnsi" w:hAnsiTheme="minorHAnsi" w:cs="Arial"/>
                <w:color w:val="4F81BD" w:themeColor="accent1"/>
                <w:sz w:val="20"/>
                <w:szCs w:val="20"/>
              </w:rPr>
              <w:t xml:space="preserve"> Kč</w:t>
            </w:r>
          </w:p>
        </w:tc>
        <w:tc>
          <w:tcPr>
            <w:tcW w:w="1828" w:type="dxa"/>
          </w:tcPr>
          <w:p w14:paraId="1AE9029A" w14:textId="77777777" w:rsidR="00545CF4" w:rsidRDefault="00545CF4" w:rsidP="005541A6">
            <w:pPr>
              <w:ind w:right="130"/>
              <w:rPr>
                <w:rFonts w:asciiTheme="minorHAnsi" w:hAnsiTheme="minorHAnsi" w:cs="Arial"/>
                <w:color w:val="4F81BD" w:themeColor="accent1"/>
                <w:sz w:val="20"/>
                <w:szCs w:val="20"/>
              </w:rPr>
            </w:pPr>
            <w:r w:rsidRPr="00E211E6">
              <w:rPr>
                <w:rFonts w:asciiTheme="minorHAnsi" w:hAnsiTheme="minorHAnsi" w:cstheme="minorHAnsi"/>
                <w:color w:val="4F81BD" w:themeColor="accent1"/>
                <w:sz w:val="21"/>
                <w:szCs w:val="21"/>
              </w:rPr>
              <w:t>Průměr za celé sledování</w:t>
            </w:r>
          </w:p>
        </w:tc>
        <w:tc>
          <w:tcPr>
            <w:tcW w:w="1828" w:type="dxa"/>
          </w:tcPr>
          <w:p w14:paraId="7815896F" w14:textId="77777777" w:rsidR="00545CF4" w:rsidRDefault="00545CF4" w:rsidP="005541A6">
            <w:pPr>
              <w:ind w:right="130"/>
              <w:rPr>
                <w:rFonts w:asciiTheme="minorHAnsi" w:hAnsiTheme="minorHAnsi" w:cs="Arial"/>
                <w:color w:val="4F81BD" w:themeColor="accent1"/>
                <w:sz w:val="20"/>
                <w:szCs w:val="20"/>
              </w:rPr>
            </w:pPr>
            <w:r>
              <w:rPr>
                <w:rFonts w:asciiTheme="minorHAnsi" w:hAnsiTheme="minorHAnsi" w:cs="Arial"/>
                <w:color w:val="4F81BD" w:themeColor="accent1"/>
                <w:sz w:val="20"/>
                <w:szCs w:val="20"/>
              </w:rPr>
              <w:t>6 007,60</w:t>
            </w:r>
            <w:r w:rsidRPr="00345D3E">
              <w:rPr>
                <w:rFonts w:asciiTheme="minorHAnsi" w:hAnsiTheme="minorHAnsi" w:cs="Arial"/>
                <w:color w:val="4F81BD" w:themeColor="accent1"/>
                <w:sz w:val="20"/>
                <w:szCs w:val="20"/>
              </w:rPr>
              <w:t xml:space="preserve"> Kč</w:t>
            </w:r>
          </w:p>
        </w:tc>
      </w:tr>
    </w:tbl>
    <w:p w14:paraId="6FDE6C86" w14:textId="77777777" w:rsidR="008A5443" w:rsidRPr="005541A6" w:rsidRDefault="008A5443" w:rsidP="00B20F7B">
      <w:pPr>
        <w:spacing w:after="120"/>
        <w:ind w:right="130"/>
        <w:rPr>
          <w:rFonts w:asciiTheme="minorHAnsi" w:hAnsiTheme="minorHAnsi" w:cstheme="minorHAnsi"/>
          <w:sz w:val="21"/>
          <w:szCs w:val="21"/>
        </w:rPr>
      </w:pPr>
    </w:p>
    <w:p w14:paraId="52FBA9E5" w14:textId="34F3BA4D" w:rsidR="0084046D" w:rsidRPr="005541A6" w:rsidRDefault="0084046D" w:rsidP="0084046D">
      <w:pPr>
        <w:spacing w:after="120"/>
        <w:ind w:right="130"/>
        <w:jc w:val="both"/>
        <w:rPr>
          <w:rFonts w:asciiTheme="minorHAnsi" w:hAnsiTheme="minorHAnsi" w:cstheme="minorHAnsi"/>
          <w:b/>
          <w:sz w:val="21"/>
          <w:szCs w:val="21"/>
        </w:rPr>
      </w:pPr>
      <w:r w:rsidRPr="005541A6">
        <w:rPr>
          <w:rFonts w:asciiTheme="minorHAnsi" w:hAnsiTheme="minorHAnsi" w:cstheme="minorHAnsi"/>
          <w:b/>
          <w:sz w:val="21"/>
          <w:szCs w:val="21"/>
        </w:rPr>
        <w:t>Změny v pojištění odpovědnosti z provozu vozidla</w:t>
      </w:r>
    </w:p>
    <w:p w14:paraId="75A0F05C" w14:textId="089F5F36" w:rsidR="0084046D" w:rsidRPr="005541A6" w:rsidRDefault="0084046D" w:rsidP="0084046D">
      <w:pPr>
        <w:spacing w:after="120"/>
        <w:ind w:right="130"/>
        <w:jc w:val="both"/>
        <w:rPr>
          <w:rFonts w:asciiTheme="minorHAnsi" w:hAnsiTheme="minorHAnsi" w:cstheme="minorHAnsi"/>
          <w:sz w:val="21"/>
          <w:szCs w:val="21"/>
        </w:rPr>
      </w:pPr>
      <w:r w:rsidRPr="005541A6">
        <w:rPr>
          <w:rFonts w:asciiTheme="minorHAnsi" w:hAnsiTheme="minorHAnsi" w:cstheme="minorHAnsi"/>
          <w:sz w:val="21"/>
          <w:szCs w:val="21"/>
        </w:rPr>
        <w:t xml:space="preserve">Na základě novely tzv. motorové směrnice </w:t>
      </w:r>
      <w:r w:rsidR="0016561D">
        <w:rPr>
          <w:rFonts w:asciiTheme="minorHAnsi" w:hAnsiTheme="minorHAnsi" w:cstheme="minorHAnsi"/>
          <w:sz w:val="21"/>
          <w:szCs w:val="21"/>
        </w:rPr>
        <w:t xml:space="preserve">došlo v dosavadní právní úpravě </w:t>
      </w:r>
      <w:r w:rsidRPr="005541A6">
        <w:rPr>
          <w:rFonts w:asciiTheme="minorHAnsi" w:hAnsiTheme="minorHAnsi" w:cstheme="minorHAnsi"/>
          <w:sz w:val="21"/>
          <w:szCs w:val="21"/>
        </w:rPr>
        <w:t xml:space="preserve">pojištění odpovědnosti z provozu vozidla </w:t>
      </w:r>
      <w:r w:rsidR="0016561D">
        <w:rPr>
          <w:rFonts w:asciiTheme="minorHAnsi" w:hAnsiTheme="minorHAnsi" w:cstheme="minorHAnsi"/>
          <w:sz w:val="21"/>
          <w:szCs w:val="21"/>
        </w:rPr>
        <w:t>k </w:t>
      </w:r>
      <w:r w:rsidRPr="005541A6">
        <w:rPr>
          <w:rFonts w:asciiTheme="minorHAnsi" w:hAnsiTheme="minorHAnsi" w:cstheme="minorHAnsi"/>
          <w:sz w:val="21"/>
          <w:szCs w:val="21"/>
        </w:rPr>
        <w:t>několik</w:t>
      </w:r>
      <w:r w:rsidR="0016561D">
        <w:rPr>
          <w:rFonts w:asciiTheme="minorHAnsi" w:hAnsiTheme="minorHAnsi" w:cstheme="minorHAnsi"/>
          <w:sz w:val="21"/>
          <w:szCs w:val="21"/>
        </w:rPr>
        <w:t>a významným</w:t>
      </w:r>
      <w:r w:rsidRPr="005541A6">
        <w:rPr>
          <w:rFonts w:asciiTheme="minorHAnsi" w:hAnsiTheme="minorHAnsi" w:cstheme="minorHAnsi"/>
          <w:sz w:val="21"/>
          <w:szCs w:val="21"/>
        </w:rPr>
        <w:t xml:space="preserve"> změn</w:t>
      </w:r>
      <w:r w:rsidR="0016561D">
        <w:rPr>
          <w:rFonts w:asciiTheme="minorHAnsi" w:hAnsiTheme="minorHAnsi" w:cstheme="minorHAnsi"/>
          <w:sz w:val="21"/>
          <w:szCs w:val="21"/>
        </w:rPr>
        <w:t>ám</w:t>
      </w:r>
      <w:r w:rsidRPr="005541A6">
        <w:rPr>
          <w:rFonts w:asciiTheme="minorHAnsi" w:hAnsiTheme="minorHAnsi" w:cstheme="minorHAnsi"/>
          <w:sz w:val="21"/>
          <w:szCs w:val="21"/>
        </w:rPr>
        <w:t xml:space="preserve">. </w:t>
      </w:r>
      <w:r w:rsidRPr="005541A6">
        <w:rPr>
          <w:rFonts w:asciiTheme="minorHAnsi" w:hAnsiTheme="minorHAnsi" w:cstheme="minorHAnsi"/>
          <w:color w:val="000000"/>
          <w:sz w:val="21"/>
          <w:szCs w:val="21"/>
        </w:rPr>
        <w:t>Jedná se především o rozšíření okruhu vozidel podléhajících povinnosti pojištění odpovědnosti.</w:t>
      </w:r>
    </w:p>
    <w:p w14:paraId="284E1760" w14:textId="257F23E1" w:rsidR="0084046D" w:rsidRPr="005541A6" w:rsidRDefault="0084046D" w:rsidP="0016561D">
      <w:pPr>
        <w:pStyle w:val="Normlnweb"/>
        <w:shd w:val="clear" w:color="auto" w:fill="FFFFFF"/>
        <w:spacing w:before="120" w:beforeAutospacing="0" w:after="120" w:afterAutospacing="0"/>
        <w:jc w:val="both"/>
        <w:textAlignment w:val="baseline"/>
        <w:rPr>
          <w:rFonts w:asciiTheme="minorHAnsi" w:hAnsiTheme="minorHAnsi" w:cstheme="minorHAnsi"/>
          <w:color w:val="000000"/>
          <w:sz w:val="21"/>
          <w:szCs w:val="21"/>
        </w:rPr>
      </w:pPr>
      <w:r w:rsidRPr="005541A6">
        <w:rPr>
          <w:rFonts w:asciiTheme="minorHAnsi" w:hAnsiTheme="minorHAnsi" w:cstheme="minorHAnsi"/>
          <w:color w:val="000000"/>
          <w:sz w:val="21"/>
          <w:szCs w:val="21"/>
        </w:rPr>
        <w:t xml:space="preserve">Nově se za motorová vozidla pro účely pojištění považují ta, kde je motor hlavním zdrojem pohybu. Pojistit bude nově zapotřebí elektrické koloběžky či Segwaye. Elektrokola budou z pojištění vyňata, protože jejich primárním zdrojem energie není motor, ale šlapání. Výjimkou budou také traktory pohybující se výhradně na soukromém pozemku, který je veřejnosti nepřístupný. Pokud ovšem vyjedou mimo něj, podléhají i ony povinnosti pojištění. </w:t>
      </w:r>
    </w:p>
    <w:p w14:paraId="56E39265" w14:textId="77777777" w:rsidR="0084046D" w:rsidRPr="005541A6" w:rsidRDefault="0084046D" w:rsidP="0084046D">
      <w:pPr>
        <w:pStyle w:val="Normlnweb"/>
        <w:shd w:val="clear" w:color="auto" w:fill="FFFFFF"/>
        <w:spacing w:before="0" w:beforeAutospacing="0" w:after="0" w:afterAutospacing="0"/>
        <w:jc w:val="both"/>
        <w:textAlignment w:val="baseline"/>
        <w:rPr>
          <w:rFonts w:asciiTheme="minorHAnsi" w:hAnsiTheme="minorHAnsi" w:cstheme="minorHAnsi"/>
          <w:color w:val="000000"/>
          <w:sz w:val="21"/>
          <w:szCs w:val="21"/>
        </w:rPr>
      </w:pPr>
      <w:r w:rsidRPr="005541A6">
        <w:rPr>
          <w:rFonts w:asciiTheme="minorHAnsi" w:hAnsiTheme="minorHAnsi" w:cstheme="minorHAnsi"/>
          <w:color w:val="000000"/>
          <w:sz w:val="21"/>
          <w:szCs w:val="21"/>
        </w:rPr>
        <w:t>Další kategorií vyňatou z povinnosti pojištění jsou vozidla při účasti na organizovaném motoristickém závodu, avšak ve vymezeném prostoru mimo běžný provoz vozidel. Jde především o uzavřené motoristické tratě a dráhy, při kterých není řidič povinen dodržovat silniční pravidla. Povinností pořadatele motorsportu však bude zajistit pojištění podle zvláštního ustanovení. Nově se také přenáší povinnost sjednat pojištění odpovědnosti z vlastníka vozidla na jeho skutečného provozovatele.</w:t>
      </w:r>
    </w:p>
    <w:p w14:paraId="6964E80D" w14:textId="215AAFA2" w:rsidR="0084046D" w:rsidRPr="0016561D" w:rsidRDefault="0084046D" w:rsidP="0016561D">
      <w:pPr>
        <w:pStyle w:val="Normlnweb"/>
        <w:shd w:val="clear" w:color="auto" w:fill="FFFFFF"/>
        <w:spacing w:before="120" w:beforeAutospacing="0" w:after="0" w:afterAutospacing="0"/>
        <w:jc w:val="both"/>
        <w:textAlignment w:val="baseline"/>
        <w:rPr>
          <w:rFonts w:asciiTheme="minorHAnsi" w:hAnsiTheme="minorHAnsi" w:cstheme="minorHAnsi"/>
          <w:color w:val="000000"/>
          <w:sz w:val="21"/>
          <w:szCs w:val="21"/>
        </w:rPr>
      </w:pPr>
      <w:r w:rsidRPr="005541A6">
        <w:rPr>
          <w:rFonts w:asciiTheme="minorHAnsi" w:hAnsiTheme="minorHAnsi" w:cstheme="minorHAnsi"/>
          <w:color w:val="000000"/>
          <w:sz w:val="21"/>
          <w:szCs w:val="21"/>
        </w:rPr>
        <w:t>Zákon také zvyšuje minimální limity v případě újmy na zdraví, smrti nebo majetkových š</w:t>
      </w:r>
      <w:r w:rsidR="00487579" w:rsidRPr="005541A6">
        <w:rPr>
          <w:rFonts w:asciiTheme="minorHAnsi" w:hAnsiTheme="minorHAnsi" w:cstheme="minorHAnsi"/>
          <w:color w:val="000000"/>
          <w:sz w:val="21"/>
          <w:szCs w:val="21"/>
        </w:rPr>
        <w:t>kod, a to z nynějších 35 milionů  na 50 milionů korun.</w:t>
      </w:r>
      <w:r w:rsidRPr="005541A6">
        <w:rPr>
          <w:rFonts w:asciiTheme="minorHAnsi" w:hAnsiTheme="minorHAnsi" w:cstheme="minorHAnsi"/>
          <w:color w:val="000000"/>
          <w:sz w:val="21"/>
          <w:szCs w:val="21"/>
        </w:rPr>
        <w:t xml:space="preserve"> </w:t>
      </w:r>
    </w:p>
    <w:p w14:paraId="4E7F8CBF" w14:textId="77777777" w:rsidR="00B20F7B" w:rsidRPr="00AD79CC" w:rsidRDefault="00B20F7B" w:rsidP="00EE591F">
      <w:pPr>
        <w:pBdr>
          <w:top w:val="single" w:sz="4" w:space="1" w:color="auto"/>
        </w:pBdr>
        <w:spacing w:before="120"/>
        <w:rPr>
          <w:rFonts w:asciiTheme="minorHAnsi" w:hAnsiTheme="minorHAnsi" w:cstheme="minorHAnsi"/>
          <w:color w:val="000000" w:themeColor="text1"/>
          <w:sz w:val="21"/>
          <w:szCs w:val="21"/>
        </w:rPr>
      </w:pPr>
      <w:r w:rsidRPr="00AD79CC">
        <w:rPr>
          <w:rFonts w:asciiTheme="minorHAnsi" w:hAnsiTheme="minorHAnsi" w:cstheme="minorHAnsi"/>
          <w:color w:val="000000" w:themeColor="text1"/>
          <w:sz w:val="21"/>
          <w:szCs w:val="21"/>
        </w:rPr>
        <w:t>POVIndex byl poprvé spuštěn v srpnu roku 2019. Od svého počátku sleduje vývoj nákladů na povinné ručení pro řidiče bez historie, ať už se jedná o nového řidiče, nebo o řidiče, který donedávna užíval služební vozidlo. Broker Consulting POVIndex je počítán odlišnou metodikou, než jako používá ČKP. Pro vizualizaci je zvolena značka vozu Škoda Octavia 1,6 TDI, 85 kW. POVIndex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POVIndexu sledovat, zda pojišťovny základní sazby u typického vozu spíše zdražují, nebo zlevňují.</w:t>
      </w:r>
    </w:p>
    <w:p w14:paraId="056704B7" w14:textId="10689440" w:rsidR="00B20F7B" w:rsidRDefault="00B20F7B" w:rsidP="00B20F7B">
      <w:pPr>
        <w:pStyle w:val="Zkladntext"/>
        <w:spacing w:before="240" w:line="237" w:lineRule="auto"/>
        <w:rPr>
          <w:rFonts w:asciiTheme="minorHAnsi" w:hAnsiTheme="minorHAnsi" w:cstheme="minorHAnsi"/>
          <w:sz w:val="21"/>
          <w:szCs w:val="21"/>
        </w:rPr>
      </w:pPr>
      <w:r w:rsidRPr="00AD79CC">
        <w:rPr>
          <w:rFonts w:asciiTheme="minorHAnsi" w:hAnsiTheme="minorHAnsi" w:cstheme="minorHAnsi"/>
          <w:b/>
          <w:sz w:val="21"/>
          <w:szCs w:val="21"/>
        </w:rPr>
        <w:lastRenderedPageBreak/>
        <w:t>Broker Consulting POVIndex</w:t>
      </w:r>
      <w:r w:rsidRPr="00AD79CC">
        <w:rPr>
          <w:rFonts w:asciiTheme="minorHAnsi" w:hAnsiTheme="minorHAnsi" w:cstheme="minorHAnsi"/>
          <w:sz w:val="21"/>
          <w:szCs w:val="21"/>
        </w:rPr>
        <w:t xml:space="preserve"> je založen na odlišné metodice výpočtu, než jakou používá ČKP. Jeho hodnota nevychází z průměru hodnot celé řady veličin, ale z menšího množství parametrů. POVIndex ukazuje průměrnou cenu za typické povinné ručení pro nový vůz Škoda Octavia 1,6 TDI, 85 kW. Typ vozu byl vybrán proto, že je typickým zástupcem vozů, které používají české domácnosti. Pojištění zahrnutá do POVIndexu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0572A7E3" w14:textId="6C510BF2" w:rsidR="00356FFC" w:rsidRPr="00AD79CC" w:rsidRDefault="00356FFC" w:rsidP="00004F71">
      <w:pPr>
        <w:pStyle w:val="Zkladntext"/>
        <w:pBdr>
          <w:bottom w:val="single" w:sz="4" w:space="1" w:color="auto"/>
        </w:pBdr>
        <w:spacing w:line="237" w:lineRule="auto"/>
        <w:rPr>
          <w:rFonts w:ascii="Arial" w:hAnsi="Arial" w:cs="Arial"/>
          <w:b/>
          <w:sz w:val="21"/>
          <w:szCs w:val="21"/>
        </w:rPr>
      </w:pPr>
    </w:p>
    <w:p w14:paraId="549F0D26" w14:textId="1A70BC59" w:rsidR="000E21D2" w:rsidRPr="00AD79CC" w:rsidRDefault="00763554" w:rsidP="00AD2933">
      <w:pPr>
        <w:rPr>
          <w:rFonts w:asciiTheme="minorHAnsi" w:hAnsiTheme="minorHAnsi" w:cstheme="minorHAnsi"/>
          <w:i/>
          <w:color w:val="1D1D1B"/>
          <w:w w:val="105"/>
          <w:sz w:val="21"/>
          <w:szCs w:val="21"/>
        </w:rPr>
      </w:pPr>
      <w:r w:rsidRPr="00AD79CC">
        <w:rPr>
          <w:rFonts w:asciiTheme="minorHAnsi" w:hAnsiTheme="minorHAnsi" w:cstheme="minorHAnsi"/>
          <w:b/>
          <w:sz w:val="21"/>
          <w:szCs w:val="21"/>
        </w:rPr>
        <w:t>Poznámka pro média:</w:t>
      </w:r>
      <w:r w:rsidRPr="00AD79CC">
        <w:rPr>
          <w:rFonts w:asciiTheme="minorHAnsi" w:hAnsiTheme="minorHAnsi" w:cstheme="minorHAnsi"/>
          <w:sz w:val="21"/>
          <w:szCs w:val="21"/>
        </w:rPr>
        <w:t xml:space="preserve"> </w:t>
      </w:r>
      <w:r w:rsidRPr="00AD79CC">
        <w:rPr>
          <w:rFonts w:asciiTheme="minorHAnsi" w:hAnsiTheme="minorHAnsi" w:cstheme="minorHAnsi"/>
          <w:color w:val="1D1D1B"/>
          <w:w w:val="105"/>
          <w:sz w:val="21"/>
          <w:szCs w:val="21"/>
        </w:rPr>
        <w:t>Broker</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Consulting</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Indexy</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je</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možné</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volně</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spacing w:val="2"/>
          <w:w w:val="105"/>
          <w:sz w:val="21"/>
          <w:szCs w:val="21"/>
        </w:rPr>
        <w:t>publikovat</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pouze</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s</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označením</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„Broker</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Consulting</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Index“</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spacing w:val="-3"/>
          <w:w w:val="105"/>
          <w:sz w:val="21"/>
          <w:szCs w:val="21"/>
        </w:rPr>
        <w:t>(</w:t>
      </w:r>
      <w:r w:rsidRPr="00AD79CC">
        <w:rPr>
          <w:rFonts w:asciiTheme="minorHAnsi" w:hAnsiTheme="minorHAnsi" w:cstheme="minorHAnsi"/>
          <w:i/>
          <w:color w:val="1D1D1B"/>
          <w:spacing w:val="-3"/>
          <w:w w:val="105"/>
          <w:sz w:val="21"/>
          <w:szCs w:val="21"/>
        </w:rPr>
        <w:t>např.</w:t>
      </w:r>
      <w:r w:rsidRPr="00AD79CC">
        <w:rPr>
          <w:rFonts w:asciiTheme="minorHAnsi" w:hAnsiTheme="minorHAnsi" w:cstheme="minorHAnsi"/>
          <w:i/>
          <w:color w:val="1D1D1B"/>
          <w:spacing w:val="-8"/>
          <w:w w:val="105"/>
          <w:sz w:val="21"/>
          <w:szCs w:val="21"/>
        </w:rPr>
        <w:t xml:space="preserve"> </w:t>
      </w:r>
      <w:r w:rsidRPr="00AD79CC">
        <w:rPr>
          <w:rFonts w:asciiTheme="minorHAnsi" w:hAnsiTheme="minorHAnsi" w:cstheme="minorHAnsi"/>
          <w:i/>
          <w:color w:val="1D1D1B"/>
          <w:w w:val="105"/>
          <w:sz w:val="21"/>
          <w:szCs w:val="21"/>
        </w:rPr>
        <w:t>Broker</w:t>
      </w:r>
      <w:r w:rsidRPr="00AD79CC">
        <w:rPr>
          <w:rFonts w:asciiTheme="minorHAnsi" w:hAnsiTheme="minorHAnsi" w:cstheme="minorHAnsi"/>
          <w:i/>
          <w:color w:val="1D1D1B"/>
          <w:spacing w:val="-9"/>
          <w:w w:val="105"/>
          <w:sz w:val="21"/>
          <w:szCs w:val="21"/>
        </w:rPr>
        <w:t xml:space="preserve"> </w:t>
      </w:r>
      <w:r w:rsidRPr="00AD79CC">
        <w:rPr>
          <w:rFonts w:asciiTheme="minorHAnsi" w:hAnsiTheme="minorHAnsi" w:cstheme="minorHAnsi"/>
          <w:i/>
          <w:color w:val="1D1D1B"/>
          <w:w w:val="105"/>
          <w:sz w:val="21"/>
          <w:szCs w:val="21"/>
        </w:rPr>
        <w:t>Consulting</w:t>
      </w:r>
      <w:r w:rsidRPr="00AD79CC">
        <w:rPr>
          <w:rFonts w:asciiTheme="minorHAnsi" w:hAnsiTheme="minorHAnsi" w:cstheme="minorHAnsi"/>
          <w:i/>
          <w:color w:val="1D1D1B"/>
          <w:spacing w:val="-8"/>
          <w:w w:val="105"/>
          <w:sz w:val="21"/>
          <w:szCs w:val="21"/>
        </w:rPr>
        <w:t xml:space="preserve"> </w:t>
      </w:r>
      <w:r w:rsidRPr="00AD79CC">
        <w:rPr>
          <w:rFonts w:asciiTheme="minorHAnsi" w:hAnsiTheme="minorHAnsi" w:cstheme="minorHAnsi"/>
          <w:i/>
          <w:color w:val="1D1D1B"/>
          <w:w w:val="105"/>
          <w:sz w:val="21"/>
          <w:szCs w:val="21"/>
        </w:rPr>
        <w:t xml:space="preserve">Index hypotečních úvěrů). Více informací najdete též na webu </w:t>
      </w:r>
      <w:r w:rsidRPr="00AD79CC">
        <w:rPr>
          <w:rStyle w:val="Hypertextovodkaz"/>
          <w:rFonts w:asciiTheme="minorHAnsi" w:hAnsiTheme="minorHAnsi" w:cstheme="minorHAnsi"/>
          <w:i/>
          <w:w w:val="105"/>
          <w:sz w:val="21"/>
          <w:szCs w:val="21"/>
        </w:rPr>
        <w:t>https://www.bcas.cz/onas/pro-media/</w:t>
      </w:r>
      <w:r w:rsidRPr="00AD79CC">
        <w:rPr>
          <w:rFonts w:asciiTheme="minorHAnsi" w:hAnsiTheme="minorHAnsi" w:cstheme="minorHAnsi"/>
          <w:i/>
          <w:color w:val="1D1D1B"/>
          <w:w w:val="105"/>
          <w:sz w:val="21"/>
          <w:szCs w:val="21"/>
        </w:rPr>
        <w:t xml:space="preserve">. </w:t>
      </w:r>
    </w:p>
    <w:p w14:paraId="71F65714" w14:textId="2F88C0D2" w:rsidR="00B24DBE" w:rsidRPr="00AD79CC" w:rsidRDefault="00B24DBE" w:rsidP="00AD2933">
      <w:pPr>
        <w:rPr>
          <w:rFonts w:asciiTheme="minorHAnsi" w:hAnsiTheme="minorHAnsi" w:cstheme="minorHAnsi"/>
          <w:i/>
          <w:color w:val="1D1D1B"/>
          <w:w w:val="105"/>
          <w:sz w:val="21"/>
          <w:szCs w:val="21"/>
        </w:rPr>
      </w:pPr>
    </w:p>
    <w:p w14:paraId="6C52618D" w14:textId="63EB8F69" w:rsidR="00B24DBE" w:rsidRPr="00AD79CC" w:rsidRDefault="00B24DBE" w:rsidP="00AD2933">
      <w:pPr>
        <w:rPr>
          <w:rStyle w:val="Hypertextovodkaz"/>
          <w:rFonts w:asciiTheme="minorHAnsi" w:hAnsiTheme="minorHAnsi" w:cstheme="minorHAnsi"/>
          <w:w w:val="105"/>
          <w:sz w:val="21"/>
          <w:szCs w:val="21"/>
        </w:rPr>
      </w:pPr>
      <w:r w:rsidRPr="00AD79CC">
        <w:rPr>
          <w:rFonts w:asciiTheme="minorHAnsi" w:hAnsiTheme="minorHAnsi" w:cstheme="minorHAnsi"/>
          <w:b/>
          <w:color w:val="FF0000"/>
          <w:w w:val="105"/>
          <w:sz w:val="21"/>
          <w:szCs w:val="21"/>
        </w:rPr>
        <w:t>Broker Consulting Indexy je nyní možné sledovat v interaktivní formě na webu</w:t>
      </w:r>
      <w:r w:rsidRPr="00AD79CC">
        <w:rPr>
          <w:rFonts w:asciiTheme="minorHAnsi" w:hAnsiTheme="minorHAnsi" w:cstheme="minorHAnsi"/>
          <w:color w:val="1D1D1B"/>
          <w:w w:val="105"/>
          <w:sz w:val="21"/>
          <w:szCs w:val="21"/>
        </w:rPr>
        <w:t xml:space="preserve">. Zde lze zároveň exportovat zdrojová data ke grafům. Vice dostupné na odkaze: </w:t>
      </w:r>
      <w:r w:rsidR="00BB27FC" w:rsidRPr="00AD79CC">
        <w:rPr>
          <w:rFonts w:asciiTheme="minorHAnsi" w:hAnsiTheme="minorHAnsi" w:cstheme="minorHAnsi"/>
          <w:b/>
          <w:i/>
          <w:w w:val="105"/>
          <w:sz w:val="21"/>
          <w:szCs w:val="21"/>
        </w:rPr>
        <w:fldChar w:fldCharType="begin"/>
      </w:r>
      <w:r w:rsidR="00BB27FC" w:rsidRPr="00AD79CC">
        <w:rPr>
          <w:rFonts w:asciiTheme="minorHAnsi" w:hAnsiTheme="minorHAnsi" w:cstheme="minorHAnsi"/>
          <w:b/>
          <w:i/>
          <w:w w:val="105"/>
          <w:sz w:val="21"/>
          <w:szCs w:val="21"/>
        </w:rPr>
        <w:instrText xml:space="preserve"> HYPERLINK "https://www.bcas.cz/o-nas/broker-consulting-povindex/" </w:instrText>
      </w:r>
      <w:r w:rsidR="00BB27FC" w:rsidRPr="00AD79CC">
        <w:rPr>
          <w:rFonts w:asciiTheme="minorHAnsi" w:hAnsiTheme="minorHAnsi" w:cstheme="minorHAnsi"/>
          <w:b/>
          <w:i/>
          <w:w w:val="105"/>
          <w:sz w:val="21"/>
          <w:szCs w:val="21"/>
        </w:rPr>
        <w:fldChar w:fldCharType="separate"/>
      </w:r>
      <w:r w:rsidRPr="00AD79CC">
        <w:rPr>
          <w:rStyle w:val="Hypertextovodkaz"/>
          <w:rFonts w:asciiTheme="minorHAnsi" w:hAnsiTheme="minorHAnsi" w:cstheme="minorHAnsi"/>
          <w:b/>
          <w:i/>
          <w:w w:val="105"/>
          <w:sz w:val="21"/>
          <w:szCs w:val="21"/>
        </w:rPr>
        <w:t>https://www.bcas.cz/o-nas/broker-consulting-povindex/.</w:t>
      </w:r>
    </w:p>
    <w:p w14:paraId="43CFEAAA" w14:textId="552835E9" w:rsidR="000E21D2" w:rsidRPr="00AD79CC" w:rsidRDefault="00BB27FC" w:rsidP="00DE7CE1">
      <w:pPr>
        <w:pStyle w:val="Bezmezer"/>
        <w:rPr>
          <w:rFonts w:eastAsia="F015TEELig" w:cstheme="minorHAnsi"/>
          <w:b/>
          <w:sz w:val="21"/>
          <w:szCs w:val="21"/>
        </w:rPr>
      </w:pPr>
      <w:r w:rsidRPr="00AD79CC">
        <w:rPr>
          <w:rFonts w:eastAsia="F015TEELig" w:cstheme="minorHAnsi"/>
          <w:b/>
          <w:i/>
          <w:w w:val="105"/>
          <w:sz w:val="21"/>
          <w:szCs w:val="21"/>
          <w:lang w:bidi="cs-CZ"/>
        </w:rPr>
        <w:fldChar w:fldCharType="end"/>
      </w:r>
    </w:p>
    <w:p w14:paraId="7966D3DF" w14:textId="74C850C7" w:rsidR="00DE7CE1" w:rsidRPr="00AD79CC" w:rsidRDefault="00866220" w:rsidP="00DE7CE1">
      <w:pPr>
        <w:pStyle w:val="Bezmezer"/>
        <w:rPr>
          <w:rFonts w:eastAsia="F015TEELig" w:cstheme="minorHAnsi"/>
          <w:b/>
          <w:sz w:val="21"/>
          <w:szCs w:val="21"/>
        </w:rPr>
      </w:pPr>
      <w:r w:rsidRPr="00AD79CC">
        <w:rPr>
          <w:rFonts w:eastAsia="F015TEELig" w:cstheme="minorHAnsi"/>
          <w:b/>
          <w:sz w:val="21"/>
          <w:szCs w:val="21"/>
        </w:rPr>
        <w:t>Kontakt pro média:</w:t>
      </w:r>
    </w:p>
    <w:p w14:paraId="2ACFC1DB" w14:textId="37A10837" w:rsidR="00DE7CE1" w:rsidRPr="00AD79CC" w:rsidRDefault="00AD3D91" w:rsidP="00DE7CE1">
      <w:pPr>
        <w:pStyle w:val="Bezmezer"/>
        <w:rPr>
          <w:rFonts w:eastAsia="F015TEELig" w:cstheme="minorHAnsi"/>
          <w:sz w:val="21"/>
          <w:szCs w:val="21"/>
        </w:rPr>
      </w:pPr>
      <w:r>
        <w:rPr>
          <w:rFonts w:eastAsia="F015TEELig" w:cstheme="minorHAnsi"/>
          <w:sz w:val="21"/>
          <w:szCs w:val="21"/>
        </w:rPr>
        <w:t>Lenka Kuželová</w:t>
      </w:r>
    </w:p>
    <w:p w14:paraId="3373094C" w14:textId="6E64C468" w:rsidR="00866220" w:rsidRPr="00AD79CC" w:rsidRDefault="00866220" w:rsidP="00DE7CE1">
      <w:pPr>
        <w:pStyle w:val="Bezmezer"/>
        <w:rPr>
          <w:rFonts w:eastAsia="F015TEELig" w:cstheme="minorHAnsi"/>
          <w:sz w:val="21"/>
          <w:szCs w:val="21"/>
        </w:rPr>
      </w:pPr>
      <w:r w:rsidRPr="00AD79CC">
        <w:rPr>
          <w:rFonts w:eastAsia="F015TEELig" w:cstheme="minorHAnsi"/>
          <w:sz w:val="21"/>
          <w:szCs w:val="21"/>
        </w:rPr>
        <w:t>Specialistka PR a externí komunikace</w:t>
      </w:r>
    </w:p>
    <w:p w14:paraId="6FC0F9F5" w14:textId="72746B7C" w:rsidR="004C7BB5" w:rsidRPr="00AD79CC" w:rsidRDefault="00AD3D91" w:rsidP="00A1017F">
      <w:pPr>
        <w:pStyle w:val="Bezmezer"/>
        <w:rPr>
          <w:rFonts w:eastAsia="F015TEELig" w:cstheme="minorHAnsi"/>
          <w:sz w:val="21"/>
          <w:szCs w:val="21"/>
        </w:rPr>
      </w:pPr>
      <w:r>
        <w:rPr>
          <w:rFonts w:eastAsia="F015TEELig" w:cstheme="minorHAnsi"/>
          <w:sz w:val="21"/>
          <w:szCs w:val="21"/>
        </w:rPr>
        <w:t>Mobil: +420 731 929 990</w:t>
      </w:r>
      <w:r w:rsidR="005B3E4A" w:rsidRPr="00AD79CC">
        <w:rPr>
          <w:rFonts w:eastAsia="F015TEELig" w:cstheme="minorHAnsi"/>
          <w:sz w:val="21"/>
          <w:szCs w:val="21"/>
        </w:rPr>
        <w:t>, e</w:t>
      </w:r>
      <w:r w:rsidR="00866220" w:rsidRPr="00AD79CC">
        <w:rPr>
          <w:rFonts w:eastAsia="F015TEELig" w:cstheme="minorHAnsi"/>
          <w:sz w:val="21"/>
          <w:szCs w:val="21"/>
        </w:rPr>
        <w:t>-mail:</w:t>
      </w:r>
      <w:r w:rsidR="00866220" w:rsidRPr="00AD79CC">
        <w:rPr>
          <w:rFonts w:eastAsia="Calibri" w:cstheme="minorHAnsi"/>
          <w:noProof/>
          <w:sz w:val="21"/>
          <w:szCs w:val="21"/>
        </w:rPr>
        <w:t xml:space="preserve"> </w:t>
      </w:r>
      <w:hyperlink r:id="rId18" w:history="1">
        <w:r w:rsidRPr="00DE288C">
          <w:rPr>
            <w:rStyle w:val="Hypertextovodkaz"/>
            <w:rFonts w:eastAsia="Calibri" w:cstheme="minorHAnsi"/>
            <w:noProof/>
            <w:sz w:val="21"/>
            <w:szCs w:val="21"/>
          </w:rPr>
          <w:t>lenka.kuzelova@bcas.cz</w:t>
        </w:r>
      </w:hyperlink>
      <w:r>
        <w:rPr>
          <w:rFonts w:eastAsia="Calibri" w:cstheme="minorHAnsi"/>
          <w:noProof/>
          <w:sz w:val="21"/>
          <w:szCs w:val="21"/>
        </w:rPr>
        <w:t xml:space="preserve"> </w:t>
      </w:r>
    </w:p>
    <w:sectPr w:rsidR="004C7BB5" w:rsidRPr="00AD79CC" w:rsidSect="006B54C7">
      <w:headerReference w:type="default" r:id="rId19"/>
      <w:footerReference w:type="default" r:id="rId20"/>
      <w:headerReference w:type="first" r:id="rId21"/>
      <w:footerReference w:type="first" r:id="rId22"/>
      <w:type w:val="continuous"/>
      <w:pgSz w:w="11910" w:h="16840"/>
      <w:pgMar w:top="1985" w:right="711" w:bottom="2410" w:left="720"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A7A2B3" w14:textId="77777777" w:rsidR="00863DA5" w:rsidRDefault="00863DA5">
      <w:r>
        <w:separator/>
      </w:r>
    </w:p>
  </w:endnote>
  <w:endnote w:type="continuationSeparator" w:id="0">
    <w:p w14:paraId="2AE6A475" w14:textId="77777777" w:rsidR="00863DA5" w:rsidRDefault="00863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EE"/>
    <w:family w:val="swiss"/>
    <w:pitch w:val="variable"/>
    <w:sig w:usb0="E0002EFF" w:usb1="C000785B" w:usb2="00000009"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367749"/>
      <w:docPartObj>
        <w:docPartGallery w:val="Page Numbers (Bottom of Page)"/>
        <w:docPartUnique/>
      </w:docPartObj>
    </w:sdtPr>
    <w:sdtEndPr/>
    <w:sdtContent>
      <w:p w14:paraId="3298633F" w14:textId="1380DBA0" w:rsidR="006B54C7" w:rsidRPr="006B54C7" w:rsidRDefault="006B54C7">
        <w:pPr>
          <w:pStyle w:val="Zpat"/>
          <w:jc w:val="center"/>
          <w:rPr>
            <w:rFonts w:asciiTheme="minorHAnsi" w:hAnsiTheme="minorHAnsi" w:cstheme="minorHAnsi"/>
            <w:sz w:val="20"/>
            <w:szCs w:val="20"/>
          </w:rPr>
        </w:pPr>
        <w:r w:rsidRPr="006B54C7">
          <w:rPr>
            <w:rFonts w:asciiTheme="minorHAnsi" w:hAnsiTheme="minorHAnsi" w:cstheme="minorHAnsi"/>
            <w:sz w:val="20"/>
            <w:szCs w:val="20"/>
          </w:rPr>
          <w:fldChar w:fldCharType="begin"/>
        </w:r>
        <w:r w:rsidRPr="006B54C7">
          <w:rPr>
            <w:rFonts w:asciiTheme="minorHAnsi" w:hAnsiTheme="minorHAnsi" w:cstheme="minorHAnsi"/>
            <w:sz w:val="20"/>
            <w:szCs w:val="20"/>
          </w:rPr>
          <w:instrText>PAGE   \* MERGEFORMAT</w:instrText>
        </w:r>
        <w:r w:rsidRPr="006B54C7">
          <w:rPr>
            <w:rFonts w:asciiTheme="minorHAnsi" w:hAnsiTheme="minorHAnsi" w:cstheme="minorHAnsi"/>
            <w:sz w:val="20"/>
            <w:szCs w:val="20"/>
          </w:rPr>
          <w:fldChar w:fldCharType="separate"/>
        </w:r>
        <w:r w:rsidR="004B253B">
          <w:rPr>
            <w:rFonts w:asciiTheme="minorHAnsi" w:hAnsiTheme="minorHAnsi" w:cstheme="minorHAnsi"/>
            <w:noProof/>
            <w:sz w:val="20"/>
            <w:szCs w:val="20"/>
          </w:rPr>
          <w:t>2</w:t>
        </w:r>
        <w:r w:rsidRPr="006B54C7">
          <w:rPr>
            <w:rFonts w:asciiTheme="minorHAnsi" w:hAnsiTheme="minorHAnsi" w:cstheme="minorHAnsi"/>
            <w:sz w:val="20"/>
            <w:szCs w:val="20"/>
          </w:rPr>
          <w:fldChar w:fldCharType="end"/>
        </w:r>
        <w:r w:rsidR="0016561D">
          <w:rPr>
            <w:rFonts w:asciiTheme="minorHAnsi" w:hAnsiTheme="minorHAnsi" w:cstheme="minorHAnsi"/>
            <w:sz w:val="20"/>
            <w:szCs w:val="20"/>
          </w:rPr>
          <w:t>/4</w:t>
        </w:r>
      </w:p>
      <w:p w14:paraId="5AF2E761" w14:textId="77777777" w:rsidR="006B54C7" w:rsidRDefault="006B54C7">
        <w:pPr>
          <w:pStyle w:val="Zpat"/>
          <w:jc w:val="center"/>
        </w:pPr>
      </w:p>
      <w:p w14:paraId="21AECC00" w14:textId="52E0DABD" w:rsidR="006B54C7" w:rsidRDefault="00863DA5">
        <w:pPr>
          <w:pStyle w:val="Zpat"/>
          <w:jc w:val="center"/>
        </w:pPr>
      </w:p>
    </w:sdtContent>
  </w:sdt>
  <w:p w14:paraId="43F5299E" w14:textId="77777777" w:rsidR="00D31127" w:rsidRDefault="00D31127">
    <w:pPr>
      <w:pStyle w:val="Zkladn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11FE13" w14:textId="77777777" w:rsidR="00863DA5" w:rsidRDefault="00863DA5">
      <w:r>
        <w:separator/>
      </w:r>
    </w:p>
  </w:footnote>
  <w:footnote w:type="continuationSeparator" w:id="0">
    <w:p w14:paraId="00977747" w14:textId="77777777" w:rsidR="00863DA5" w:rsidRDefault="00863D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C8584A" w:rsidRDefault="00B65A3B" w:rsidP="00B65A3B">
    <w:pPr>
      <w:pStyle w:val="Nadpis2"/>
      <w:ind w:left="1440" w:firstLine="720"/>
      <w:rPr>
        <w:rFonts w:asciiTheme="minorHAnsi" w:hAnsiTheme="minorHAnsi" w:cstheme="minorHAnsi"/>
      </w:rPr>
    </w:pPr>
    <w:r w:rsidRPr="00C8584A">
      <w:rPr>
        <w:rFonts w:asciiTheme="minorHAnsi" w:hAnsiTheme="minorHAnsi" w:cstheme="minorHAnsi"/>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C8584A">
      <w:rPr>
        <w:rFonts w:asciiTheme="minorHAnsi" w:hAnsiTheme="minorHAnsi" w:cstheme="minorHAnsi"/>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C8584A">
      <w:rPr>
        <w:rFonts w:asciiTheme="minorHAnsi" w:hAnsiTheme="minorHAnsi" w:cstheme="minorHAnsi"/>
        <w:color w:val="1D1D1B"/>
      </w:rPr>
      <w:t>BROKER CONSULTING</w:t>
    </w:r>
  </w:p>
  <w:p w14:paraId="5006E230" w14:textId="00520F85" w:rsidR="00C8584A" w:rsidRPr="00AD79CC" w:rsidRDefault="00AF0BE0" w:rsidP="00AD79CC">
    <w:pPr>
      <w:spacing w:before="85"/>
      <w:ind w:left="1440" w:firstLine="720"/>
      <w:rPr>
        <w:rFonts w:asciiTheme="minorHAnsi" w:hAnsiTheme="minorHAnsi" w:cstheme="minorHAnsi"/>
        <w:sz w:val="28"/>
        <w:szCs w:val="28"/>
      </w:rPr>
    </w:pPr>
    <w:r w:rsidRPr="00C8584A">
      <w:rPr>
        <w:rFonts w:asciiTheme="minorHAnsi" w:hAnsiTheme="minorHAnsi" w:cstheme="minorHAnsi"/>
        <w:color w:val="E52713"/>
        <w:sz w:val="28"/>
        <w:szCs w:val="28"/>
      </w:rPr>
      <w:t>POV</w:t>
    </w:r>
    <w:r w:rsidR="00B65A3B" w:rsidRPr="00C8584A">
      <w:rPr>
        <w:rFonts w:asciiTheme="minorHAnsi" w:hAnsiTheme="minorHAnsi" w:cstheme="minorHAnsi"/>
        <w:color w:val="E52713"/>
        <w:sz w:val="28"/>
        <w:szCs w:val="28"/>
      </w:rPr>
      <w:t xml:space="preserve">INDEX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1DAF"/>
    <w:multiLevelType w:val="hybridMultilevel"/>
    <w:tmpl w:val="0DA01C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2"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4" w15:restartNumberingAfterBreak="0">
    <w:nsid w:val="0A754CF1"/>
    <w:multiLevelType w:val="hybridMultilevel"/>
    <w:tmpl w:val="F09E62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0C3309"/>
    <w:multiLevelType w:val="multilevel"/>
    <w:tmpl w:val="22489C7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6"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7" w15:restartNumberingAfterBreak="0">
    <w:nsid w:val="3E4D5F26"/>
    <w:multiLevelType w:val="hybridMultilevel"/>
    <w:tmpl w:val="4874EE9E"/>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FCD5F30"/>
    <w:multiLevelType w:val="hybridMultilevel"/>
    <w:tmpl w:val="DA08EB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3335BB"/>
    <w:multiLevelType w:val="hybridMultilevel"/>
    <w:tmpl w:val="2D84B016"/>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C1F18A9"/>
    <w:multiLevelType w:val="hybridMultilevel"/>
    <w:tmpl w:val="7C4A94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EE273E1"/>
    <w:multiLevelType w:val="multilevel"/>
    <w:tmpl w:val="939A0AD0"/>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3"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7A1A42"/>
    <w:multiLevelType w:val="hybridMultilevel"/>
    <w:tmpl w:val="1CF8DB5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FF6AE4"/>
    <w:multiLevelType w:val="multilevel"/>
    <w:tmpl w:val="55C25D2C"/>
    <w:lvl w:ilvl="0">
      <w:start w:val="1"/>
      <w:numFmt w:val="bullet"/>
      <w:lvlText w:val=""/>
      <w:lvlJc w:val="left"/>
      <w:pPr>
        <w:tabs>
          <w:tab w:val="num" w:pos="360"/>
        </w:tabs>
        <w:ind w:left="360" w:hanging="360"/>
      </w:pPr>
      <w:rPr>
        <w:rFonts w:ascii="Symbol" w:hAnsi="Symbol" w:hint="default"/>
        <w:sz w:val="20"/>
      </w:rPr>
    </w:lvl>
    <w:lvl w:ilvl="1">
      <w:start w:val="4"/>
      <w:numFmt w:val="decimal"/>
      <w:lvlText w:val="%2."/>
      <w:lvlJc w:val="left"/>
      <w:pPr>
        <w:ind w:left="1440" w:hanging="720"/>
      </w:p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59B94970"/>
    <w:multiLevelType w:val="multilevel"/>
    <w:tmpl w:val="396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483161"/>
    <w:multiLevelType w:val="hybridMultilevel"/>
    <w:tmpl w:val="003EA9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33A4CC9"/>
    <w:multiLevelType w:val="hybridMultilevel"/>
    <w:tmpl w:val="E83CD1B2"/>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4716B7F"/>
    <w:multiLevelType w:val="hybridMultilevel"/>
    <w:tmpl w:val="80BC2D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EC22BAC"/>
    <w:multiLevelType w:val="hybridMultilevel"/>
    <w:tmpl w:val="4CE0AA9A"/>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24"/>
  </w:num>
  <w:num w:numId="4">
    <w:abstractNumId w:val="7"/>
  </w:num>
  <w:num w:numId="5">
    <w:abstractNumId w:val="1"/>
  </w:num>
  <w:num w:numId="6">
    <w:abstractNumId w:val="26"/>
  </w:num>
  <w:num w:numId="7">
    <w:abstractNumId w:val="14"/>
  </w:num>
  <w:num w:numId="8">
    <w:abstractNumId w:val="13"/>
  </w:num>
  <w:num w:numId="9">
    <w:abstractNumId w:val="10"/>
  </w:num>
  <w:num w:numId="10">
    <w:abstractNumId w:val="12"/>
  </w:num>
  <w:num w:numId="11">
    <w:abstractNumId w:val="8"/>
  </w:num>
  <w:num w:numId="12">
    <w:abstractNumId w:val="5"/>
  </w:num>
  <w:num w:numId="13">
    <w:abstractNumId w:val="19"/>
  </w:num>
  <w:num w:numId="14">
    <w:abstractNumId w:val="32"/>
  </w:num>
  <w:num w:numId="15">
    <w:abstractNumId w:val="2"/>
  </w:num>
  <w:num w:numId="16">
    <w:abstractNumId w:val="16"/>
  </w:num>
  <w:num w:numId="17">
    <w:abstractNumId w:val="6"/>
  </w:num>
  <w:num w:numId="18">
    <w:abstractNumId w:val="11"/>
  </w:num>
  <w:num w:numId="19">
    <w:abstractNumId w:val="23"/>
  </w:num>
  <w:num w:numId="20">
    <w:abstractNumId w:val="28"/>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3"/>
      <w:lvl w:ilvl="0">
        <w:start w:val="3"/>
        <w:numFmt w:val="decimal"/>
        <w:lvlText w:val="%1."/>
        <w:lvlJc w:val="left"/>
        <w:pPr>
          <w:ind w:left="0" w:firstLine="0"/>
        </w:pPr>
        <w:rPr>
          <w:b/>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27"/>
    <w:lvlOverride w:ilvl="0"/>
    <w:lvlOverride w:ilvl="1">
      <w:startOverride w:val="4"/>
    </w:lvlOverride>
    <w:lvlOverride w:ilvl="2"/>
    <w:lvlOverride w:ilvl="3"/>
    <w:lvlOverride w:ilvl="4"/>
    <w:lvlOverride w:ilvl="5"/>
    <w:lvlOverride w:ilvl="6"/>
    <w:lvlOverride w:ilvl="7"/>
    <w:lvlOverride w:ilvl="8"/>
  </w:num>
  <w:num w:numId="24">
    <w:abstractNumId w:val="25"/>
  </w:num>
  <w:num w:numId="25">
    <w:abstractNumId w:val="18"/>
  </w:num>
  <w:num w:numId="26">
    <w:abstractNumId w:val="21"/>
  </w:num>
  <w:num w:numId="27">
    <w:abstractNumId w:val="0"/>
  </w:num>
  <w:num w:numId="28">
    <w:abstractNumId w:val="29"/>
  </w:num>
  <w:num w:numId="29">
    <w:abstractNumId w:val="25"/>
  </w:num>
  <w:num w:numId="30">
    <w:abstractNumId w:val="31"/>
  </w:num>
  <w:num w:numId="31">
    <w:abstractNumId w:val="4"/>
  </w:num>
  <w:num w:numId="32">
    <w:abstractNumId w:val="17"/>
  </w:num>
  <w:num w:numId="33">
    <w:abstractNumId w:val="30"/>
  </w:num>
  <w:num w:numId="34">
    <w:abstractNumId w:val="33"/>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4F71"/>
    <w:rsid w:val="000050D4"/>
    <w:rsid w:val="000052D9"/>
    <w:rsid w:val="00005EF0"/>
    <w:rsid w:val="00005FCB"/>
    <w:rsid w:val="00010812"/>
    <w:rsid w:val="000118E9"/>
    <w:rsid w:val="00011BB8"/>
    <w:rsid w:val="00014A3B"/>
    <w:rsid w:val="000153FB"/>
    <w:rsid w:val="00015694"/>
    <w:rsid w:val="00016100"/>
    <w:rsid w:val="0002531C"/>
    <w:rsid w:val="00025983"/>
    <w:rsid w:val="000262FD"/>
    <w:rsid w:val="00026F23"/>
    <w:rsid w:val="00030BBF"/>
    <w:rsid w:val="00031C6E"/>
    <w:rsid w:val="00032AD6"/>
    <w:rsid w:val="00032D94"/>
    <w:rsid w:val="000374D7"/>
    <w:rsid w:val="0004010D"/>
    <w:rsid w:val="00041008"/>
    <w:rsid w:val="0004359F"/>
    <w:rsid w:val="0004360D"/>
    <w:rsid w:val="000504BA"/>
    <w:rsid w:val="0005423A"/>
    <w:rsid w:val="00055470"/>
    <w:rsid w:val="0005574A"/>
    <w:rsid w:val="0005628C"/>
    <w:rsid w:val="00056BB7"/>
    <w:rsid w:val="00056ECA"/>
    <w:rsid w:val="000607B6"/>
    <w:rsid w:val="00062E18"/>
    <w:rsid w:val="00066A72"/>
    <w:rsid w:val="00067BA6"/>
    <w:rsid w:val="000705A5"/>
    <w:rsid w:val="00070D3C"/>
    <w:rsid w:val="00071274"/>
    <w:rsid w:val="0007198D"/>
    <w:rsid w:val="0007340D"/>
    <w:rsid w:val="00073462"/>
    <w:rsid w:val="00076845"/>
    <w:rsid w:val="00076C44"/>
    <w:rsid w:val="00077CC7"/>
    <w:rsid w:val="00082C13"/>
    <w:rsid w:val="00083E38"/>
    <w:rsid w:val="00085EEC"/>
    <w:rsid w:val="0008656E"/>
    <w:rsid w:val="000866C0"/>
    <w:rsid w:val="00086F8F"/>
    <w:rsid w:val="00087124"/>
    <w:rsid w:val="00087ACF"/>
    <w:rsid w:val="00087D87"/>
    <w:rsid w:val="00090C9C"/>
    <w:rsid w:val="00090F2A"/>
    <w:rsid w:val="00091509"/>
    <w:rsid w:val="00094F77"/>
    <w:rsid w:val="00096AE4"/>
    <w:rsid w:val="000A06EA"/>
    <w:rsid w:val="000A170E"/>
    <w:rsid w:val="000A51D0"/>
    <w:rsid w:val="000A6FB0"/>
    <w:rsid w:val="000A77CE"/>
    <w:rsid w:val="000B6053"/>
    <w:rsid w:val="000C1AB4"/>
    <w:rsid w:val="000C32B0"/>
    <w:rsid w:val="000C351D"/>
    <w:rsid w:val="000C38CB"/>
    <w:rsid w:val="000C3C4C"/>
    <w:rsid w:val="000C4DDE"/>
    <w:rsid w:val="000C53D6"/>
    <w:rsid w:val="000C5490"/>
    <w:rsid w:val="000C5B38"/>
    <w:rsid w:val="000C7119"/>
    <w:rsid w:val="000C74BD"/>
    <w:rsid w:val="000C7FAE"/>
    <w:rsid w:val="000D11FB"/>
    <w:rsid w:val="000D133F"/>
    <w:rsid w:val="000D2044"/>
    <w:rsid w:val="000D2DDE"/>
    <w:rsid w:val="000D333C"/>
    <w:rsid w:val="000D6870"/>
    <w:rsid w:val="000E21D2"/>
    <w:rsid w:val="000E286C"/>
    <w:rsid w:val="000E36C6"/>
    <w:rsid w:val="000E4DDD"/>
    <w:rsid w:val="000E7086"/>
    <w:rsid w:val="000F040D"/>
    <w:rsid w:val="000F1935"/>
    <w:rsid w:val="000F47AE"/>
    <w:rsid w:val="000F56EF"/>
    <w:rsid w:val="000F6249"/>
    <w:rsid w:val="00100869"/>
    <w:rsid w:val="00100CE7"/>
    <w:rsid w:val="00103ED8"/>
    <w:rsid w:val="0010426A"/>
    <w:rsid w:val="00104FCB"/>
    <w:rsid w:val="00106651"/>
    <w:rsid w:val="00107E00"/>
    <w:rsid w:val="00107E36"/>
    <w:rsid w:val="00112F65"/>
    <w:rsid w:val="00114392"/>
    <w:rsid w:val="00114D2B"/>
    <w:rsid w:val="00114D66"/>
    <w:rsid w:val="00114E09"/>
    <w:rsid w:val="00115CF8"/>
    <w:rsid w:val="00116173"/>
    <w:rsid w:val="00116A29"/>
    <w:rsid w:val="00117806"/>
    <w:rsid w:val="00117988"/>
    <w:rsid w:val="0012132F"/>
    <w:rsid w:val="0012713E"/>
    <w:rsid w:val="0013044E"/>
    <w:rsid w:val="00131F7B"/>
    <w:rsid w:val="00133BFD"/>
    <w:rsid w:val="0013512D"/>
    <w:rsid w:val="00136D21"/>
    <w:rsid w:val="00137003"/>
    <w:rsid w:val="00137E3C"/>
    <w:rsid w:val="00140DA4"/>
    <w:rsid w:val="00141303"/>
    <w:rsid w:val="001434CE"/>
    <w:rsid w:val="0014388A"/>
    <w:rsid w:val="001449CB"/>
    <w:rsid w:val="00146956"/>
    <w:rsid w:val="00147427"/>
    <w:rsid w:val="00147995"/>
    <w:rsid w:val="00150500"/>
    <w:rsid w:val="00152185"/>
    <w:rsid w:val="00152EDC"/>
    <w:rsid w:val="00153161"/>
    <w:rsid w:val="00155667"/>
    <w:rsid w:val="00160060"/>
    <w:rsid w:val="001603AF"/>
    <w:rsid w:val="00164219"/>
    <w:rsid w:val="00165614"/>
    <w:rsid w:val="0016561D"/>
    <w:rsid w:val="0017117C"/>
    <w:rsid w:val="001722EA"/>
    <w:rsid w:val="00173C9F"/>
    <w:rsid w:val="00174065"/>
    <w:rsid w:val="00174394"/>
    <w:rsid w:val="00176EF9"/>
    <w:rsid w:val="0017797E"/>
    <w:rsid w:val="00177E6B"/>
    <w:rsid w:val="0018139F"/>
    <w:rsid w:val="00181E9B"/>
    <w:rsid w:val="001844F8"/>
    <w:rsid w:val="0018541B"/>
    <w:rsid w:val="00186E95"/>
    <w:rsid w:val="00190C04"/>
    <w:rsid w:val="00190E10"/>
    <w:rsid w:val="00193B5D"/>
    <w:rsid w:val="00194628"/>
    <w:rsid w:val="00194A47"/>
    <w:rsid w:val="00197408"/>
    <w:rsid w:val="00197AF4"/>
    <w:rsid w:val="00197DE5"/>
    <w:rsid w:val="001A210B"/>
    <w:rsid w:val="001A269A"/>
    <w:rsid w:val="001A4DDB"/>
    <w:rsid w:val="001A54DD"/>
    <w:rsid w:val="001B195D"/>
    <w:rsid w:val="001B1C05"/>
    <w:rsid w:val="001B444A"/>
    <w:rsid w:val="001B4EE4"/>
    <w:rsid w:val="001B5A35"/>
    <w:rsid w:val="001B5D34"/>
    <w:rsid w:val="001B79AC"/>
    <w:rsid w:val="001C4A67"/>
    <w:rsid w:val="001C4C44"/>
    <w:rsid w:val="001D2EF2"/>
    <w:rsid w:val="001D3C90"/>
    <w:rsid w:val="001E1593"/>
    <w:rsid w:val="001E265F"/>
    <w:rsid w:val="001E2B55"/>
    <w:rsid w:val="001E2DCC"/>
    <w:rsid w:val="001E4C14"/>
    <w:rsid w:val="001E4D1C"/>
    <w:rsid w:val="001E68DE"/>
    <w:rsid w:val="001F108C"/>
    <w:rsid w:val="001F27AC"/>
    <w:rsid w:val="001F4AE1"/>
    <w:rsid w:val="001F7F2E"/>
    <w:rsid w:val="00200F89"/>
    <w:rsid w:val="002018E9"/>
    <w:rsid w:val="00202BE8"/>
    <w:rsid w:val="002108A4"/>
    <w:rsid w:val="00211C5C"/>
    <w:rsid w:val="002137BD"/>
    <w:rsid w:val="00214949"/>
    <w:rsid w:val="00214E98"/>
    <w:rsid w:val="00215EF1"/>
    <w:rsid w:val="00215FFE"/>
    <w:rsid w:val="00216985"/>
    <w:rsid w:val="002174D5"/>
    <w:rsid w:val="0022642E"/>
    <w:rsid w:val="00233262"/>
    <w:rsid w:val="002333DA"/>
    <w:rsid w:val="0023472C"/>
    <w:rsid w:val="00235828"/>
    <w:rsid w:val="002365F3"/>
    <w:rsid w:val="00236B96"/>
    <w:rsid w:val="00236DF8"/>
    <w:rsid w:val="00237068"/>
    <w:rsid w:val="00237B09"/>
    <w:rsid w:val="00237D4E"/>
    <w:rsid w:val="00240ABC"/>
    <w:rsid w:val="00240BAE"/>
    <w:rsid w:val="00240BD7"/>
    <w:rsid w:val="00241313"/>
    <w:rsid w:val="002414C7"/>
    <w:rsid w:val="0024150C"/>
    <w:rsid w:val="00242251"/>
    <w:rsid w:val="002506AD"/>
    <w:rsid w:val="00251CC1"/>
    <w:rsid w:val="0025264B"/>
    <w:rsid w:val="00253417"/>
    <w:rsid w:val="0025408A"/>
    <w:rsid w:val="00254F1F"/>
    <w:rsid w:val="002555B1"/>
    <w:rsid w:val="00255D9F"/>
    <w:rsid w:val="00255E96"/>
    <w:rsid w:val="00255FAB"/>
    <w:rsid w:val="00256498"/>
    <w:rsid w:val="002609B2"/>
    <w:rsid w:val="00261C33"/>
    <w:rsid w:val="00261EE7"/>
    <w:rsid w:val="002636B1"/>
    <w:rsid w:val="00266249"/>
    <w:rsid w:val="002665EC"/>
    <w:rsid w:val="00267A14"/>
    <w:rsid w:val="00267AB1"/>
    <w:rsid w:val="00267F28"/>
    <w:rsid w:val="00270DB3"/>
    <w:rsid w:val="00275325"/>
    <w:rsid w:val="00277E70"/>
    <w:rsid w:val="002805D4"/>
    <w:rsid w:val="0028080D"/>
    <w:rsid w:val="002812A1"/>
    <w:rsid w:val="00281378"/>
    <w:rsid w:val="0028211A"/>
    <w:rsid w:val="002912BF"/>
    <w:rsid w:val="002928FF"/>
    <w:rsid w:val="00293046"/>
    <w:rsid w:val="0029552F"/>
    <w:rsid w:val="00295CB7"/>
    <w:rsid w:val="00295DB6"/>
    <w:rsid w:val="0029614B"/>
    <w:rsid w:val="002A0C59"/>
    <w:rsid w:val="002A2FB9"/>
    <w:rsid w:val="002A7348"/>
    <w:rsid w:val="002A7AE9"/>
    <w:rsid w:val="002A7D3D"/>
    <w:rsid w:val="002A7DB8"/>
    <w:rsid w:val="002B053B"/>
    <w:rsid w:val="002B3EE0"/>
    <w:rsid w:val="002B5B4B"/>
    <w:rsid w:val="002B6A48"/>
    <w:rsid w:val="002C0392"/>
    <w:rsid w:val="002C201F"/>
    <w:rsid w:val="002C2283"/>
    <w:rsid w:val="002C635D"/>
    <w:rsid w:val="002D4E88"/>
    <w:rsid w:val="002D5492"/>
    <w:rsid w:val="002E2785"/>
    <w:rsid w:val="002E27C5"/>
    <w:rsid w:val="002E2F8E"/>
    <w:rsid w:val="002F0335"/>
    <w:rsid w:val="002F0C79"/>
    <w:rsid w:val="002F2D65"/>
    <w:rsid w:val="002F5A42"/>
    <w:rsid w:val="002F5A56"/>
    <w:rsid w:val="002F6814"/>
    <w:rsid w:val="002F68D1"/>
    <w:rsid w:val="00301660"/>
    <w:rsid w:val="00302322"/>
    <w:rsid w:val="00302AE6"/>
    <w:rsid w:val="00303223"/>
    <w:rsid w:val="00303BCE"/>
    <w:rsid w:val="00303C85"/>
    <w:rsid w:val="0030477F"/>
    <w:rsid w:val="00305EA9"/>
    <w:rsid w:val="00307CEB"/>
    <w:rsid w:val="00307D0F"/>
    <w:rsid w:val="00312311"/>
    <w:rsid w:val="003128F8"/>
    <w:rsid w:val="003203FF"/>
    <w:rsid w:val="00321026"/>
    <w:rsid w:val="0032274C"/>
    <w:rsid w:val="00322757"/>
    <w:rsid w:val="00322BE1"/>
    <w:rsid w:val="00325CD8"/>
    <w:rsid w:val="00326268"/>
    <w:rsid w:val="00330918"/>
    <w:rsid w:val="0033104C"/>
    <w:rsid w:val="00334CD1"/>
    <w:rsid w:val="003404F4"/>
    <w:rsid w:val="00341A59"/>
    <w:rsid w:val="003428A4"/>
    <w:rsid w:val="003434AD"/>
    <w:rsid w:val="003450E1"/>
    <w:rsid w:val="00345D3E"/>
    <w:rsid w:val="003473B3"/>
    <w:rsid w:val="00347557"/>
    <w:rsid w:val="003504FD"/>
    <w:rsid w:val="00352433"/>
    <w:rsid w:val="0035286E"/>
    <w:rsid w:val="00352D61"/>
    <w:rsid w:val="00354DBF"/>
    <w:rsid w:val="00356FFC"/>
    <w:rsid w:val="00362251"/>
    <w:rsid w:val="00362A5B"/>
    <w:rsid w:val="00363124"/>
    <w:rsid w:val="00374B71"/>
    <w:rsid w:val="00375451"/>
    <w:rsid w:val="00375CF7"/>
    <w:rsid w:val="00381F5F"/>
    <w:rsid w:val="003830B5"/>
    <w:rsid w:val="00384B32"/>
    <w:rsid w:val="003863F0"/>
    <w:rsid w:val="00390304"/>
    <w:rsid w:val="0039102F"/>
    <w:rsid w:val="0039395A"/>
    <w:rsid w:val="00395524"/>
    <w:rsid w:val="00397D4B"/>
    <w:rsid w:val="003A4180"/>
    <w:rsid w:val="003A55CE"/>
    <w:rsid w:val="003A76E8"/>
    <w:rsid w:val="003A7C59"/>
    <w:rsid w:val="003A7C9A"/>
    <w:rsid w:val="003B08AC"/>
    <w:rsid w:val="003B2C75"/>
    <w:rsid w:val="003B4B9E"/>
    <w:rsid w:val="003B54D9"/>
    <w:rsid w:val="003B612F"/>
    <w:rsid w:val="003B7BFE"/>
    <w:rsid w:val="003C0030"/>
    <w:rsid w:val="003C4D4B"/>
    <w:rsid w:val="003D03A6"/>
    <w:rsid w:val="003D07A2"/>
    <w:rsid w:val="003D2590"/>
    <w:rsid w:val="003D2711"/>
    <w:rsid w:val="003D2CAC"/>
    <w:rsid w:val="003D386F"/>
    <w:rsid w:val="003D43DB"/>
    <w:rsid w:val="003D4C73"/>
    <w:rsid w:val="003D556B"/>
    <w:rsid w:val="003D653E"/>
    <w:rsid w:val="003E2280"/>
    <w:rsid w:val="003E2ADC"/>
    <w:rsid w:val="003E5948"/>
    <w:rsid w:val="003E601E"/>
    <w:rsid w:val="003F0EA3"/>
    <w:rsid w:val="003F1184"/>
    <w:rsid w:val="003F38E5"/>
    <w:rsid w:val="003F5DCD"/>
    <w:rsid w:val="003F73C3"/>
    <w:rsid w:val="00400126"/>
    <w:rsid w:val="00401210"/>
    <w:rsid w:val="00402AC6"/>
    <w:rsid w:val="00404CDA"/>
    <w:rsid w:val="00406B06"/>
    <w:rsid w:val="00410BF5"/>
    <w:rsid w:val="0041222E"/>
    <w:rsid w:val="0041224F"/>
    <w:rsid w:val="004130A2"/>
    <w:rsid w:val="00413446"/>
    <w:rsid w:val="0041452A"/>
    <w:rsid w:val="004151E6"/>
    <w:rsid w:val="00415BA7"/>
    <w:rsid w:val="00416F40"/>
    <w:rsid w:val="00417A8F"/>
    <w:rsid w:val="00417E36"/>
    <w:rsid w:val="0042260E"/>
    <w:rsid w:val="00422B4E"/>
    <w:rsid w:val="0042312B"/>
    <w:rsid w:val="004237DE"/>
    <w:rsid w:val="00423B16"/>
    <w:rsid w:val="00423F48"/>
    <w:rsid w:val="00425824"/>
    <w:rsid w:val="00425C72"/>
    <w:rsid w:val="0042625B"/>
    <w:rsid w:val="0043207C"/>
    <w:rsid w:val="0043263D"/>
    <w:rsid w:val="004336FA"/>
    <w:rsid w:val="004349B6"/>
    <w:rsid w:val="00436FD5"/>
    <w:rsid w:val="00437639"/>
    <w:rsid w:val="004407C2"/>
    <w:rsid w:val="004413A6"/>
    <w:rsid w:val="00441D22"/>
    <w:rsid w:val="00444BB9"/>
    <w:rsid w:val="00445D0A"/>
    <w:rsid w:val="00447E56"/>
    <w:rsid w:val="004504BC"/>
    <w:rsid w:val="00453482"/>
    <w:rsid w:val="00453762"/>
    <w:rsid w:val="00453CFE"/>
    <w:rsid w:val="004560F3"/>
    <w:rsid w:val="00457E45"/>
    <w:rsid w:val="00463570"/>
    <w:rsid w:val="00467207"/>
    <w:rsid w:val="0047109D"/>
    <w:rsid w:val="00472B53"/>
    <w:rsid w:val="00474E92"/>
    <w:rsid w:val="00476C23"/>
    <w:rsid w:val="004809C7"/>
    <w:rsid w:val="00483A48"/>
    <w:rsid w:val="00487579"/>
    <w:rsid w:val="0048779A"/>
    <w:rsid w:val="00493430"/>
    <w:rsid w:val="004951BF"/>
    <w:rsid w:val="00495519"/>
    <w:rsid w:val="00495C15"/>
    <w:rsid w:val="00496EFA"/>
    <w:rsid w:val="004A1F27"/>
    <w:rsid w:val="004A245D"/>
    <w:rsid w:val="004A2D42"/>
    <w:rsid w:val="004A2E7A"/>
    <w:rsid w:val="004A3A91"/>
    <w:rsid w:val="004A557B"/>
    <w:rsid w:val="004A7461"/>
    <w:rsid w:val="004A7F47"/>
    <w:rsid w:val="004B253B"/>
    <w:rsid w:val="004B2B01"/>
    <w:rsid w:val="004B352A"/>
    <w:rsid w:val="004B4992"/>
    <w:rsid w:val="004B4B34"/>
    <w:rsid w:val="004B6687"/>
    <w:rsid w:val="004B73DC"/>
    <w:rsid w:val="004C3C0D"/>
    <w:rsid w:val="004C4033"/>
    <w:rsid w:val="004C5298"/>
    <w:rsid w:val="004C5C61"/>
    <w:rsid w:val="004C6594"/>
    <w:rsid w:val="004C7507"/>
    <w:rsid w:val="004C798D"/>
    <w:rsid w:val="004C7BB5"/>
    <w:rsid w:val="004D4111"/>
    <w:rsid w:val="004D52BD"/>
    <w:rsid w:val="004D69FB"/>
    <w:rsid w:val="004E1108"/>
    <w:rsid w:val="004E207F"/>
    <w:rsid w:val="004E3877"/>
    <w:rsid w:val="004E4203"/>
    <w:rsid w:val="004E42A8"/>
    <w:rsid w:val="004E44A2"/>
    <w:rsid w:val="004E7863"/>
    <w:rsid w:val="004F07BC"/>
    <w:rsid w:val="004F0D7B"/>
    <w:rsid w:val="004F0DC0"/>
    <w:rsid w:val="004F2548"/>
    <w:rsid w:val="004F43C7"/>
    <w:rsid w:val="004F5CC5"/>
    <w:rsid w:val="004F63FD"/>
    <w:rsid w:val="00500534"/>
    <w:rsid w:val="0050130C"/>
    <w:rsid w:val="005039B0"/>
    <w:rsid w:val="00504953"/>
    <w:rsid w:val="005058FE"/>
    <w:rsid w:val="00507696"/>
    <w:rsid w:val="00510F13"/>
    <w:rsid w:val="005154F9"/>
    <w:rsid w:val="00515C68"/>
    <w:rsid w:val="00520EA0"/>
    <w:rsid w:val="00523BD9"/>
    <w:rsid w:val="00524E33"/>
    <w:rsid w:val="0052644E"/>
    <w:rsid w:val="0052748B"/>
    <w:rsid w:val="005336E7"/>
    <w:rsid w:val="00540A5E"/>
    <w:rsid w:val="00543BFB"/>
    <w:rsid w:val="00543F98"/>
    <w:rsid w:val="00544F68"/>
    <w:rsid w:val="00545CF4"/>
    <w:rsid w:val="00547816"/>
    <w:rsid w:val="00552CC5"/>
    <w:rsid w:val="005541A6"/>
    <w:rsid w:val="005546DD"/>
    <w:rsid w:val="005613E9"/>
    <w:rsid w:val="00561757"/>
    <w:rsid w:val="00561997"/>
    <w:rsid w:val="00562CA8"/>
    <w:rsid w:val="00562DBA"/>
    <w:rsid w:val="00564B35"/>
    <w:rsid w:val="00567402"/>
    <w:rsid w:val="00570D87"/>
    <w:rsid w:val="005733BD"/>
    <w:rsid w:val="0057359A"/>
    <w:rsid w:val="00576552"/>
    <w:rsid w:val="005773EE"/>
    <w:rsid w:val="00580B4C"/>
    <w:rsid w:val="00580D50"/>
    <w:rsid w:val="00582562"/>
    <w:rsid w:val="00582565"/>
    <w:rsid w:val="005837F8"/>
    <w:rsid w:val="005853C3"/>
    <w:rsid w:val="00587549"/>
    <w:rsid w:val="00587B4C"/>
    <w:rsid w:val="0059081F"/>
    <w:rsid w:val="00592002"/>
    <w:rsid w:val="00592071"/>
    <w:rsid w:val="00595E44"/>
    <w:rsid w:val="00596E22"/>
    <w:rsid w:val="005973B7"/>
    <w:rsid w:val="00597E85"/>
    <w:rsid w:val="005A08D2"/>
    <w:rsid w:val="005A5F89"/>
    <w:rsid w:val="005A61D5"/>
    <w:rsid w:val="005A6E1C"/>
    <w:rsid w:val="005A75AE"/>
    <w:rsid w:val="005B015E"/>
    <w:rsid w:val="005B13F7"/>
    <w:rsid w:val="005B32C5"/>
    <w:rsid w:val="005B35D6"/>
    <w:rsid w:val="005B360B"/>
    <w:rsid w:val="005B3DDD"/>
    <w:rsid w:val="005B3E4A"/>
    <w:rsid w:val="005C3043"/>
    <w:rsid w:val="005C42D9"/>
    <w:rsid w:val="005C5A6E"/>
    <w:rsid w:val="005D11F0"/>
    <w:rsid w:val="005D3281"/>
    <w:rsid w:val="005D3BDE"/>
    <w:rsid w:val="005D41E6"/>
    <w:rsid w:val="005D4C94"/>
    <w:rsid w:val="005D5B42"/>
    <w:rsid w:val="005D74FB"/>
    <w:rsid w:val="005D7DFF"/>
    <w:rsid w:val="005E1F28"/>
    <w:rsid w:val="005E443E"/>
    <w:rsid w:val="005E4600"/>
    <w:rsid w:val="005E4C96"/>
    <w:rsid w:val="005E60F6"/>
    <w:rsid w:val="005F102C"/>
    <w:rsid w:val="005F2232"/>
    <w:rsid w:val="005F2CF3"/>
    <w:rsid w:val="005F31C1"/>
    <w:rsid w:val="00601F8F"/>
    <w:rsid w:val="006033BD"/>
    <w:rsid w:val="00605FAF"/>
    <w:rsid w:val="00606B19"/>
    <w:rsid w:val="00606FBC"/>
    <w:rsid w:val="00612B3B"/>
    <w:rsid w:val="006156DC"/>
    <w:rsid w:val="00623B26"/>
    <w:rsid w:val="00624C21"/>
    <w:rsid w:val="00625503"/>
    <w:rsid w:val="00630C55"/>
    <w:rsid w:val="0063340F"/>
    <w:rsid w:val="00633924"/>
    <w:rsid w:val="00633DC6"/>
    <w:rsid w:val="00640494"/>
    <w:rsid w:val="00646D74"/>
    <w:rsid w:val="00650902"/>
    <w:rsid w:val="0065153C"/>
    <w:rsid w:val="00651D03"/>
    <w:rsid w:val="006534D3"/>
    <w:rsid w:val="0065506F"/>
    <w:rsid w:val="006618CF"/>
    <w:rsid w:val="00661F01"/>
    <w:rsid w:val="006620C8"/>
    <w:rsid w:val="006652BA"/>
    <w:rsid w:val="00667000"/>
    <w:rsid w:val="006676D9"/>
    <w:rsid w:val="00672555"/>
    <w:rsid w:val="00673898"/>
    <w:rsid w:val="00674094"/>
    <w:rsid w:val="0067482F"/>
    <w:rsid w:val="00675503"/>
    <w:rsid w:val="00681C83"/>
    <w:rsid w:val="00682B2C"/>
    <w:rsid w:val="006849F6"/>
    <w:rsid w:val="00684B75"/>
    <w:rsid w:val="00684BC2"/>
    <w:rsid w:val="00684D30"/>
    <w:rsid w:val="006856FF"/>
    <w:rsid w:val="006863D8"/>
    <w:rsid w:val="00686B26"/>
    <w:rsid w:val="006900AC"/>
    <w:rsid w:val="00690AD8"/>
    <w:rsid w:val="00695734"/>
    <w:rsid w:val="00695EEC"/>
    <w:rsid w:val="006972BF"/>
    <w:rsid w:val="006A20B3"/>
    <w:rsid w:val="006A4A86"/>
    <w:rsid w:val="006A52E2"/>
    <w:rsid w:val="006B0FE8"/>
    <w:rsid w:val="006B1609"/>
    <w:rsid w:val="006B2ABD"/>
    <w:rsid w:val="006B3946"/>
    <w:rsid w:val="006B54C7"/>
    <w:rsid w:val="006B7033"/>
    <w:rsid w:val="006B7FBE"/>
    <w:rsid w:val="006C0B7C"/>
    <w:rsid w:val="006C2E50"/>
    <w:rsid w:val="006C48DE"/>
    <w:rsid w:val="006C53A7"/>
    <w:rsid w:val="006C6246"/>
    <w:rsid w:val="006C6B6B"/>
    <w:rsid w:val="006C7AE7"/>
    <w:rsid w:val="006D1469"/>
    <w:rsid w:val="006D5A9A"/>
    <w:rsid w:val="006E15E4"/>
    <w:rsid w:val="006E1F02"/>
    <w:rsid w:val="006E3397"/>
    <w:rsid w:val="006F11BD"/>
    <w:rsid w:val="006F3882"/>
    <w:rsid w:val="006F4BEB"/>
    <w:rsid w:val="006F5AEF"/>
    <w:rsid w:val="006F6676"/>
    <w:rsid w:val="007001E0"/>
    <w:rsid w:val="007123C2"/>
    <w:rsid w:val="0071316F"/>
    <w:rsid w:val="007136E6"/>
    <w:rsid w:val="0072021D"/>
    <w:rsid w:val="00720E37"/>
    <w:rsid w:val="00720F68"/>
    <w:rsid w:val="00720FC0"/>
    <w:rsid w:val="0072349E"/>
    <w:rsid w:val="007238DB"/>
    <w:rsid w:val="00724536"/>
    <w:rsid w:val="007253E3"/>
    <w:rsid w:val="007255CD"/>
    <w:rsid w:val="007315C3"/>
    <w:rsid w:val="007318BA"/>
    <w:rsid w:val="007334EA"/>
    <w:rsid w:val="00735F36"/>
    <w:rsid w:val="00736B2F"/>
    <w:rsid w:val="00737025"/>
    <w:rsid w:val="00737A54"/>
    <w:rsid w:val="00737FB2"/>
    <w:rsid w:val="00741E4A"/>
    <w:rsid w:val="007437EE"/>
    <w:rsid w:val="00744F5A"/>
    <w:rsid w:val="007455AD"/>
    <w:rsid w:val="00746D7A"/>
    <w:rsid w:val="00746E66"/>
    <w:rsid w:val="00747F40"/>
    <w:rsid w:val="0075063F"/>
    <w:rsid w:val="007605C8"/>
    <w:rsid w:val="00763554"/>
    <w:rsid w:val="00764614"/>
    <w:rsid w:val="0076526B"/>
    <w:rsid w:val="007652AE"/>
    <w:rsid w:val="007677BE"/>
    <w:rsid w:val="00767FF2"/>
    <w:rsid w:val="007707AA"/>
    <w:rsid w:val="0077224E"/>
    <w:rsid w:val="00781039"/>
    <w:rsid w:val="007825E8"/>
    <w:rsid w:val="00790246"/>
    <w:rsid w:val="00791031"/>
    <w:rsid w:val="0079157C"/>
    <w:rsid w:val="00792A34"/>
    <w:rsid w:val="00793C25"/>
    <w:rsid w:val="007A1136"/>
    <w:rsid w:val="007A5C4C"/>
    <w:rsid w:val="007B0579"/>
    <w:rsid w:val="007B3A99"/>
    <w:rsid w:val="007B41A6"/>
    <w:rsid w:val="007B6AD8"/>
    <w:rsid w:val="007B6D97"/>
    <w:rsid w:val="007B7906"/>
    <w:rsid w:val="007C4432"/>
    <w:rsid w:val="007D14DF"/>
    <w:rsid w:val="007D22BA"/>
    <w:rsid w:val="007D3AB9"/>
    <w:rsid w:val="007D3C35"/>
    <w:rsid w:val="007D42A1"/>
    <w:rsid w:val="007D441F"/>
    <w:rsid w:val="007D4868"/>
    <w:rsid w:val="007D4A60"/>
    <w:rsid w:val="007D7BA6"/>
    <w:rsid w:val="007E0AC1"/>
    <w:rsid w:val="007E30B0"/>
    <w:rsid w:val="007E37C0"/>
    <w:rsid w:val="007E5598"/>
    <w:rsid w:val="007E6279"/>
    <w:rsid w:val="007E6E94"/>
    <w:rsid w:val="007F2249"/>
    <w:rsid w:val="007F28B9"/>
    <w:rsid w:val="007F6C2A"/>
    <w:rsid w:val="008001D1"/>
    <w:rsid w:val="008008D4"/>
    <w:rsid w:val="00801262"/>
    <w:rsid w:val="008020D3"/>
    <w:rsid w:val="008043AE"/>
    <w:rsid w:val="00804869"/>
    <w:rsid w:val="00804908"/>
    <w:rsid w:val="0080704C"/>
    <w:rsid w:val="00807BBD"/>
    <w:rsid w:val="00811A5D"/>
    <w:rsid w:val="008120DB"/>
    <w:rsid w:val="00813665"/>
    <w:rsid w:val="00814698"/>
    <w:rsid w:val="0081479B"/>
    <w:rsid w:val="00815ECC"/>
    <w:rsid w:val="00823D56"/>
    <w:rsid w:val="008247C3"/>
    <w:rsid w:val="00825B44"/>
    <w:rsid w:val="00825DEB"/>
    <w:rsid w:val="0083062A"/>
    <w:rsid w:val="00831D49"/>
    <w:rsid w:val="0083210B"/>
    <w:rsid w:val="008325D0"/>
    <w:rsid w:val="0083386C"/>
    <w:rsid w:val="008355CE"/>
    <w:rsid w:val="00835736"/>
    <w:rsid w:val="00836DF0"/>
    <w:rsid w:val="00837AF9"/>
    <w:rsid w:val="0084046D"/>
    <w:rsid w:val="008464E5"/>
    <w:rsid w:val="00850F9B"/>
    <w:rsid w:val="00853260"/>
    <w:rsid w:val="00854470"/>
    <w:rsid w:val="00857D72"/>
    <w:rsid w:val="00861B39"/>
    <w:rsid w:val="00863DA5"/>
    <w:rsid w:val="00864D3B"/>
    <w:rsid w:val="00866220"/>
    <w:rsid w:val="008672D5"/>
    <w:rsid w:val="00870A8D"/>
    <w:rsid w:val="00871D8A"/>
    <w:rsid w:val="00873067"/>
    <w:rsid w:val="0087448C"/>
    <w:rsid w:val="00874C32"/>
    <w:rsid w:val="00874E79"/>
    <w:rsid w:val="00876E01"/>
    <w:rsid w:val="00880D87"/>
    <w:rsid w:val="00881B29"/>
    <w:rsid w:val="00882EAC"/>
    <w:rsid w:val="0088428C"/>
    <w:rsid w:val="00884340"/>
    <w:rsid w:val="00886394"/>
    <w:rsid w:val="00887004"/>
    <w:rsid w:val="00892BA9"/>
    <w:rsid w:val="008968E9"/>
    <w:rsid w:val="008A04D3"/>
    <w:rsid w:val="008A3D7F"/>
    <w:rsid w:val="008A3E3B"/>
    <w:rsid w:val="008A4334"/>
    <w:rsid w:val="008A4374"/>
    <w:rsid w:val="008A5443"/>
    <w:rsid w:val="008B0E70"/>
    <w:rsid w:val="008B3C30"/>
    <w:rsid w:val="008B4E4B"/>
    <w:rsid w:val="008B5577"/>
    <w:rsid w:val="008C2161"/>
    <w:rsid w:val="008C3AC7"/>
    <w:rsid w:val="008C47FA"/>
    <w:rsid w:val="008C5342"/>
    <w:rsid w:val="008C55F1"/>
    <w:rsid w:val="008C692E"/>
    <w:rsid w:val="008C7230"/>
    <w:rsid w:val="008C7A52"/>
    <w:rsid w:val="008D0D1C"/>
    <w:rsid w:val="008D26B6"/>
    <w:rsid w:val="008D26CF"/>
    <w:rsid w:val="008D368D"/>
    <w:rsid w:val="008D4344"/>
    <w:rsid w:val="008D4839"/>
    <w:rsid w:val="008E0C1C"/>
    <w:rsid w:val="008E45B5"/>
    <w:rsid w:val="008E4A71"/>
    <w:rsid w:val="008E5FF5"/>
    <w:rsid w:val="008F0075"/>
    <w:rsid w:val="008F2D3E"/>
    <w:rsid w:val="008F30F4"/>
    <w:rsid w:val="008F5738"/>
    <w:rsid w:val="008F5F43"/>
    <w:rsid w:val="008F7F4E"/>
    <w:rsid w:val="009036A0"/>
    <w:rsid w:val="00903F62"/>
    <w:rsid w:val="00904B90"/>
    <w:rsid w:val="00906147"/>
    <w:rsid w:val="00907B68"/>
    <w:rsid w:val="009111C1"/>
    <w:rsid w:val="0091193E"/>
    <w:rsid w:val="009130AC"/>
    <w:rsid w:val="0091561E"/>
    <w:rsid w:val="00915ADA"/>
    <w:rsid w:val="00917467"/>
    <w:rsid w:val="00922831"/>
    <w:rsid w:val="00922872"/>
    <w:rsid w:val="00924030"/>
    <w:rsid w:val="0093538A"/>
    <w:rsid w:val="009362DC"/>
    <w:rsid w:val="009365EB"/>
    <w:rsid w:val="00936E2B"/>
    <w:rsid w:val="00936F1B"/>
    <w:rsid w:val="00937D6D"/>
    <w:rsid w:val="00937EF5"/>
    <w:rsid w:val="00940EA3"/>
    <w:rsid w:val="00943C72"/>
    <w:rsid w:val="00947A3E"/>
    <w:rsid w:val="00947E0F"/>
    <w:rsid w:val="00950337"/>
    <w:rsid w:val="009509CC"/>
    <w:rsid w:val="00951DB8"/>
    <w:rsid w:val="0095216F"/>
    <w:rsid w:val="0095680F"/>
    <w:rsid w:val="00956932"/>
    <w:rsid w:val="00956A25"/>
    <w:rsid w:val="00960235"/>
    <w:rsid w:val="009607E3"/>
    <w:rsid w:val="00960C2D"/>
    <w:rsid w:val="009612EF"/>
    <w:rsid w:val="00961316"/>
    <w:rsid w:val="00962976"/>
    <w:rsid w:val="00962D05"/>
    <w:rsid w:val="00963043"/>
    <w:rsid w:val="009634C8"/>
    <w:rsid w:val="0096488C"/>
    <w:rsid w:val="00964DB6"/>
    <w:rsid w:val="00965007"/>
    <w:rsid w:val="0096518D"/>
    <w:rsid w:val="0096547A"/>
    <w:rsid w:val="00967EDE"/>
    <w:rsid w:val="009706CE"/>
    <w:rsid w:val="00974A2D"/>
    <w:rsid w:val="0097633B"/>
    <w:rsid w:val="00976A70"/>
    <w:rsid w:val="00977B31"/>
    <w:rsid w:val="0098018F"/>
    <w:rsid w:val="00982060"/>
    <w:rsid w:val="00982774"/>
    <w:rsid w:val="00982991"/>
    <w:rsid w:val="00983C40"/>
    <w:rsid w:val="00984D4F"/>
    <w:rsid w:val="00986C46"/>
    <w:rsid w:val="009911D2"/>
    <w:rsid w:val="009925A1"/>
    <w:rsid w:val="00996A46"/>
    <w:rsid w:val="00996ED3"/>
    <w:rsid w:val="009A1543"/>
    <w:rsid w:val="009A315A"/>
    <w:rsid w:val="009A36FD"/>
    <w:rsid w:val="009A3C36"/>
    <w:rsid w:val="009A40CA"/>
    <w:rsid w:val="009A6BB3"/>
    <w:rsid w:val="009B4FF9"/>
    <w:rsid w:val="009C0793"/>
    <w:rsid w:val="009C0ECA"/>
    <w:rsid w:val="009C138D"/>
    <w:rsid w:val="009C1B84"/>
    <w:rsid w:val="009C365B"/>
    <w:rsid w:val="009C535B"/>
    <w:rsid w:val="009C5C65"/>
    <w:rsid w:val="009C7478"/>
    <w:rsid w:val="009D23D9"/>
    <w:rsid w:val="009D2988"/>
    <w:rsid w:val="009D3BDF"/>
    <w:rsid w:val="009D556F"/>
    <w:rsid w:val="009D66DF"/>
    <w:rsid w:val="009D6FFC"/>
    <w:rsid w:val="009E3060"/>
    <w:rsid w:val="009E317D"/>
    <w:rsid w:val="009E4188"/>
    <w:rsid w:val="009E6ADA"/>
    <w:rsid w:val="009F0FAC"/>
    <w:rsid w:val="009F2CB2"/>
    <w:rsid w:val="009F42D5"/>
    <w:rsid w:val="009F59EE"/>
    <w:rsid w:val="00A00614"/>
    <w:rsid w:val="00A03F16"/>
    <w:rsid w:val="00A0626C"/>
    <w:rsid w:val="00A06687"/>
    <w:rsid w:val="00A0680F"/>
    <w:rsid w:val="00A07B57"/>
    <w:rsid w:val="00A1017F"/>
    <w:rsid w:val="00A11002"/>
    <w:rsid w:val="00A12D97"/>
    <w:rsid w:val="00A145E2"/>
    <w:rsid w:val="00A15C5F"/>
    <w:rsid w:val="00A1706A"/>
    <w:rsid w:val="00A17595"/>
    <w:rsid w:val="00A2129E"/>
    <w:rsid w:val="00A2161C"/>
    <w:rsid w:val="00A21AB7"/>
    <w:rsid w:val="00A22380"/>
    <w:rsid w:val="00A267CE"/>
    <w:rsid w:val="00A27F10"/>
    <w:rsid w:val="00A3119E"/>
    <w:rsid w:val="00A3163A"/>
    <w:rsid w:val="00A326E5"/>
    <w:rsid w:val="00A34404"/>
    <w:rsid w:val="00A345F7"/>
    <w:rsid w:val="00A351F4"/>
    <w:rsid w:val="00A35204"/>
    <w:rsid w:val="00A35900"/>
    <w:rsid w:val="00A36D79"/>
    <w:rsid w:val="00A371A8"/>
    <w:rsid w:val="00A401A3"/>
    <w:rsid w:val="00A4441D"/>
    <w:rsid w:val="00A477F8"/>
    <w:rsid w:val="00A51DB8"/>
    <w:rsid w:val="00A526C9"/>
    <w:rsid w:val="00A52E40"/>
    <w:rsid w:val="00A553F8"/>
    <w:rsid w:val="00A644DF"/>
    <w:rsid w:val="00A661EE"/>
    <w:rsid w:val="00A672EA"/>
    <w:rsid w:val="00A67865"/>
    <w:rsid w:val="00A706DB"/>
    <w:rsid w:val="00A75581"/>
    <w:rsid w:val="00A80A8B"/>
    <w:rsid w:val="00A82D27"/>
    <w:rsid w:val="00A83718"/>
    <w:rsid w:val="00A84D63"/>
    <w:rsid w:val="00A85069"/>
    <w:rsid w:val="00A86EF2"/>
    <w:rsid w:val="00A902B4"/>
    <w:rsid w:val="00A93669"/>
    <w:rsid w:val="00A969E4"/>
    <w:rsid w:val="00A973F9"/>
    <w:rsid w:val="00AA0C1B"/>
    <w:rsid w:val="00AA104C"/>
    <w:rsid w:val="00AA13C3"/>
    <w:rsid w:val="00AA1D7A"/>
    <w:rsid w:val="00AA1EF9"/>
    <w:rsid w:val="00AA3C5C"/>
    <w:rsid w:val="00AA58B4"/>
    <w:rsid w:val="00AB150A"/>
    <w:rsid w:val="00AB5C28"/>
    <w:rsid w:val="00AC0B97"/>
    <w:rsid w:val="00AC0F4F"/>
    <w:rsid w:val="00AC14FC"/>
    <w:rsid w:val="00AC1B87"/>
    <w:rsid w:val="00AC1E03"/>
    <w:rsid w:val="00AC3155"/>
    <w:rsid w:val="00AC4CEE"/>
    <w:rsid w:val="00AD0B09"/>
    <w:rsid w:val="00AD2933"/>
    <w:rsid w:val="00AD3089"/>
    <w:rsid w:val="00AD3D91"/>
    <w:rsid w:val="00AD79CC"/>
    <w:rsid w:val="00AE0FD1"/>
    <w:rsid w:val="00AE4CC4"/>
    <w:rsid w:val="00AE662F"/>
    <w:rsid w:val="00AE7AFA"/>
    <w:rsid w:val="00AF080F"/>
    <w:rsid w:val="00AF0BE0"/>
    <w:rsid w:val="00AF2D1B"/>
    <w:rsid w:val="00AF5FA6"/>
    <w:rsid w:val="00B00B35"/>
    <w:rsid w:val="00B012F6"/>
    <w:rsid w:val="00B03608"/>
    <w:rsid w:val="00B04D58"/>
    <w:rsid w:val="00B0598D"/>
    <w:rsid w:val="00B05BB0"/>
    <w:rsid w:val="00B066DB"/>
    <w:rsid w:val="00B07063"/>
    <w:rsid w:val="00B0741A"/>
    <w:rsid w:val="00B106CE"/>
    <w:rsid w:val="00B13DF1"/>
    <w:rsid w:val="00B14797"/>
    <w:rsid w:val="00B1561F"/>
    <w:rsid w:val="00B15FD4"/>
    <w:rsid w:val="00B169AF"/>
    <w:rsid w:val="00B177AF"/>
    <w:rsid w:val="00B17AD8"/>
    <w:rsid w:val="00B20F7B"/>
    <w:rsid w:val="00B21A92"/>
    <w:rsid w:val="00B21D7F"/>
    <w:rsid w:val="00B2288F"/>
    <w:rsid w:val="00B23454"/>
    <w:rsid w:val="00B244B9"/>
    <w:rsid w:val="00B24AB2"/>
    <w:rsid w:val="00B24DBE"/>
    <w:rsid w:val="00B26C1E"/>
    <w:rsid w:val="00B270E8"/>
    <w:rsid w:val="00B2738B"/>
    <w:rsid w:val="00B278D2"/>
    <w:rsid w:val="00B30195"/>
    <w:rsid w:val="00B3074F"/>
    <w:rsid w:val="00B3103A"/>
    <w:rsid w:val="00B31509"/>
    <w:rsid w:val="00B3354F"/>
    <w:rsid w:val="00B34562"/>
    <w:rsid w:val="00B34675"/>
    <w:rsid w:val="00B41012"/>
    <w:rsid w:val="00B41035"/>
    <w:rsid w:val="00B45ED0"/>
    <w:rsid w:val="00B45F71"/>
    <w:rsid w:val="00B46015"/>
    <w:rsid w:val="00B475E1"/>
    <w:rsid w:val="00B47902"/>
    <w:rsid w:val="00B47AFD"/>
    <w:rsid w:val="00B51F3C"/>
    <w:rsid w:val="00B5230B"/>
    <w:rsid w:val="00B52B36"/>
    <w:rsid w:val="00B537F1"/>
    <w:rsid w:val="00B55F72"/>
    <w:rsid w:val="00B564A6"/>
    <w:rsid w:val="00B6512E"/>
    <w:rsid w:val="00B65A3B"/>
    <w:rsid w:val="00B676E6"/>
    <w:rsid w:val="00B67D59"/>
    <w:rsid w:val="00B708C9"/>
    <w:rsid w:val="00B70A80"/>
    <w:rsid w:val="00B7116F"/>
    <w:rsid w:val="00B712F8"/>
    <w:rsid w:val="00B714D3"/>
    <w:rsid w:val="00B7285B"/>
    <w:rsid w:val="00B74D65"/>
    <w:rsid w:val="00B76BBE"/>
    <w:rsid w:val="00B76DDA"/>
    <w:rsid w:val="00B777C3"/>
    <w:rsid w:val="00B77830"/>
    <w:rsid w:val="00B80003"/>
    <w:rsid w:val="00B81F38"/>
    <w:rsid w:val="00B82BA4"/>
    <w:rsid w:val="00B84690"/>
    <w:rsid w:val="00B86D21"/>
    <w:rsid w:val="00B87C15"/>
    <w:rsid w:val="00B91B61"/>
    <w:rsid w:val="00B92DE5"/>
    <w:rsid w:val="00B95EBA"/>
    <w:rsid w:val="00BA29AE"/>
    <w:rsid w:val="00BA4EE1"/>
    <w:rsid w:val="00BA6059"/>
    <w:rsid w:val="00BA6DBC"/>
    <w:rsid w:val="00BA6DD7"/>
    <w:rsid w:val="00BA7E4C"/>
    <w:rsid w:val="00BB0801"/>
    <w:rsid w:val="00BB1BAE"/>
    <w:rsid w:val="00BB27FC"/>
    <w:rsid w:val="00BB5F03"/>
    <w:rsid w:val="00BC10FE"/>
    <w:rsid w:val="00BC1BA1"/>
    <w:rsid w:val="00BC30D1"/>
    <w:rsid w:val="00BC43C3"/>
    <w:rsid w:val="00BC6C6E"/>
    <w:rsid w:val="00BC7898"/>
    <w:rsid w:val="00BD0305"/>
    <w:rsid w:val="00BD18EA"/>
    <w:rsid w:val="00BD25BD"/>
    <w:rsid w:val="00BD26AB"/>
    <w:rsid w:val="00BD4FB4"/>
    <w:rsid w:val="00BD56CC"/>
    <w:rsid w:val="00BD5B45"/>
    <w:rsid w:val="00BD6A7F"/>
    <w:rsid w:val="00BD7095"/>
    <w:rsid w:val="00BE127F"/>
    <w:rsid w:val="00BE34DD"/>
    <w:rsid w:val="00BE7D75"/>
    <w:rsid w:val="00BF02EE"/>
    <w:rsid w:val="00BF0F80"/>
    <w:rsid w:val="00BF1CB0"/>
    <w:rsid w:val="00BF3B93"/>
    <w:rsid w:val="00BF3C3D"/>
    <w:rsid w:val="00BF4FA6"/>
    <w:rsid w:val="00BF5DE1"/>
    <w:rsid w:val="00BF69D4"/>
    <w:rsid w:val="00C00860"/>
    <w:rsid w:val="00C0488B"/>
    <w:rsid w:val="00C05509"/>
    <w:rsid w:val="00C1291C"/>
    <w:rsid w:val="00C129F0"/>
    <w:rsid w:val="00C12B80"/>
    <w:rsid w:val="00C1553C"/>
    <w:rsid w:val="00C16738"/>
    <w:rsid w:val="00C16A07"/>
    <w:rsid w:val="00C213F3"/>
    <w:rsid w:val="00C2196C"/>
    <w:rsid w:val="00C25196"/>
    <w:rsid w:val="00C25A49"/>
    <w:rsid w:val="00C30103"/>
    <w:rsid w:val="00C30556"/>
    <w:rsid w:val="00C306CA"/>
    <w:rsid w:val="00C35BFC"/>
    <w:rsid w:val="00C36244"/>
    <w:rsid w:val="00C362AF"/>
    <w:rsid w:val="00C36818"/>
    <w:rsid w:val="00C36AC8"/>
    <w:rsid w:val="00C36E73"/>
    <w:rsid w:val="00C40157"/>
    <w:rsid w:val="00C42096"/>
    <w:rsid w:val="00C43FC3"/>
    <w:rsid w:val="00C44D59"/>
    <w:rsid w:val="00C45232"/>
    <w:rsid w:val="00C4735A"/>
    <w:rsid w:val="00C47882"/>
    <w:rsid w:val="00C503A0"/>
    <w:rsid w:val="00C505D4"/>
    <w:rsid w:val="00C50A39"/>
    <w:rsid w:val="00C51E90"/>
    <w:rsid w:val="00C53ECE"/>
    <w:rsid w:val="00C55E4E"/>
    <w:rsid w:val="00C5726E"/>
    <w:rsid w:val="00C6048F"/>
    <w:rsid w:val="00C607F2"/>
    <w:rsid w:val="00C61777"/>
    <w:rsid w:val="00C620A0"/>
    <w:rsid w:val="00C63428"/>
    <w:rsid w:val="00C639A8"/>
    <w:rsid w:val="00C63AF6"/>
    <w:rsid w:val="00C63DF0"/>
    <w:rsid w:val="00C63E32"/>
    <w:rsid w:val="00C641D2"/>
    <w:rsid w:val="00C64B40"/>
    <w:rsid w:val="00C650DB"/>
    <w:rsid w:val="00C653C3"/>
    <w:rsid w:val="00C7180F"/>
    <w:rsid w:val="00C72C9B"/>
    <w:rsid w:val="00C73FC6"/>
    <w:rsid w:val="00C741D3"/>
    <w:rsid w:val="00C7462C"/>
    <w:rsid w:val="00C74B21"/>
    <w:rsid w:val="00C805AC"/>
    <w:rsid w:val="00C85300"/>
    <w:rsid w:val="00C8584A"/>
    <w:rsid w:val="00C85AB7"/>
    <w:rsid w:val="00C86EBC"/>
    <w:rsid w:val="00C87E22"/>
    <w:rsid w:val="00C91F7F"/>
    <w:rsid w:val="00C96C4F"/>
    <w:rsid w:val="00CA3F3D"/>
    <w:rsid w:val="00CA3FE4"/>
    <w:rsid w:val="00CA5FC8"/>
    <w:rsid w:val="00CB1985"/>
    <w:rsid w:val="00CB40F4"/>
    <w:rsid w:val="00CB50DD"/>
    <w:rsid w:val="00CB7416"/>
    <w:rsid w:val="00CC04E3"/>
    <w:rsid w:val="00CC32D9"/>
    <w:rsid w:val="00CC45E5"/>
    <w:rsid w:val="00CC5BEB"/>
    <w:rsid w:val="00CC60A9"/>
    <w:rsid w:val="00CC7C89"/>
    <w:rsid w:val="00CD1C31"/>
    <w:rsid w:val="00CD2522"/>
    <w:rsid w:val="00CD3324"/>
    <w:rsid w:val="00CD3C1E"/>
    <w:rsid w:val="00CD4B4B"/>
    <w:rsid w:val="00CD6EEC"/>
    <w:rsid w:val="00CE2578"/>
    <w:rsid w:val="00CE3577"/>
    <w:rsid w:val="00CF10DA"/>
    <w:rsid w:val="00CF2718"/>
    <w:rsid w:val="00CF3762"/>
    <w:rsid w:val="00CF7691"/>
    <w:rsid w:val="00D01461"/>
    <w:rsid w:val="00D01832"/>
    <w:rsid w:val="00D04122"/>
    <w:rsid w:val="00D047B7"/>
    <w:rsid w:val="00D11870"/>
    <w:rsid w:val="00D132FF"/>
    <w:rsid w:val="00D15557"/>
    <w:rsid w:val="00D15686"/>
    <w:rsid w:val="00D16F9E"/>
    <w:rsid w:val="00D21B27"/>
    <w:rsid w:val="00D223BF"/>
    <w:rsid w:val="00D2253B"/>
    <w:rsid w:val="00D22A67"/>
    <w:rsid w:val="00D245D2"/>
    <w:rsid w:val="00D25B0B"/>
    <w:rsid w:val="00D31127"/>
    <w:rsid w:val="00D31386"/>
    <w:rsid w:val="00D31FA8"/>
    <w:rsid w:val="00D3396D"/>
    <w:rsid w:val="00D3397B"/>
    <w:rsid w:val="00D3569B"/>
    <w:rsid w:val="00D35A90"/>
    <w:rsid w:val="00D36065"/>
    <w:rsid w:val="00D40D11"/>
    <w:rsid w:val="00D423AD"/>
    <w:rsid w:val="00D46528"/>
    <w:rsid w:val="00D46587"/>
    <w:rsid w:val="00D46E13"/>
    <w:rsid w:val="00D4733D"/>
    <w:rsid w:val="00D53085"/>
    <w:rsid w:val="00D532C1"/>
    <w:rsid w:val="00D57146"/>
    <w:rsid w:val="00D618AD"/>
    <w:rsid w:val="00D63DD3"/>
    <w:rsid w:val="00D6464D"/>
    <w:rsid w:val="00D65088"/>
    <w:rsid w:val="00D72895"/>
    <w:rsid w:val="00D76F6E"/>
    <w:rsid w:val="00D777C9"/>
    <w:rsid w:val="00D77E6E"/>
    <w:rsid w:val="00D80B6D"/>
    <w:rsid w:val="00D82E2D"/>
    <w:rsid w:val="00D8513A"/>
    <w:rsid w:val="00D87CCE"/>
    <w:rsid w:val="00D9306C"/>
    <w:rsid w:val="00DA087D"/>
    <w:rsid w:val="00DA1662"/>
    <w:rsid w:val="00DA327C"/>
    <w:rsid w:val="00DA576C"/>
    <w:rsid w:val="00DA6D6A"/>
    <w:rsid w:val="00DA7689"/>
    <w:rsid w:val="00DA78FC"/>
    <w:rsid w:val="00DB270B"/>
    <w:rsid w:val="00DB365A"/>
    <w:rsid w:val="00DB4335"/>
    <w:rsid w:val="00DB7664"/>
    <w:rsid w:val="00DC1FA8"/>
    <w:rsid w:val="00DC2A4B"/>
    <w:rsid w:val="00DC4212"/>
    <w:rsid w:val="00DC6476"/>
    <w:rsid w:val="00DC6AB6"/>
    <w:rsid w:val="00DD1EC1"/>
    <w:rsid w:val="00DD5E05"/>
    <w:rsid w:val="00DE17B0"/>
    <w:rsid w:val="00DE36DE"/>
    <w:rsid w:val="00DE448F"/>
    <w:rsid w:val="00DE4919"/>
    <w:rsid w:val="00DE75F4"/>
    <w:rsid w:val="00DE7686"/>
    <w:rsid w:val="00DE7CE1"/>
    <w:rsid w:val="00DF006F"/>
    <w:rsid w:val="00DF1F56"/>
    <w:rsid w:val="00DF296C"/>
    <w:rsid w:val="00DF2A53"/>
    <w:rsid w:val="00DF388B"/>
    <w:rsid w:val="00DF5CAA"/>
    <w:rsid w:val="00DF5E95"/>
    <w:rsid w:val="00E02125"/>
    <w:rsid w:val="00E0358E"/>
    <w:rsid w:val="00E04F24"/>
    <w:rsid w:val="00E04F7B"/>
    <w:rsid w:val="00E05E82"/>
    <w:rsid w:val="00E06CEA"/>
    <w:rsid w:val="00E11435"/>
    <w:rsid w:val="00E121F2"/>
    <w:rsid w:val="00E166F1"/>
    <w:rsid w:val="00E16928"/>
    <w:rsid w:val="00E16FE8"/>
    <w:rsid w:val="00E17539"/>
    <w:rsid w:val="00E211E6"/>
    <w:rsid w:val="00E23F1D"/>
    <w:rsid w:val="00E24FED"/>
    <w:rsid w:val="00E25085"/>
    <w:rsid w:val="00E2591F"/>
    <w:rsid w:val="00E343B0"/>
    <w:rsid w:val="00E35A9F"/>
    <w:rsid w:val="00E364A9"/>
    <w:rsid w:val="00E36E36"/>
    <w:rsid w:val="00E400AA"/>
    <w:rsid w:val="00E40BF0"/>
    <w:rsid w:val="00E41EE8"/>
    <w:rsid w:val="00E42149"/>
    <w:rsid w:val="00E4768E"/>
    <w:rsid w:val="00E47BA7"/>
    <w:rsid w:val="00E515C8"/>
    <w:rsid w:val="00E53945"/>
    <w:rsid w:val="00E55682"/>
    <w:rsid w:val="00E5639B"/>
    <w:rsid w:val="00E57D1A"/>
    <w:rsid w:val="00E608E3"/>
    <w:rsid w:val="00E60E78"/>
    <w:rsid w:val="00E63C9B"/>
    <w:rsid w:val="00E669EF"/>
    <w:rsid w:val="00E67800"/>
    <w:rsid w:val="00E71B7C"/>
    <w:rsid w:val="00E71C1E"/>
    <w:rsid w:val="00E71D31"/>
    <w:rsid w:val="00E72BA8"/>
    <w:rsid w:val="00E74BB2"/>
    <w:rsid w:val="00E804FF"/>
    <w:rsid w:val="00E81785"/>
    <w:rsid w:val="00E83CCD"/>
    <w:rsid w:val="00E847E6"/>
    <w:rsid w:val="00E84909"/>
    <w:rsid w:val="00E856C2"/>
    <w:rsid w:val="00E90FB8"/>
    <w:rsid w:val="00E938B3"/>
    <w:rsid w:val="00E945C4"/>
    <w:rsid w:val="00E9495C"/>
    <w:rsid w:val="00EA29EC"/>
    <w:rsid w:val="00EA3186"/>
    <w:rsid w:val="00EA3C99"/>
    <w:rsid w:val="00EA47AD"/>
    <w:rsid w:val="00EA64D4"/>
    <w:rsid w:val="00EB06C5"/>
    <w:rsid w:val="00EB1535"/>
    <w:rsid w:val="00EB26B3"/>
    <w:rsid w:val="00EB4375"/>
    <w:rsid w:val="00EB4A89"/>
    <w:rsid w:val="00EB5B94"/>
    <w:rsid w:val="00EB657F"/>
    <w:rsid w:val="00EC046B"/>
    <w:rsid w:val="00EC75DD"/>
    <w:rsid w:val="00EC7691"/>
    <w:rsid w:val="00ED0FE5"/>
    <w:rsid w:val="00ED2A49"/>
    <w:rsid w:val="00ED4C36"/>
    <w:rsid w:val="00EE4761"/>
    <w:rsid w:val="00EE520F"/>
    <w:rsid w:val="00EE591F"/>
    <w:rsid w:val="00EE6C6D"/>
    <w:rsid w:val="00EE7BDD"/>
    <w:rsid w:val="00EF1568"/>
    <w:rsid w:val="00EF56AC"/>
    <w:rsid w:val="00EF5EE0"/>
    <w:rsid w:val="00EF62F8"/>
    <w:rsid w:val="00F0275F"/>
    <w:rsid w:val="00F040CA"/>
    <w:rsid w:val="00F04FF5"/>
    <w:rsid w:val="00F06420"/>
    <w:rsid w:val="00F06844"/>
    <w:rsid w:val="00F0734C"/>
    <w:rsid w:val="00F10CFA"/>
    <w:rsid w:val="00F1214E"/>
    <w:rsid w:val="00F12CDD"/>
    <w:rsid w:val="00F16128"/>
    <w:rsid w:val="00F161D2"/>
    <w:rsid w:val="00F20841"/>
    <w:rsid w:val="00F2446D"/>
    <w:rsid w:val="00F257ED"/>
    <w:rsid w:val="00F27366"/>
    <w:rsid w:val="00F30542"/>
    <w:rsid w:val="00F30BB8"/>
    <w:rsid w:val="00F33E63"/>
    <w:rsid w:val="00F366A6"/>
    <w:rsid w:val="00F37E08"/>
    <w:rsid w:val="00F41968"/>
    <w:rsid w:val="00F428EF"/>
    <w:rsid w:val="00F44539"/>
    <w:rsid w:val="00F44AEB"/>
    <w:rsid w:val="00F45620"/>
    <w:rsid w:val="00F45E5F"/>
    <w:rsid w:val="00F4632A"/>
    <w:rsid w:val="00F52462"/>
    <w:rsid w:val="00F53850"/>
    <w:rsid w:val="00F542F8"/>
    <w:rsid w:val="00F61061"/>
    <w:rsid w:val="00F63179"/>
    <w:rsid w:val="00F63E7A"/>
    <w:rsid w:val="00F64A9E"/>
    <w:rsid w:val="00F6505F"/>
    <w:rsid w:val="00F655E3"/>
    <w:rsid w:val="00F65A7D"/>
    <w:rsid w:val="00F739AD"/>
    <w:rsid w:val="00F76B0E"/>
    <w:rsid w:val="00F7782E"/>
    <w:rsid w:val="00F77BD8"/>
    <w:rsid w:val="00F801C0"/>
    <w:rsid w:val="00F8482C"/>
    <w:rsid w:val="00F84DCA"/>
    <w:rsid w:val="00F93799"/>
    <w:rsid w:val="00F94B22"/>
    <w:rsid w:val="00F95B39"/>
    <w:rsid w:val="00F968E3"/>
    <w:rsid w:val="00F97A8C"/>
    <w:rsid w:val="00FA0F28"/>
    <w:rsid w:val="00FA1AF3"/>
    <w:rsid w:val="00FA255B"/>
    <w:rsid w:val="00FA4A11"/>
    <w:rsid w:val="00FA6757"/>
    <w:rsid w:val="00FA6E14"/>
    <w:rsid w:val="00FB22D4"/>
    <w:rsid w:val="00FB551F"/>
    <w:rsid w:val="00FB6C4F"/>
    <w:rsid w:val="00FB7593"/>
    <w:rsid w:val="00FC1254"/>
    <w:rsid w:val="00FC33AA"/>
    <w:rsid w:val="00FC5217"/>
    <w:rsid w:val="00FD08A6"/>
    <w:rsid w:val="00FD20D1"/>
    <w:rsid w:val="00FD37BD"/>
    <w:rsid w:val="00FD5578"/>
    <w:rsid w:val="00FE189D"/>
    <w:rsid w:val="00FE28BC"/>
    <w:rsid w:val="00FE3A27"/>
    <w:rsid w:val="00FE6DB7"/>
    <w:rsid w:val="00FE7E9A"/>
    <w:rsid w:val="00FF29F0"/>
    <w:rsid w:val="00FF3A4B"/>
    <w:rsid w:val="00FF4E85"/>
    <w:rsid w:val="00FF5DCC"/>
    <w:rsid w:val="00FF75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 w:type="paragraph" w:customStyle="1" w:styleId="sc-17793b3-0">
    <w:name w:val="sc-17793b3-0"/>
    <w:basedOn w:val="Normln"/>
    <w:rsid w:val="00A3163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Mkatabulky">
    <w:name w:val="Table Grid"/>
    <w:basedOn w:val="Normlntabulka"/>
    <w:uiPriority w:val="39"/>
    <w:rsid w:val="00B20F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52974130">
      <w:bodyDiv w:val="1"/>
      <w:marLeft w:val="0"/>
      <w:marRight w:val="0"/>
      <w:marTop w:val="0"/>
      <w:marBottom w:val="0"/>
      <w:divBdr>
        <w:top w:val="none" w:sz="0" w:space="0" w:color="auto"/>
        <w:left w:val="none" w:sz="0" w:space="0" w:color="auto"/>
        <w:bottom w:val="none" w:sz="0" w:space="0" w:color="auto"/>
        <w:right w:val="none" w:sz="0" w:space="0" w:color="auto"/>
      </w:divBdr>
    </w:div>
    <w:div w:id="146015115">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61032890">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326908074">
      <w:bodyDiv w:val="1"/>
      <w:marLeft w:val="0"/>
      <w:marRight w:val="0"/>
      <w:marTop w:val="0"/>
      <w:marBottom w:val="0"/>
      <w:divBdr>
        <w:top w:val="none" w:sz="0" w:space="0" w:color="auto"/>
        <w:left w:val="none" w:sz="0" w:space="0" w:color="auto"/>
        <w:bottom w:val="none" w:sz="0" w:space="0" w:color="auto"/>
        <w:right w:val="none" w:sz="0" w:space="0" w:color="auto"/>
      </w:divBdr>
    </w:div>
    <w:div w:id="371659038">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55357261">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58339459">
      <w:bodyDiv w:val="1"/>
      <w:marLeft w:val="0"/>
      <w:marRight w:val="0"/>
      <w:marTop w:val="0"/>
      <w:marBottom w:val="0"/>
      <w:divBdr>
        <w:top w:val="none" w:sz="0" w:space="0" w:color="auto"/>
        <w:left w:val="none" w:sz="0" w:space="0" w:color="auto"/>
        <w:bottom w:val="none" w:sz="0" w:space="0" w:color="auto"/>
        <w:right w:val="none" w:sz="0" w:space="0" w:color="auto"/>
      </w:divBdr>
    </w:div>
    <w:div w:id="670832458">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782841264">
      <w:bodyDiv w:val="1"/>
      <w:marLeft w:val="0"/>
      <w:marRight w:val="0"/>
      <w:marTop w:val="0"/>
      <w:marBottom w:val="0"/>
      <w:divBdr>
        <w:top w:val="none" w:sz="0" w:space="0" w:color="auto"/>
        <w:left w:val="none" w:sz="0" w:space="0" w:color="auto"/>
        <w:bottom w:val="none" w:sz="0" w:space="0" w:color="auto"/>
        <w:right w:val="none" w:sz="0" w:space="0" w:color="auto"/>
      </w:divBdr>
    </w:div>
    <w:div w:id="812987891">
      <w:bodyDiv w:val="1"/>
      <w:marLeft w:val="0"/>
      <w:marRight w:val="0"/>
      <w:marTop w:val="0"/>
      <w:marBottom w:val="0"/>
      <w:divBdr>
        <w:top w:val="none" w:sz="0" w:space="0" w:color="auto"/>
        <w:left w:val="none" w:sz="0" w:space="0" w:color="auto"/>
        <w:bottom w:val="none" w:sz="0" w:space="0" w:color="auto"/>
        <w:right w:val="none" w:sz="0" w:space="0" w:color="auto"/>
      </w:divBdr>
    </w:div>
    <w:div w:id="852458738">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965039135">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07889667">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495489361">
      <w:bodyDiv w:val="1"/>
      <w:marLeft w:val="0"/>
      <w:marRight w:val="0"/>
      <w:marTop w:val="0"/>
      <w:marBottom w:val="0"/>
      <w:divBdr>
        <w:top w:val="none" w:sz="0" w:space="0" w:color="auto"/>
        <w:left w:val="none" w:sz="0" w:space="0" w:color="auto"/>
        <w:bottom w:val="none" w:sz="0" w:space="0" w:color="auto"/>
        <w:right w:val="none" w:sz="0" w:space="0" w:color="auto"/>
      </w:divBdr>
    </w:div>
    <w:div w:id="1593927371">
      <w:bodyDiv w:val="1"/>
      <w:marLeft w:val="0"/>
      <w:marRight w:val="0"/>
      <w:marTop w:val="0"/>
      <w:marBottom w:val="0"/>
      <w:divBdr>
        <w:top w:val="none" w:sz="0" w:space="0" w:color="auto"/>
        <w:left w:val="none" w:sz="0" w:space="0" w:color="auto"/>
        <w:bottom w:val="none" w:sz="0" w:space="0" w:color="auto"/>
        <w:right w:val="none" w:sz="0" w:space="0" w:color="auto"/>
      </w:divBdr>
    </w:div>
    <w:div w:id="1598050925">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231828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46095237">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886138050">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799945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hyperlink" Target="mailto:lenka.kuzelova@bcas.cz"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fontTable" Target="fontTable.xml"/><Relationship Id="rId10" Type="http://schemas.openxmlformats.org/officeDocument/2006/relationships/hyperlink" Target="http://okpointy.cz"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69D0B-5D4F-4D2F-B114-C09A065E4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1211</Words>
  <Characters>7147</Characters>
  <Application>Microsoft Office Word</Application>
  <DocSecurity>0</DocSecurity>
  <Lines>59</Lines>
  <Paragraphs>16</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2</cp:revision>
  <dcterms:created xsi:type="dcterms:W3CDTF">2024-04-17T11:31:00Z</dcterms:created>
  <dcterms:modified xsi:type="dcterms:W3CDTF">2024-04-17T11:31:00Z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