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0553832B" w14:textId="26A83FD8" w:rsidR="009A24E0" w:rsidRDefault="009A24E0" w:rsidP="00B27C5B">
          <w:pPr>
            <w:rPr>
              <w:highlight w:val="yellow"/>
            </w:rPr>
          </w:pPr>
        </w:p>
        <w:p w14:paraId="66C82109" w14:textId="09709D8F" w:rsidR="009A24E0" w:rsidRDefault="009A24E0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1A089D9D" w14:textId="14F9451F" w:rsidR="009A24E0" w:rsidRPr="00A92255" w:rsidRDefault="009A24E0" w:rsidP="009A24E0">
          <w:pPr>
            <w:pStyle w:val="Nadpis3"/>
            <w:spacing w:before="10"/>
            <w:ind w:left="0"/>
            <w:jc w:val="both"/>
            <w:rPr>
              <w:rFonts w:asciiTheme="minorHAnsi" w:hAnsiTheme="minorHAnsi" w:cstheme="minorHAnsi"/>
              <w:color w:val="1D1D1B"/>
              <w:highlight w:val="yellow"/>
            </w:rPr>
          </w:pPr>
        </w:p>
        <w:p w14:paraId="57935006" w14:textId="77777777" w:rsidR="009A24E0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 xml:space="preserve">INDEX HYPOTEČNÍCH ÚVĚRŮ </w:t>
          </w:r>
          <w:r w:rsidRPr="00A92255">
            <w:rPr>
              <w:rFonts w:asciiTheme="minorHAnsi" w:hAnsiTheme="minorHAnsi" w:cstheme="minorHAnsi"/>
              <w:color w:val="CD1719"/>
              <w:sz w:val="24"/>
            </w:rPr>
            <w:t xml:space="preserve">| </w:t>
          </w:r>
          <w:r w:rsidRPr="00A92255">
            <w:rPr>
              <w:rFonts w:asciiTheme="minorHAnsi" w:hAnsiTheme="minorHAnsi" w:cstheme="minorHAnsi"/>
              <w:color w:val="1D1D1B"/>
              <w:sz w:val="24"/>
            </w:rPr>
            <w:t>FIXINDEX</w:t>
          </w:r>
        </w:p>
        <w:p w14:paraId="4971D4AA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b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b/>
              <w:color w:val="1D1D1B"/>
              <w:sz w:val="24"/>
            </w:rPr>
            <w:t>INDEX PODÍLOVÝCH FONDŮ</w:t>
          </w:r>
        </w:p>
        <w:p w14:paraId="2EF85979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color w:val="1D1D1B"/>
              <w:sz w:val="24"/>
            </w:rPr>
            <w:t>REALINDEX</w:t>
          </w:r>
        </w:p>
        <w:p w14:paraId="088D3706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POVINDEX</w:t>
          </w:r>
        </w:p>
        <w:p w14:paraId="2C84A045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CD1719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INDEX SPOTŘEBITELSKÝCH ÚVĚRŮ</w:t>
          </w:r>
        </w:p>
        <w:p w14:paraId="77054EA8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1A769D6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E93F25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CC3AA0C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59264" behindDoc="1" locked="0" layoutInCell="1" allowOverlap="1" wp14:anchorId="48E7ADFA" wp14:editId="7B0A3BF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95F770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E6664AB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30CA37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FCA6E8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3FE327E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E3C75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2633DF4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444CA25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4AFBCDC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9110DCD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E4B3D2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775C62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C40915A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414FDD7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5AFA4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14008C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09C85D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FC8608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52B0573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7CE0F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7D076C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3693F34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7AA8D59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50C7C7" w14:textId="4F641F9A" w:rsidR="009A24E0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F1D41DE" w14:textId="3074C335" w:rsidR="00B859AE" w:rsidRDefault="00B859AE" w:rsidP="009A24E0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A718EC4" w14:textId="77777777" w:rsidR="00B859AE" w:rsidRDefault="00B859AE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1C76B6CD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3788119E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2D28740B" w14:textId="114FA560" w:rsidR="009A24E0" w:rsidRPr="00A92255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  <w:r w:rsidRPr="00A92255">
            <w:rPr>
              <w:rFonts w:asciiTheme="minorHAnsi" w:hAnsiTheme="minorHAnsi" w:cstheme="minorHAnsi"/>
              <w:b/>
            </w:rPr>
            <w:t>O společnosti Broker Consulting</w:t>
          </w:r>
        </w:p>
        <w:p w14:paraId="03F88B1D" w14:textId="77777777" w:rsidR="009A24E0" w:rsidRPr="00FC2522" w:rsidRDefault="009A24E0" w:rsidP="009A24E0">
          <w:pPr>
            <w:jc w:val="both"/>
            <w:rPr>
              <w:rFonts w:ascii="Arial" w:hAnsi="Arial" w:cs="Arial"/>
              <w:sz w:val="20"/>
            </w:rPr>
          </w:pPr>
        </w:p>
        <w:p w14:paraId="3C232BF0" w14:textId="77777777" w:rsidR="00D55587" w:rsidRPr="005B7E46" w:rsidRDefault="00D55587" w:rsidP="00D55587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>a na několika desítkách poboček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Premium,</w:t>
          </w:r>
          <w:r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5EE81B6A" w14:textId="77777777" w:rsidR="008C5E3B" w:rsidRPr="007C7B64" w:rsidRDefault="008C5E3B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F44928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default" r:id="rId17"/>
              <w:footerReference w:type="default" r:id="rId18"/>
              <w:headerReference w:type="first" r:id="rId19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199B939B" w14:textId="32A3A580" w:rsidR="001C4B7D" w:rsidRPr="00A0291E" w:rsidRDefault="009A24E0" w:rsidP="00C10A75">
      <w:pPr>
        <w:spacing w:after="240"/>
        <w:jc w:val="center"/>
        <w:rPr>
          <w:rFonts w:asciiTheme="minorHAnsi" w:hAnsiTheme="minorHAnsi" w:cstheme="minorHAnsi"/>
          <w:b/>
          <w:sz w:val="27"/>
          <w:szCs w:val="27"/>
        </w:rPr>
      </w:pPr>
      <w:r>
        <w:rPr>
          <w:rFonts w:asciiTheme="minorHAnsi" w:hAnsiTheme="minorHAnsi" w:cstheme="minorHAnsi"/>
          <w:b/>
          <w:sz w:val="27"/>
          <w:szCs w:val="27"/>
        </w:rPr>
        <w:br/>
      </w:r>
      <w:r w:rsidR="00C10A75">
        <w:rPr>
          <w:rFonts w:asciiTheme="minorHAnsi" w:hAnsiTheme="minorHAnsi" w:cstheme="minorHAnsi"/>
          <w:b/>
          <w:sz w:val="27"/>
          <w:szCs w:val="27"/>
        </w:rPr>
        <w:lastRenderedPageBreak/>
        <w:t>Sledovaná aktiva rostla napříč trhy</w:t>
      </w:r>
    </w:p>
    <w:p w14:paraId="1970F70A" w14:textId="2DDBD001" w:rsidR="00684D2C" w:rsidRPr="00A0291E" w:rsidRDefault="00EF651C" w:rsidP="00684D2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sz w:val="21"/>
          <w:szCs w:val="21"/>
        </w:rPr>
        <w:t xml:space="preserve">Meziměsíčně vzrostly všechny sledované </w:t>
      </w:r>
      <w:r w:rsidR="00C10A75">
        <w:rPr>
          <w:rFonts w:asciiTheme="minorHAnsi" w:hAnsiTheme="minorHAnsi" w:cstheme="minorHAnsi"/>
          <w:b/>
          <w:sz w:val="21"/>
          <w:szCs w:val="21"/>
        </w:rPr>
        <w:t>třídy aktiv</w:t>
      </w:r>
      <w:r w:rsidR="00E70EBC" w:rsidRPr="00A0291E">
        <w:rPr>
          <w:rFonts w:asciiTheme="minorHAnsi" w:hAnsiTheme="minorHAnsi" w:cstheme="minorHAnsi"/>
          <w:b/>
          <w:sz w:val="21"/>
          <w:szCs w:val="21"/>
        </w:rPr>
        <w:t>.</w:t>
      </w:r>
    </w:p>
    <w:p w14:paraId="243BCF90" w14:textId="75393618" w:rsidR="00684D2C" w:rsidRPr="00A0291E" w:rsidRDefault="00EF651C" w:rsidP="00C10A75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  <w:sz w:val="21"/>
          <w:szCs w:val="21"/>
        </w:rPr>
      </w:pPr>
      <w:r w:rsidRPr="00BB6A9C">
        <w:rPr>
          <w:rFonts w:asciiTheme="minorHAnsi" w:eastAsiaTheme="minorHAnsi" w:hAnsiTheme="minorHAnsi" w:cstheme="minorHAnsi"/>
          <w:b/>
          <w:lang w:bidi="ar-SA"/>
        </w:rPr>
        <w:t>Největší nárůst evidujeme u komoditních fondů, ty vykázaly po dlouhé době pozitivní růst</w:t>
      </w:r>
      <w:r w:rsidR="007216AC" w:rsidRPr="00A0291E">
        <w:rPr>
          <w:rFonts w:asciiTheme="minorHAnsi" w:hAnsiTheme="minorHAnsi" w:cstheme="minorHAnsi"/>
          <w:b/>
          <w:sz w:val="21"/>
          <w:szCs w:val="21"/>
        </w:rPr>
        <w:t>.</w:t>
      </w:r>
    </w:p>
    <w:p w14:paraId="7FB3AC57" w14:textId="6A17CCF2" w:rsidR="00EF651C" w:rsidRPr="00C10A75" w:rsidRDefault="00C10A75" w:rsidP="00C10A75">
      <w:pPr>
        <w:pStyle w:val="Odstavecseseznamem"/>
        <w:numPr>
          <w:ilvl w:val="0"/>
          <w:numId w:val="5"/>
        </w:numPr>
        <w:spacing w:after="120"/>
        <w:ind w:left="357" w:right="40" w:hanging="357"/>
        <w:rPr>
          <w:rFonts w:asciiTheme="minorHAnsi" w:eastAsiaTheme="minorHAnsi" w:hAnsiTheme="minorHAnsi" w:cstheme="minorHAnsi"/>
          <w:b/>
          <w:lang w:bidi="ar-SA"/>
        </w:rPr>
      </w:pPr>
      <w:r>
        <w:rPr>
          <w:rFonts w:asciiTheme="minorHAnsi" w:hAnsiTheme="minorHAnsi" w:cstheme="minorHAnsi"/>
          <w:b/>
        </w:rPr>
        <w:t>Druhým nejvýkonnějším aktivem byly akciové fondy</w:t>
      </w:r>
      <w:r w:rsidR="00EA56B9">
        <w:rPr>
          <w:rFonts w:asciiTheme="minorHAnsi" w:hAnsiTheme="minorHAnsi" w:cstheme="minorHAnsi"/>
          <w:b/>
        </w:rPr>
        <w:t>, které vzrostly na</w:t>
      </w:r>
      <w:r w:rsidR="00EF651C" w:rsidRPr="00BB6A9C">
        <w:rPr>
          <w:rFonts w:asciiTheme="minorHAnsi" w:hAnsiTheme="minorHAnsi" w:cstheme="minorHAnsi"/>
          <w:b/>
        </w:rPr>
        <w:t xml:space="preserve"> 2,37 procenta.</w:t>
      </w:r>
    </w:p>
    <w:p w14:paraId="01F990F3" w14:textId="645BFF02" w:rsidR="003B4944" w:rsidRPr="00FC71FD" w:rsidRDefault="00836812" w:rsidP="003B4944">
      <w:pPr>
        <w:spacing w:after="120"/>
        <w:jc w:val="both"/>
        <w:rPr>
          <w:rFonts w:asciiTheme="minorHAnsi" w:hAnsiTheme="minorHAnsi" w:cstheme="minorHAnsi"/>
          <w:b/>
        </w:rPr>
      </w:pPr>
      <w:r w:rsidRPr="00A0291E">
        <w:rPr>
          <w:rFonts w:asciiTheme="minorHAnsi" w:hAnsiTheme="minorHAnsi" w:cstheme="minorHAnsi"/>
          <w:i/>
        </w:rPr>
        <w:t xml:space="preserve">Praha, </w:t>
      </w:r>
      <w:r w:rsidR="001D3C98">
        <w:rPr>
          <w:rFonts w:asciiTheme="minorHAnsi" w:hAnsiTheme="minorHAnsi" w:cstheme="minorHAnsi"/>
          <w:i/>
        </w:rPr>
        <w:t>9</w:t>
      </w:r>
      <w:bookmarkStart w:id="0" w:name="_GoBack"/>
      <w:bookmarkEnd w:id="0"/>
      <w:r w:rsidR="00E11BD1" w:rsidRPr="00A0291E">
        <w:rPr>
          <w:rFonts w:asciiTheme="minorHAnsi" w:hAnsiTheme="minorHAnsi" w:cstheme="minorHAnsi"/>
          <w:i/>
        </w:rPr>
        <w:t>.</w:t>
      </w:r>
      <w:r w:rsidR="00EF651C">
        <w:rPr>
          <w:rFonts w:asciiTheme="minorHAnsi" w:hAnsiTheme="minorHAnsi" w:cstheme="minorHAnsi"/>
          <w:i/>
        </w:rPr>
        <w:t xml:space="preserve"> dubna</w:t>
      </w:r>
      <w:r w:rsidR="00B3476A" w:rsidRPr="00A0291E">
        <w:rPr>
          <w:rFonts w:asciiTheme="minorHAnsi" w:hAnsiTheme="minorHAnsi" w:cstheme="minorHAnsi"/>
          <w:i/>
        </w:rPr>
        <w:t xml:space="preserve"> </w:t>
      </w:r>
      <w:r w:rsidR="004E59F7" w:rsidRPr="00A0291E">
        <w:rPr>
          <w:rFonts w:asciiTheme="minorHAnsi" w:hAnsiTheme="minorHAnsi" w:cstheme="minorHAnsi"/>
          <w:i/>
        </w:rPr>
        <w:t>2024</w:t>
      </w:r>
      <w:r w:rsidR="00197879" w:rsidRPr="00A0291E">
        <w:rPr>
          <w:rFonts w:asciiTheme="minorHAnsi" w:hAnsiTheme="minorHAnsi" w:cstheme="minorHAnsi"/>
          <w:i/>
        </w:rPr>
        <w:t xml:space="preserve"> </w:t>
      </w:r>
      <w:r w:rsidR="00197879" w:rsidRPr="00A0291E">
        <w:rPr>
          <w:rFonts w:asciiTheme="minorHAnsi" w:hAnsiTheme="minorHAnsi" w:cstheme="minorHAnsi"/>
          <w:b/>
        </w:rPr>
        <w:t>–</w:t>
      </w:r>
      <w:r w:rsidR="00AB5142" w:rsidRPr="00A0291E">
        <w:rPr>
          <w:rFonts w:asciiTheme="minorHAnsi" w:hAnsiTheme="minorHAnsi" w:cstheme="minorHAnsi"/>
          <w:b/>
        </w:rPr>
        <w:t xml:space="preserve"> </w:t>
      </w:r>
      <w:r w:rsidR="00EF651C" w:rsidRPr="00EF651C">
        <w:rPr>
          <w:rFonts w:asciiTheme="minorHAnsi" w:hAnsiTheme="minorHAnsi" w:cstheme="minorHAnsi"/>
          <w:b/>
        </w:rPr>
        <w:t xml:space="preserve">Broker Consulting Index podílových fondů </w:t>
      </w:r>
      <w:r w:rsidR="00C10A75">
        <w:rPr>
          <w:rFonts w:asciiTheme="minorHAnsi" w:hAnsiTheme="minorHAnsi" w:cstheme="minorHAnsi"/>
          <w:b/>
        </w:rPr>
        <w:t>zaznamenal v březnu meziměsíční nárůst u</w:t>
      </w:r>
      <w:r w:rsidR="00EF651C" w:rsidRPr="00EF651C">
        <w:rPr>
          <w:rFonts w:asciiTheme="minorHAnsi" w:hAnsiTheme="minorHAnsi" w:cstheme="minorHAnsi"/>
          <w:b/>
        </w:rPr>
        <w:t xml:space="preserve"> všech </w:t>
      </w:r>
      <w:r w:rsidR="00C10A75">
        <w:rPr>
          <w:rFonts w:asciiTheme="minorHAnsi" w:hAnsiTheme="minorHAnsi" w:cstheme="minorHAnsi"/>
          <w:b/>
        </w:rPr>
        <w:t>monitorovaných tříd aktiv. Takové výsledky opakovaně reflektují</w:t>
      </w:r>
      <w:r w:rsidR="00EF651C" w:rsidRPr="00EF651C">
        <w:rPr>
          <w:rFonts w:asciiTheme="minorHAnsi" w:hAnsiTheme="minorHAnsi" w:cstheme="minorHAnsi"/>
          <w:b/>
        </w:rPr>
        <w:t xml:space="preserve"> pozitivní ná</w:t>
      </w:r>
      <w:r w:rsidR="00C10A75">
        <w:rPr>
          <w:rFonts w:asciiTheme="minorHAnsi" w:hAnsiTheme="minorHAnsi" w:cstheme="minorHAnsi"/>
          <w:b/>
        </w:rPr>
        <w:t>ladu na trzích. Nejvíce získaly komoditní fondy. Ty</w:t>
      </w:r>
      <w:r w:rsidR="00EF651C" w:rsidRPr="00EF651C">
        <w:rPr>
          <w:rFonts w:asciiTheme="minorHAnsi" w:hAnsiTheme="minorHAnsi" w:cstheme="minorHAnsi"/>
          <w:b/>
        </w:rPr>
        <w:t xml:space="preserve"> vykázaly po dlouhé době pozitivní růst, </w:t>
      </w:r>
      <w:r w:rsidR="00C10A75">
        <w:rPr>
          <w:rFonts w:asciiTheme="minorHAnsi" w:hAnsiTheme="minorHAnsi" w:cstheme="minorHAnsi"/>
          <w:b/>
        </w:rPr>
        <w:t xml:space="preserve">za kterým stál především růst </w:t>
      </w:r>
      <w:r w:rsidR="00EF651C" w:rsidRPr="00EF651C">
        <w:rPr>
          <w:rFonts w:asciiTheme="minorHAnsi" w:hAnsiTheme="minorHAnsi" w:cstheme="minorHAnsi"/>
          <w:b/>
        </w:rPr>
        <w:t>cen rop</w:t>
      </w:r>
      <w:r w:rsidR="00C10A75">
        <w:rPr>
          <w:rFonts w:asciiTheme="minorHAnsi" w:hAnsiTheme="minorHAnsi" w:cstheme="minorHAnsi"/>
          <w:b/>
        </w:rPr>
        <w:t>y a zlata. Dařilo se také akciovým fondům</w:t>
      </w:r>
      <w:r w:rsidR="00EF651C" w:rsidRPr="00EF651C">
        <w:rPr>
          <w:rFonts w:asciiTheme="minorHAnsi" w:hAnsiTheme="minorHAnsi" w:cstheme="minorHAnsi"/>
          <w:b/>
        </w:rPr>
        <w:t xml:space="preserve">, </w:t>
      </w:r>
      <w:r w:rsidR="00C10A75">
        <w:rPr>
          <w:rFonts w:asciiTheme="minorHAnsi" w:hAnsiTheme="minorHAnsi" w:cstheme="minorHAnsi"/>
          <w:b/>
        </w:rPr>
        <w:t>jež za březen vyšly se ziskem</w:t>
      </w:r>
      <w:r w:rsidR="00EF651C" w:rsidRPr="00EF651C">
        <w:rPr>
          <w:rFonts w:asciiTheme="minorHAnsi" w:hAnsiTheme="minorHAnsi" w:cstheme="minorHAnsi"/>
          <w:b/>
        </w:rPr>
        <w:t xml:space="preserve"> 2,37 procenta a staly se tak druhou nejvýkonnější třídou aktiv.</w:t>
      </w:r>
      <w:r w:rsidR="00C10A75">
        <w:rPr>
          <w:rFonts w:asciiTheme="minorHAnsi" w:hAnsiTheme="minorHAnsi" w:cstheme="minorHAnsi"/>
          <w:b/>
        </w:rPr>
        <w:t xml:space="preserve"> V blízkém budoucnu se potom očekává pokračování důvěry investorů v ekonomický růst.</w:t>
      </w:r>
    </w:p>
    <w:p w14:paraId="52151C74" w14:textId="0F32E521" w:rsidR="00FC71FD" w:rsidRPr="003976E1" w:rsidRDefault="00EF651C" w:rsidP="003976E1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3976E1">
        <w:rPr>
          <w:rFonts w:asciiTheme="minorHAnsi" w:hAnsiTheme="minorHAnsi" w:cstheme="minorHAnsi"/>
          <w:sz w:val="21"/>
          <w:szCs w:val="21"/>
        </w:rPr>
        <w:t>Optimistickou náladu investorů a důvěru v budoucí eko</w:t>
      </w:r>
      <w:r w:rsidR="003B4944" w:rsidRPr="003976E1">
        <w:rPr>
          <w:rFonts w:asciiTheme="minorHAnsi" w:hAnsiTheme="minorHAnsi" w:cstheme="minorHAnsi"/>
          <w:sz w:val="21"/>
          <w:szCs w:val="21"/>
        </w:rPr>
        <w:t>nomický růst odráží pokračování růstu akciových fondů</w:t>
      </w:r>
      <w:r w:rsidRPr="003976E1">
        <w:rPr>
          <w:rFonts w:asciiTheme="minorHAnsi" w:hAnsiTheme="minorHAnsi" w:cstheme="minorHAnsi"/>
          <w:sz w:val="21"/>
          <w:szCs w:val="21"/>
        </w:rPr>
        <w:t>, které zaznamenaly v březnu opětovný nárůst</w:t>
      </w:r>
      <w:r w:rsidR="003B4944" w:rsidRPr="003976E1">
        <w:rPr>
          <w:rFonts w:asciiTheme="minorHAnsi" w:hAnsiTheme="minorHAnsi" w:cstheme="minorHAnsi"/>
          <w:sz w:val="21"/>
          <w:szCs w:val="21"/>
        </w:rPr>
        <w:t xml:space="preserve"> v zelených číslech, a to</w:t>
      </w:r>
      <w:r w:rsidRPr="003976E1">
        <w:rPr>
          <w:rFonts w:asciiTheme="minorHAnsi" w:hAnsiTheme="minorHAnsi" w:cstheme="minorHAnsi"/>
          <w:sz w:val="21"/>
          <w:szCs w:val="21"/>
        </w:rPr>
        <w:t xml:space="preserve"> 2,37 procenta. Staly se tak druhým nejvýkonnějším sledovaným aktivem</w:t>
      </w:r>
      <w:r w:rsidR="003B4944" w:rsidRPr="003976E1">
        <w:rPr>
          <w:rFonts w:asciiTheme="minorHAnsi" w:hAnsiTheme="minorHAnsi" w:cstheme="minorHAnsi"/>
          <w:sz w:val="21"/>
          <w:szCs w:val="21"/>
        </w:rPr>
        <w:t xml:space="preserve"> v rámci indexu, jehož </w:t>
      </w:r>
      <w:r w:rsidRPr="003976E1">
        <w:rPr>
          <w:rFonts w:asciiTheme="minorHAnsi" w:hAnsiTheme="minorHAnsi" w:cstheme="minorHAnsi"/>
          <w:sz w:val="21"/>
          <w:szCs w:val="21"/>
        </w:rPr>
        <w:t xml:space="preserve">rostoucí trend je </w:t>
      </w:r>
      <w:r w:rsidR="003B4944" w:rsidRPr="003976E1">
        <w:rPr>
          <w:rFonts w:asciiTheme="minorHAnsi" w:hAnsiTheme="minorHAnsi" w:cstheme="minorHAnsi"/>
          <w:sz w:val="21"/>
          <w:szCs w:val="21"/>
        </w:rPr>
        <w:t xml:space="preserve">navíc patrný již několikátý měsíc </w:t>
      </w:r>
      <w:r w:rsidRPr="003976E1">
        <w:rPr>
          <w:rFonts w:asciiTheme="minorHAnsi" w:hAnsiTheme="minorHAnsi" w:cstheme="minorHAnsi"/>
          <w:sz w:val="21"/>
          <w:szCs w:val="21"/>
        </w:rPr>
        <w:t xml:space="preserve">v řadě. </w:t>
      </w:r>
      <w:r w:rsidR="003B4944" w:rsidRPr="003976E1">
        <w:rPr>
          <w:rFonts w:asciiTheme="minorHAnsi" w:hAnsiTheme="minorHAnsi" w:cstheme="minorHAnsi"/>
          <w:sz w:val="21"/>
          <w:szCs w:val="21"/>
        </w:rPr>
        <w:t xml:space="preserve">Experti ale upozorňují na možnou změnu: </w:t>
      </w:r>
      <w:r w:rsidRPr="003976E1">
        <w:rPr>
          <w:rFonts w:asciiTheme="minorHAnsi" w:hAnsiTheme="minorHAnsi" w:cstheme="minorHAnsi"/>
          <w:i/>
          <w:sz w:val="21"/>
          <w:szCs w:val="21"/>
        </w:rPr>
        <w:t>„</w:t>
      </w:r>
      <w:r w:rsidR="003B4944" w:rsidRPr="003976E1">
        <w:rPr>
          <w:rFonts w:asciiTheme="minorHAnsi" w:hAnsiTheme="minorHAnsi" w:cstheme="minorHAnsi"/>
          <w:i/>
          <w:sz w:val="21"/>
          <w:szCs w:val="21"/>
        </w:rPr>
        <w:t xml:space="preserve">Skutečnost, že se akciím dlouhodobě daří, </w:t>
      </w:r>
      <w:r w:rsidRPr="003976E1">
        <w:rPr>
          <w:rFonts w:asciiTheme="minorHAnsi" w:hAnsiTheme="minorHAnsi" w:cstheme="minorHAnsi"/>
          <w:i/>
          <w:sz w:val="21"/>
          <w:szCs w:val="21"/>
        </w:rPr>
        <w:t>vzbuzuje obavy z přehřátí akciového trhu, který by v následujících měsících mohl pravděpodobně zaznamenat krátkodobou korekci,“</w:t>
      </w:r>
      <w:r w:rsidRPr="003976E1">
        <w:rPr>
          <w:rFonts w:asciiTheme="minorHAnsi" w:hAnsiTheme="minorHAnsi" w:cstheme="minorHAnsi"/>
          <w:sz w:val="21"/>
          <w:szCs w:val="21"/>
        </w:rPr>
        <w:t xml:space="preserve"> </w:t>
      </w:r>
      <w:r w:rsidR="00FC71FD" w:rsidRPr="003976E1">
        <w:rPr>
          <w:rFonts w:asciiTheme="minorHAnsi" w:hAnsiTheme="minorHAnsi" w:cstheme="minorHAnsi"/>
          <w:sz w:val="21"/>
          <w:szCs w:val="21"/>
        </w:rPr>
        <w:t xml:space="preserve">komentuje </w:t>
      </w:r>
      <w:r w:rsidR="00FC71FD" w:rsidRPr="003976E1">
        <w:rPr>
          <w:rFonts w:asciiTheme="minorHAnsi" w:hAnsiTheme="minorHAnsi" w:cstheme="minorHAnsi"/>
          <w:b/>
          <w:sz w:val="21"/>
          <w:szCs w:val="21"/>
        </w:rPr>
        <w:t xml:space="preserve">Martin Novák, hlavní analytik společnosti Broker Consulting. </w:t>
      </w:r>
    </w:p>
    <w:p w14:paraId="13A223A0" w14:textId="4E3D7E01" w:rsidR="00EA2CE5" w:rsidRPr="00665315" w:rsidRDefault="00EA2CE5" w:rsidP="00EA2CE5">
      <w:pPr>
        <w:spacing w:after="2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2817C4C8" wp14:editId="32E4ED05">
            <wp:extent cx="6171656" cy="2400088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_brez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189" cy="24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4384" w14:textId="278B7AF6" w:rsidR="00EF651C" w:rsidRPr="003976E1" w:rsidRDefault="00665315" w:rsidP="00665315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3976E1">
        <w:rPr>
          <w:rFonts w:asciiTheme="minorHAnsi" w:hAnsiTheme="minorHAnsi" w:cstheme="minorHAnsi"/>
          <w:sz w:val="21"/>
          <w:szCs w:val="21"/>
        </w:rPr>
        <w:t>Velmi mírný růst (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0,07 </w:t>
      </w:r>
      <w:r w:rsidRPr="003976E1">
        <w:rPr>
          <w:rFonts w:asciiTheme="minorHAnsi" w:hAnsiTheme="minorHAnsi" w:cstheme="minorHAnsi"/>
          <w:sz w:val="21"/>
          <w:szCs w:val="21"/>
        </w:rPr>
        <w:t xml:space="preserve">procenta) </w:t>
      </w:r>
      <w:r w:rsidR="00EF651C" w:rsidRPr="003976E1">
        <w:rPr>
          <w:rFonts w:asciiTheme="minorHAnsi" w:hAnsiTheme="minorHAnsi" w:cstheme="minorHAnsi"/>
          <w:sz w:val="21"/>
          <w:szCs w:val="21"/>
        </w:rPr>
        <w:t>zaznamenaly dluhopisové fondy, které aktuálně globálně těží z</w:t>
      </w:r>
      <w:r w:rsidRPr="003976E1">
        <w:rPr>
          <w:rFonts w:asciiTheme="minorHAnsi" w:hAnsiTheme="minorHAnsi" w:cstheme="minorHAnsi"/>
          <w:sz w:val="21"/>
          <w:szCs w:val="21"/>
        </w:rPr>
        <w:t xml:space="preserve"> vysokých výnosů do splatnosti. Jejich růst navíc 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podporuje předpokládané postupné snižování úrokových sazeb v celém světě. I přes </w:t>
      </w:r>
      <w:r w:rsidRPr="003976E1">
        <w:rPr>
          <w:rFonts w:asciiTheme="minorHAnsi" w:hAnsiTheme="minorHAnsi" w:cstheme="minorHAnsi"/>
          <w:sz w:val="21"/>
          <w:szCs w:val="21"/>
        </w:rPr>
        <w:t xml:space="preserve">pozitivní signály ze strany </w:t>
      </w:r>
      <w:proofErr w:type="spellStart"/>
      <w:r w:rsidRPr="003976E1">
        <w:rPr>
          <w:rFonts w:asciiTheme="minorHAnsi" w:hAnsiTheme="minorHAnsi" w:cstheme="minorHAnsi"/>
          <w:sz w:val="21"/>
          <w:szCs w:val="21"/>
        </w:rPr>
        <w:t>Fedu</w:t>
      </w:r>
      <w:proofErr w:type="spellEnd"/>
      <w:r w:rsidR="00EF651C" w:rsidRPr="003976E1">
        <w:rPr>
          <w:rFonts w:asciiTheme="minorHAnsi" w:hAnsiTheme="minorHAnsi" w:cstheme="minorHAnsi"/>
          <w:sz w:val="21"/>
          <w:szCs w:val="21"/>
        </w:rPr>
        <w:t xml:space="preserve"> si v</w:t>
      </w:r>
      <w:r w:rsidRPr="003976E1">
        <w:rPr>
          <w:rFonts w:asciiTheme="minorHAnsi" w:hAnsiTheme="minorHAnsi" w:cstheme="minorHAnsi"/>
          <w:sz w:val="21"/>
          <w:szCs w:val="21"/>
        </w:rPr>
        <w:t> </w:t>
      </w:r>
      <w:r w:rsidR="00EF651C" w:rsidRPr="003976E1">
        <w:rPr>
          <w:rFonts w:asciiTheme="minorHAnsi" w:hAnsiTheme="minorHAnsi" w:cstheme="minorHAnsi"/>
          <w:sz w:val="21"/>
          <w:szCs w:val="21"/>
        </w:rPr>
        <w:t>březnu</w:t>
      </w:r>
      <w:r w:rsidRPr="003976E1">
        <w:rPr>
          <w:rFonts w:asciiTheme="minorHAnsi" w:hAnsiTheme="minorHAnsi" w:cstheme="minorHAnsi"/>
          <w:sz w:val="21"/>
          <w:szCs w:val="21"/>
        </w:rPr>
        <w:t xml:space="preserve"> </w:t>
      </w:r>
      <w:r w:rsidR="00EA2CE5" w:rsidRPr="003976E1">
        <w:rPr>
          <w:rFonts w:asciiTheme="minorHAnsi" w:hAnsiTheme="minorHAnsi" w:cstheme="minorHAnsi"/>
          <w:sz w:val="21"/>
          <w:szCs w:val="21"/>
        </w:rPr>
        <w:t xml:space="preserve">však 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dluhopisové fondy připsaly jen </w:t>
      </w:r>
      <w:r w:rsidRPr="003976E1">
        <w:rPr>
          <w:rFonts w:asciiTheme="minorHAnsi" w:hAnsiTheme="minorHAnsi" w:cstheme="minorHAnsi"/>
          <w:sz w:val="21"/>
          <w:szCs w:val="21"/>
        </w:rPr>
        <w:t xml:space="preserve">zmíněný </w:t>
      </w:r>
      <w:r w:rsidR="00EF651C" w:rsidRPr="003976E1">
        <w:rPr>
          <w:rFonts w:asciiTheme="minorHAnsi" w:hAnsiTheme="minorHAnsi" w:cstheme="minorHAnsi"/>
          <w:sz w:val="21"/>
          <w:szCs w:val="21"/>
        </w:rPr>
        <w:t>mírný růst.</w:t>
      </w:r>
    </w:p>
    <w:p w14:paraId="74E73C94" w14:textId="1964B7B4" w:rsidR="00EF651C" w:rsidRPr="003976E1" w:rsidRDefault="00665315" w:rsidP="00EA2CE5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3976E1">
        <w:rPr>
          <w:rFonts w:asciiTheme="minorHAnsi" w:hAnsiTheme="minorHAnsi" w:cstheme="minorHAnsi"/>
          <w:sz w:val="21"/>
          <w:szCs w:val="21"/>
        </w:rPr>
        <w:t>Dalším posilující třídou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 byly fondy peněžního</w:t>
      </w:r>
      <w:r w:rsidRPr="003976E1">
        <w:rPr>
          <w:rFonts w:asciiTheme="minorHAnsi" w:hAnsiTheme="minorHAnsi" w:cstheme="minorHAnsi"/>
          <w:sz w:val="21"/>
          <w:szCs w:val="21"/>
        </w:rPr>
        <w:t xml:space="preserve"> trhu, jež v březnu vyšly se ziskem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 0,57 </w:t>
      </w:r>
      <w:r w:rsidRPr="003976E1">
        <w:rPr>
          <w:rFonts w:asciiTheme="minorHAnsi" w:hAnsiTheme="minorHAnsi" w:cstheme="minorHAnsi"/>
          <w:sz w:val="21"/>
          <w:szCs w:val="21"/>
        </w:rPr>
        <w:t>procenta</w:t>
      </w:r>
      <w:r w:rsidR="00EF651C" w:rsidRPr="003976E1">
        <w:rPr>
          <w:rFonts w:asciiTheme="minorHAnsi" w:hAnsiTheme="minorHAnsi" w:cstheme="minorHAnsi"/>
          <w:sz w:val="21"/>
          <w:szCs w:val="21"/>
        </w:rPr>
        <w:t>. Tyto fondy stále benefitují ze současné ekonomické situace, a to</w:t>
      </w:r>
      <w:r w:rsidR="00FE46FB" w:rsidRPr="003976E1">
        <w:rPr>
          <w:rFonts w:asciiTheme="minorHAnsi" w:hAnsiTheme="minorHAnsi" w:cstheme="minorHAnsi"/>
          <w:sz w:val="21"/>
          <w:szCs w:val="21"/>
        </w:rPr>
        <w:t xml:space="preserve"> i přes další snížení </w:t>
      </w:r>
      <w:proofErr w:type="spellStart"/>
      <w:r w:rsidR="00FE46FB" w:rsidRPr="003976E1">
        <w:rPr>
          <w:rFonts w:asciiTheme="minorHAnsi" w:hAnsiTheme="minorHAnsi" w:cstheme="minorHAnsi"/>
          <w:sz w:val="21"/>
          <w:szCs w:val="21"/>
        </w:rPr>
        <w:t>repo</w:t>
      </w:r>
      <w:proofErr w:type="spellEnd"/>
      <w:r w:rsidR="00FE46FB" w:rsidRPr="003976E1">
        <w:rPr>
          <w:rFonts w:asciiTheme="minorHAnsi" w:hAnsiTheme="minorHAnsi" w:cstheme="minorHAnsi"/>
          <w:sz w:val="21"/>
          <w:szCs w:val="21"/>
        </w:rPr>
        <w:t xml:space="preserve"> sazby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. </w:t>
      </w:r>
      <w:r w:rsidR="00EF651C" w:rsidRPr="003976E1">
        <w:rPr>
          <w:rFonts w:asciiTheme="minorHAnsi" w:hAnsiTheme="minorHAnsi" w:cstheme="minorHAnsi"/>
          <w:i/>
          <w:sz w:val="21"/>
          <w:szCs w:val="21"/>
        </w:rPr>
        <w:t>„</w:t>
      </w:r>
      <w:proofErr w:type="spellStart"/>
      <w:r w:rsidR="00EF651C" w:rsidRPr="003976E1">
        <w:rPr>
          <w:rFonts w:asciiTheme="minorHAnsi" w:hAnsiTheme="minorHAnsi" w:cstheme="minorHAnsi"/>
          <w:i/>
          <w:sz w:val="21"/>
          <w:szCs w:val="21"/>
        </w:rPr>
        <w:t>Repo</w:t>
      </w:r>
      <w:proofErr w:type="spellEnd"/>
      <w:r w:rsidR="00EF651C" w:rsidRPr="003976E1">
        <w:rPr>
          <w:rFonts w:asciiTheme="minorHAnsi" w:hAnsiTheme="minorHAnsi" w:cstheme="minorHAnsi"/>
          <w:i/>
          <w:sz w:val="21"/>
          <w:szCs w:val="21"/>
        </w:rPr>
        <w:t xml:space="preserve"> fondy a obecně fondy peněžního trhu stále zůstávají pro investory velmi zajímavé, ale jejich výkonnost se v následujících měsících bude ve</w:t>
      </w:r>
      <w:r w:rsidR="00EA2CE5" w:rsidRPr="003976E1">
        <w:rPr>
          <w:rFonts w:asciiTheme="minorHAnsi" w:hAnsiTheme="minorHAnsi" w:cstheme="minorHAnsi"/>
          <w:i/>
          <w:sz w:val="21"/>
          <w:szCs w:val="21"/>
        </w:rPr>
        <w:t xml:space="preserve">lmi pravděpodobné dále snižovat, a to </w:t>
      </w:r>
      <w:r w:rsidR="00EF651C" w:rsidRPr="003976E1">
        <w:rPr>
          <w:rFonts w:asciiTheme="minorHAnsi" w:hAnsiTheme="minorHAnsi" w:cstheme="minorHAnsi"/>
          <w:i/>
          <w:sz w:val="21"/>
          <w:szCs w:val="21"/>
        </w:rPr>
        <w:t xml:space="preserve">spolu s poklesem úrokových sazeb,“ </w:t>
      </w:r>
      <w:r w:rsidR="00EA2CE5" w:rsidRPr="003976E1">
        <w:rPr>
          <w:rFonts w:asciiTheme="minorHAnsi" w:hAnsiTheme="minorHAnsi" w:cstheme="minorHAnsi"/>
          <w:sz w:val="21"/>
          <w:szCs w:val="21"/>
        </w:rPr>
        <w:t>komentuje výsledek</w:t>
      </w:r>
      <w:r w:rsidR="00EF651C" w:rsidRPr="003976E1">
        <w:rPr>
          <w:rFonts w:asciiTheme="minorHAnsi" w:hAnsiTheme="minorHAnsi" w:cstheme="minorHAnsi"/>
          <w:sz w:val="21"/>
          <w:szCs w:val="21"/>
        </w:rPr>
        <w:t xml:space="preserve"> </w:t>
      </w:r>
      <w:r w:rsidR="00EF651C" w:rsidRPr="003976E1">
        <w:rPr>
          <w:rFonts w:asciiTheme="minorHAnsi" w:hAnsiTheme="minorHAnsi" w:cstheme="minorHAnsi"/>
          <w:b/>
          <w:sz w:val="21"/>
          <w:szCs w:val="21"/>
        </w:rPr>
        <w:t xml:space="preserve">Tadeáš Chmelíček, investiční analytik </w:t>
      </w:r>
      <w:r w:rsidR="00EA2CE5" w:rsidRPr="003976E1">
        <w:rPr>
          <w:rFonts w:asciiTheme="minorHAnsi" w:hAnsiTheme="minorHAnsi" w:cstheme="minorHAnsi"/>
          <w:b/>
          <w:sz w:val="21"/>
          <w:szCs w:val="21"/>
        </w:rPr>
        <w:t xml:space="preserve">ze společnosti </w:t>
      </w:r>
      <w:r w:rsidR="00EF651C" w:rsidRPr="003976E1">
        <w:rPr>
          <w:rFonts w:asciiTheme="minorHAnsi" w:hAnsiTheme="minorHAnsi" w:cstheme="minorHAnsi"/>
          <w:b/>
          <w:sz w:val="21"/>
          <w:szCs w:val="21"/>
        </w:rPr>
        <w:t>Broke</w:t>
      </w:r>
      <w:r w:rsidR="00EA2CE5" w:rsidRPr="003976E1">
        <w:rPr>
          <w:rFonts w:asciiTheme="minorHAnsi" w:hAnsiTheme="minorHAnsi" w:cstheme="minorHAnsi"/>
          <w:b/>
          <w:sz w:val="21"/>
          <w:szCs w:val="21"/>
        </w:rPr>
        <w:t>r Consulting.</w:t>
      </w:r>
    </w:p>
    <w:p w14:paraId="660BDD58" w14:textId="2D6E6760" w:rsidR="00EF651C" w:rsidRPr="003976E1" w:rsidRDefault="00EF651C" w:rsidP="00EF651C">
      <w:pPr>
        <w:jc w:val="both"/>
        <w:rPr>
          <w:rFonts w:asciiTheme="minorHAnsi" w:hAnsiTheme="minorHAnsi" w:cstheme="minorHAnsi"/>
          <w:sz w:val="21"/>
          <w:szCs w:val="21"/>
        </w:rPr>
      </w:pPr>
      <w:r w:rsidRPr="003976E1">
        <w:rPr>
          <w:rFonts w:asciiTheme="minorHAnsi" w:hAnsiTheme="minorHAnsi" w:cstheme="minorHAnsi"/>
          <w:sz w:val="21"/>
          <w:szCs w:val="21"/>
        </w:rPr>
        <w:t>Trvalý zájem investorů o nemovitosti se stále odráží v</w:t>
      </w:r>
      <w:r w:rsidR="00EA2CE5" w:rsidRPr="003976E1">
        <w:rPr>
          <w:rFonts w:asciiTheme="minorHAnsi" w:hAnsiTheme="minorHAnsi" w:cstheme="minorHAnsi"/>
          <w:sz w:val="21"/>
          <w:szCs w:val="21"/>
        </w:rPr>
        <w:t xml:space="preserve"> pozitivním </w:t>
      </w:r>
      <w:r w:rsidRPr="003976E1">
        <w:rPr>
          <w:rFonts w:asciiTheme="minorHAnsi" w:hAnsiTheme="minorHAnsi" w:cstheme="minorHAnsi"/>
          <w:sz w:val="21"/>
          <w:szCs w:val="21"/>
        </w:rPr>
        <w:t>trendu českých nemovitostních fondů. Ty zaznamenaly v březnu, podobně jako v minulých</w:t>
      </w:r>
      <w:r w:rsidR="00EA2CE5" w:rsidRPr="003976E1">
        <w:rPr>
          <w:rFonts w:asciiTheme="minorHAnsi" w:hAnsiTheme="minorHAnsi" w:cstheme="minorHAnsi"/>
          <w:sz w:val="21"/>
          <w:szCs w:val="21"/>
        </w:rPr>
        <w:t xml:space="preserve"> měsících, plusový nárůst na celkových 0,20 procenta. Za posledních šedesát měsíců u nich dokonce registruje index jeden z největších nárůstů, a to 23,76 procenta.</w:t>
      </w:r>
    </w:p>
    <w:p w14:paraId="6B4EA74A" w14:textId="6636968E" w:rsidR="000E6238" w:rsidRPr="003976E1" w:rsidRDefault="00B777EA" w:rsidP="000E6238">
      <w:pPr>
        <w:rPr>
          <w:rFonts w:asciiTheme="minorHAnsi" w:hAnsiTheme="minorHAnsi" w:cstheme="minorHAnsi"/>
          <w:sz w:val="21"/>
          <w:szCs w:val="21"/>
        </w:rPr>
      </w:pPr>
      <w:r w:rsidRPr="003976E1">
        <w:rPr>
          <w:rFonts w:asciiTheme="minorHAnsi" w:hAnsiTheme="minorHAnsi" w:cstheme="minorHAnsi"/>
          <w:sz w:val="21"/>
          <w:szCs w:val="21"/>
        </w:rPr>
        <w:t>Nejvíce se však dařilo k</w:t>
      </w:r>
      <w:r w:rsidR="000E6238" w:rsidRPr="003976E1">
        <w:rPr>
          <w:rFonts w:asciiTheme="minorHAnsi" w:hAnsiTheme="minorHAnsi" w:cstheme="minorHAnsi"/>
          <w:sz w:val="21"/>
          <w:szCs w:val="21"/>
        </w:rPr>
        <w:t>omoditní</w:t>
      </w:r>
      <w:r w:rsidRPr="003976E1">
        <w:rPr>
          <w:rFonts w:asciiTheme="minorHAnsi" w:hAnsiTheme="minorHAnsi" w:cstheme="minorHAnsi"/>
          <w:sz w:val="21"/>
          <w:szCs w:val="21"/>
        </w:rPr>
        <w:t>m trhům, které</w:t>
      </w:r>
      <w:r w:rsidR="000E6238" w:rsidRPr="003976E1">
        <w:rPr>
          <w:rFonts w:asciiTheme="minorHAnsi" w:hAnsiTheme="minorHAnsi" w:cstheme="minorHAnsi"/>
          <w:sz w:val="21"/>
          <w:szCs w:val="21"/>
        </w:rPr>
        <w:t xml:space="preserve"> vykázaly po d</w:t>
      </w:r>
      <w:r w:rsidRPr="003976E1">
        <w:rPr>
          <w:rFonts w:asciiTheme="minorHAnsi" w:hAnsiTheme="minorHAnsi" w:cstheme="minorHAnsi"/>
          <w:sz w:val="21"/>
          <w:szCs w:val="21"/>
        </w:rPr>
        <w:t>louhé době pozitivní růst, a to o 3,40 procenta. Ten</w:t>
      </w:r>
      <w:r w:rsidR="000E6238" w:rsidRPr="003976E1">
        <w:rPr>
          <w:rFonts w:asciiTheme="minorHAnsi" w:hAnsiTheme="minorHAnsi" w:cstheme="minorHAnsi"/>
          <w:sz w:val="21"/>
          <w:szCs w:val="21"/>
        </w:rPr>
        <w:t xml:space="preserve"> byl způsoben hlavně rostoucí tržní cenou ropy a cenných kovů. </w:t>
      </w:r>
    </w:p>
    <w:p w14:paraId="7F808A1D" w14:textId="77777777" w:rsidR="000E6238" w:rsidRDefault="000E6238" w:rsidP="00EF651C">
      <w:pPr>
        <w:jc w:val="both"/>
        <w:rPr>
          <w:rFonts w:asciiTheme="minorHAnsi" w:hAnsiTheme="minorHAnsi" w:cstheme="minorHAnsi"/>
        </w:rPr>
      </w:pPr>
    </w:p>
    <w:p w14:paraId="4FE864CC" w14:textId="7CADABEB" w:rsidR="00EF651C" w:rsidRDefault="00EF651C" w:rsidP="00EF651C">
      <w:pPr>
        <w:jc w:val="both"/>
        <w:rPr>
          <w:rFonts w:asciiTheme="minorHAnsi" w:hAnsiTheme="minorHAnsi" w:cstheme="minorHAnsi"/>
        </w:rPr>
      </w:pPr>
    </w:p>
    <w:p w14:paraId="7037623E" w14:textId="35EB8495" w:rsidR="00EF651C" w:rsidRPr="00BB6A9C" w:rsidRDefault="00EF651C" w:rsidP="00EF651C">
      <w:pPr>
        <w:jc w:val="both"/>
        <w:rPr>
          <w:rFonts w:asciiTheme="minorHAnsi" w:hAnsiTheme="minorHAnsi" w:cstheme="minorHAnsi"/>
        </w:rPr>
      </w:pPr>
      <w:r w:rsidRPr="00F63268">
        <w:rPr>
          <w:noProof/>
          <w:lang w:bidi="ar-SA"/>
        </w:rPr>
        <w:drawing>
          <wp:inline distT="0" distB="0" distL="0" distR="0" wp14:anchorId="143D2CE9" wp14:editId="7D5F82E2">
            <wp:extent cx="6635750" cy="1553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2F4B" w14:textId="5F6FB464" w:rsidR="007D4A8D" w:rsidRPr="00E341D6" w:rsidRDefault="001A5E5C" w:rsidP="00EF651C">
      <w:pPr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54B92E82" w14:textId="5EDDDD25" w:rsidR="00E341D6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eastAsia="Times New Roman" w:hAnsiTheme="minorHAnsi" w:cstheme="minorHAnsi"/>
          <w:b/>
          <w:sz w:val="21"/>
          <w:szCs w:val="21"/>
        </w:rPr>
        <w:t>Index podílových fondů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 xml:space="preserve"> reprezentuje portfolio převážně českého investora. U akciových fondů nebere v potaz úzké regionální či sektorové zaměření, ale zaměřuje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komodit. U dluhopisových fondů klade index větší důraz na české a evropské dluhopisové fondy, ale ve výkonnosti zohledňuje i dluhopisové fondy investující do státních dluhopisů různých ekonomik a také dluhopisové fondy zaměřující </w:t>
      </w:r>
      <w:r w:rsidR="00165641">
        <w:rPr>
          <w:rFonts w:asciiTheme="minorHAnsi" w:eastAsia="Times New Roman" w:hAnsiTheme="minorHAnsi" w:cstheme="minorHAnsi"/>
          <w:sz w:val="21"/>
          <w:szCs w:val="21"/>
        </w:rPr>
        <w:t xml:space="preserve">se 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>na rizikovější dluhopisy, ale již s menší vahou. U peněžních fondů a nemovitostních fondů je sledována pouze výkonnost českých podílových fondů.</w:t>
      </w:r>
    </w:p>
    <w:p w14:paraId="1C871B74" w14:textId="1C7287B5" w:rsidR="00CF090B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 xml:space="preserve">Proč je dobré tento index sledovat: </w:t>
      </w:r>
      <w:r w:rsidRPr="00A07F59">
        <w:rPr>
          <w:rFonts w:asciiTheme="minorHAnsi" w:hAnsiTheme="minorHAnsi" w:cstheme="minorHAnsi"/>
          <w:sz w:val="21"/>
          <w:szCs w:val="21"/>
        </w:rPr>
        <w:t xml:space="preserve">Čeští investoři mají v podílových fondech zainvestován majetek ve výši zhruba 557 miliard korun. Fondy jsou velmi využívanou platformou pro dlouhodobé investování, zejména při vytváření rezerv pro </w:t>
      </w:r>
      <w:proofErr w:type="spellStart"/>
      <w:r w:rsidR="00165641">
        <w:rPr>
          <w:rFonts w:asciiTheme="minorHAnsi" w:hAnsiTheme="minorHAnsi" w:cstheme="minorHAnsi"/>
          <w:sz w:val="21"/>
          <w:szCs w:val="21"/>
        </w:rPr>
        <w:t>postaktivní</w:t>
      </w:r>
      <w:proofErr w:type="spellEnd"/>
      <w:r w:rsidRPr="00A07F59">
        <w:rPr>
          <w:rFonts w:asciiTheme="minorHAnsi" w:hAnsiTheme="minorHAnsi" w:cstheme="minorHAnsi"/>
          <w:sz w:val="21"/>
          <w:szCs w:val="21"/>
        </w:rPr>
        <w:t xml:space="preserve"> věk (60+). Index ukazuje, jak se vede fondům dle jednotlivých tříd investičních aktiv. Investoři si mohou mimo jiné srovnávat,  jak si jimi vybrané fondy vedou v porovnání s průměrem trhu.</w:t>
      </w:r>
    </w:p>
    <w:p w14:paraId="3680EF94" w14:textId="39AEDB2D" w:rsidR="00CF090B" w:rsidRPr="00A07F59" w:rsidRDefault="00CF090B" w:rsidP="00CF090B">
      <w:pPr>
        <w:pStyle w:val="Zkladntext"/>
        <w:pBdr>
          <w:bottom w:val="single" w:sz="4" w:space="1" w:color="auto"/>
        </w:pBdr>
        <w:spacing w:before="33" w:line="237" w:lineRule="auto"/>
        <w:rPr>
          <w:rFonts w:asciiTheme="minorHAnsi" w:hAnsiTheme="minorHAnsi" w:cstheme="minorHAnsi"/>
          <w:b/>
          <w:sz w:val="21"/>
          <w:szCs w:val="21"/>
        </w:rPr>
      </w:pPr>
    </w:p>
    <w:p w14:paraId="0B73DDFB" w14:textId="74EAC26A" w:rsidR="00CF090B" w:rsidRPr="00A07F59" w:rsidRDefault="00CF090B" w:rsidP="00CF090B">
      <w:pPr>
        <w:spacing w:before="120" w:after="120"/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>Poznámka pro média:</w:t>
      </w:r>
      <w:r w:rsidRPr="00A07F59">
        <w:rPr>
          <w:rFonts w:asciiTheme="minorHAnsi" w:hAnsiTheme="minorHAnsi" w:cstheme="minorHAnsi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Pr="00A07F59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Index hypotečních úvěrů). Více informací najdete též na webu </w:t>
      </w:r>
      <w:hyperlink r:id="rId22" w:history="1">
        <w:r w:rsidR="00570828" w:rsidRPr="00A07F59">
          <w:rPr>
            <w:rStyle w:val="Hypertextovodkaz"/>
            <w:rFonts w:asciiTheme="minorHAnsi" w:hAnsiTheme="minorHAnsi" w:cstheme="minorHAnsi"/>
            <w:i/>
            <w:w w:val="105"/>
            <w:sz w:val="21"/>
            <w:szCs w:val="21"/>
          </w:rPr>
          <w:t>https://www.bcas.cz/onas/pro-media/</w:t>
        </w:r>
      </w:hyperlink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78EBB8C7" w14:textId="123C905B" w:rsidR="00570828" w:rsidRPr="00A07F59" w:rsidRDefault="00570828" w:rsidP="00570828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3" w:history="1">
        <w:r w:rsidRPr="00A07F59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https://www.bcas.cz/o-nas/broker-consulting-index-podilovych-fondu/</w:t>
        </w:r>
      </w:hyperlink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5F353CA7" w14:textId="60E263C1" w:rsidR="00CF090B" w:rsidRPr="00A07F59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</w:p>
    <w:p w14:paraId="1864B1E8" w14:textId="77777777" w:rsidR="00CF090B" w:rsidRPr="00EA2CE5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EA2CE5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146E623E" w14:textId="77777777" w:rsidR="00EA2CE5" w:rsidRPr="00EA2CE5" w:rsidRDefault="00CF090B" w:rsidP="00EA2CE5">
      <w:pPr>
        <w:pStyle w:val="Normlnweb"/>
        <w:spacing w:before="0" w:beforeAutospacing="0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r w:rsidRPr="00EA2CE5">
        <w:rPr>
          <w:rFonts w:asciiTheme="minorHAnsi" w:hAnsiTheme="minorHAnsi" w:cstheme="minorHAnsi"/>
          <w:sz w:val="21"/>
          <w:szCs w:val="21"/>
        </w:rPr>
        <w:br/>
      </w:r>
      <w:r w:rsidR="00EA2CE5" w:rsidRPr="00EA2CE5">
        <w:rPr>
          <w:rFonts w:asciiTheme="minorHAnsi" w:hAnsiTheme="minorHAnsi" w:cstheme="minorHAnsi"/>
          <w:color w:val="000000"/>
          <w:sz w:val="21"/>
          <w:szCs w:val="21"/>
        </w:rPr>
        <w:t>Lenka Kuželová, specialistka PR</w:t>
      </w:r>
    </w:p>
    <w:p w14:paraId="69BBB3B8" w14:textId="77777777" w:rsidR="00EA2CE5" w:rsidRPr="00EA2CE5" w:rsidRDefault="00EA2CE5" w:rsidP="00EA2CE5">
      <w:pPr>
        <w:pStyle w:val="Normlnweb"/>
        <w:spacing w:before="0" w:before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EA2CE5">
        <w:rPr>
          <w:rFonts w:asciiTheme="minorHAnsi" w:hAnsiTheme="minorHAnsi" w:cstheme="minorHAnsi"/>
          <w:color w:val="000000"/>
          <w:sz w:val="21"/>
          <w:szCs w:val="21"/>
        </w:rPr>
        <w:t>Mobil: +420 731 537 696, e-mail: </w:t>
      </w:r>
      <w:hyperlink r:id="rId24" w:history="1">
        <w:r w:rsidRPr="00EA2CE5">
          <w:rPr>
            <w:rStyle w:val="Hypertextovodkaz"/>
            <w:rFonts w:asciiTheme="minorHAnsi" w:hAnsiTheme="minorHAnsi" w:cstheme="minorHAnsi"/>
            <w:color w:val="E42613"/>
            <w:sz w:val="21"/>
            <w:szCs w:val="21"/>
          </w:rPr>
          <w:t>lenka.kuzelova@bcas.cz</w:t>
        </w:r>
      </w:hyperlink>
    </w:p>
    <w:p w14:paraId="6A09BF96" w14:textId="62266224" w:rsidR="00EA2CE5" w:rsidRPr="009B7C6D" w:rsidRDefault="00EA2CE5" w:rsidP="00EA2CE5">
      <w:pPr>
        <w:jc w:val="both"/>
        <w:rPr>
          <w:rFonts w:eastAsia="Calibri" w:cstheme="minorHAnsi"/>
          <w:bCs/>
          <w:noProof/>
          <w:sz w:val="21"/>
          <w:szCs w:val="21"/>
        </w:rPr>
      </w:pPr>
    </w:p>
    <w:p w14:paraId="025F1B2F" w14:textId="5F2EB97C" w:rsidR="00D60D98" w:rsidRPr="009B7C6D" w:rsidRDefault="00D60D98" w:rsidP="000B0291">
      <w:pPr>
        <w:pStyle w:val="Bezmezer"/>
        <w:rPr>
          <w:rFonts w:eastAsia="Calibri" w:cstheme="minorHAnsi"/>
          <w:bCs/>
          <w:noProof/>
          <w:sz w:val="21"/>
          <w:szCs w:val="21"/>
        </w:rPr>
      </w:pPr>
    </w:p>
    <w:sectPr w:rsidR="00D60D98" w:rsidRPr="009B7C6D" w:rsidSect="00EA2CE5">
      <w:type w:val="continuous"/>
      <w:pgSz w:w="11910" w:h="16840"/>
      <w:pgMar w:top="960" w:right="740" w:bottom="2127" w:left="720" w:header="68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CA87A" w14:textId="77777777" w:rsidR="00F44928" w:rsidRDefault="00F44928">
      <w:r>
        <w:separator/>
      </w:r>
    </w:p>
  </w:endnote>
  <w:endnote w:type="continuationSeparator" w:id="0">
    <w:p w14:paraId="1EE51EC7" w14:textId="77777777" w:rsidR="00F44928" w:rsidRDefault="00F4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88236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31E4FAE1" w14:textId="62A31D71" w:rsidR="00EA2CE5" w:rsidRPr="00EA2CE5" w:rsidRDefault="00EA2CE5">
        <w:pPr>
          <w:pStyle w:val="Zpat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EA2CE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EA2CE5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EA2CE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D3C98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EA2CE5">
          <w:rPr>
            <w:rFonts w:asciiTheme="minorHAnsi" w:hAnsiTheme="minorHAnsi" w:cstheme="minorHAnsi"/>
            <w:sz w:val="20"/>
            <w:szCs w:val="20"/>
          </w:rPr>
          <w:fldChar w:fldCharType="end"/>
        </w:r>
        <w:r>
          <w:rPr>
            <w:rFonts w:asciiTheme="minorHAnsi" w:hAnsiTheme="minorHAnsi" w:cstheme="minorHAnsi"/>
            <w:sz w:val="20"/>
            <w:szCs w:val="20"/>
          </w:rPr>
          <w:t>/2</w:t>
        </w:r>
      </w:p>
    </w:sdtContent>
  </w:sdt>
  <w:p w14:paraId="1744C53E" w14:textId="0E45F0AC" w:rsidR="00D31127" w:rsidRPr="001675AF" w:rsidRDefault="00D31127" w:rsidP="001675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8A2FC" w14:textId="77777777" w:rsidR="00F44928" w:rsidRDefault="00F44928">
      <w:r>
        <w:separator/>
      </w:r>
    </w:p>
  </w:footnote>
  <w:footnote w:type="continuationSeparator" w:id="0">
    <w:p w14:paraId="2584A14A" w14:textId="77777777" w:rsidR="00F44928" w:rsidRDefault="00F44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D544F0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D544F0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D544F0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44F0">
      <w:rPr>
        <w:rFonts w:asciiTheme="minorHAnsi" w:hAnsiTheme="minorHAnsi" w:cstheme="minorHAnsi"/>
        <w:color w:val="1D1D1B"/>
      </w:rPr>
      <w:t>BROKER CONSULTING</w:t>
    </w:r>
  </w:p>
  <w:p w14:paraId="07739BB1" w14:textId="6D5E6F51" w:rsidR="00D80B6D" w:rsidRPr="00D544F0" w:rsidRDefault="009F59EE" w:rsidP="009F59EE">
    <w:pPr>
      <w:spacing w:before="85"/>
      <w:ind w:left="1440" w:firstLine="720"/>
      <w:rPr>
        <w:rFonts w:asciiTheme="minorHAnsi" w:hAnsiTheme="minorHAnsi" w:cstheme="minorHAnsi"/>
        <w:sz w:val="28"/>
        <w:szCs w:val="28"/>
      </w:rPr>
    </w:pPr>
    <w:r w:rsidRPr="00D544F0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9F2CEE" w:rsidRPr="00D544F0">
      <w:rPr>
        <w:rFonts w:asciiTheme="minorHAnsi" w:hAnsiTheme="minorHAnsi" w:cstheme="minorHAnsi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70857"/>
    <w:multiLevelType w:val="hybridMultilevel"/>
    <w:tmpl w:val="A4AAA53E"/>
    <w:lvl w:ilvl="0" w:tplc="8054A424">
      <w:start w:val="2"/>
      <w:numFmt w:val="bullet"/>
      <w:lvlText w:val="-"/>
      <w:lvlJc w:val="left"/>
      <w:pPr>
        <w:ind w:left="720" w:hanging="360"/>
      </w:pPr>
      <w:rPr>
        <w:rFonts w:ascii="Calibri" w:eastAsia="F015TEELig" w:hAnsi="Calibri" w:cs="Calibri" w:hint="default"/>
        <w:color w:val="auto"/>
        <w:sz w:val="2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52792557"/>
    <w:multiLevelType w:val="hybridMultilevel"/>
    <w:tmpl w:val="6F98AE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14E09"/>
    <w:rsid w:val="00020EC7"/>
    <w:rsid w:val="000220E4"/>
    <w:rsid w:val="000239F7"/>
    <w:rsid w:val="00025AB1"/>
    <w:rsid w:val="00026F23"/>
    <w:rsid w:val="000277AC"/>
    <w:rsid w:val="0003028F"/>
    <w:rsid w:val="000313E1"/>
    <w:rsid w:val="000324E2"/>
    <w:rsid w:val="00032D62"/>
    <w:rsid w:val="00032D94"/>
    <w:rsid w:val="00034402"/>
    <w:rsid w:val="00035267"/>
    <w:rsid w:val="000356CB"/>
    <w:rsid w:val="000356FA"/>
    <w:rsid w:val="000374D7"/>
    <w:rsid w:val="00037DAF"/>
    <w:rsid w:val="000400E4"/>
    <w:rsid w:val="000474CD"/>
    <w:rsid w:val="000479F1"/>
    <w:rsid w:val="00051030"/>
    <w:rsid w:val="0005423A"/>
    <w:rsid w:val="00054A18"/>
    <w:rsid w:val="00056D05"/>
    <w:rsid w:val="00057E7F"/>
    <w:rsid w:val="000600DC"/>
    <w:rsid w:val="0006012F"/>
    <w:rsid w:val="000611E3"/>
    <w:rsid w:val="000663B6"/>
    <w:rsid w:val="00070DAC"/>
    <w:rsid w:val="00073AD9"/>
    <w:rsid w:val="00074539"/>
    <w:rsid w:val="0007624D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291"/>
    <w:rsid w:val="000B060E"/>
    <w:rsid w:val="000B6B6D"/>
    <w:rsid w:val="000C45C7"/>
    <w:rsid w:val="000C5411"/>
    <w:rsid w:val="000D14E2"/>
    <w:rsid w:val="000D3E1D"/>
    <w:rsid w:val="000D46D7"/>
    <w:rsid w:val="000E1018"/>
    <w:rsid w:val="000E1085"/>
    <w:rsid w:val="000E1337"/>
    <w:rsid w:val="000E3086"/>
    <w:rsid w:val="000E3D86"/>
    <w:rsid w:val="000E60BE"/>
    <w:rsid w:val="000E6238"/>
    <w:rsid w:val="000E672C"/>
    <w:rsid w:val="000E79A9"/>
    <w:rsid w:val="000F0B3D"/>
    <w:rsid w:val="000F265E"/>
    <w:rsid w:val="000F4E1D"/>
    <w:rsid w:val="000F5AB4"/>
    <w:rsid w:val="000F6249"/>
    <w:rsid w:val="000F7333"/>
    <w:rsid w:val="00105D3A"/>
    <w:rsid w:val="001068FC"/>
    <w:rsid w:val="001103A6"/>
    <w:rsid w:val="00110812"/>
    <w:rsid w:val="00111C28"/>
    <w:rsid w:val="0011234F"/>
    <w:rsid w:val="00113A0A"/>
    <w:rsid w:val="00114C29"/>
    <w:rsid w:val="001152A6"/>
    <w:rsid w:val="00117FB4"/>
    <w:rsid w:val="00120F6A"/>
    <w:rsid w:val="00122CD1"/>
    <w:rsid w:val="001253CC"/>
    <w:rsid w:val="0013044E"/>
    <w:rsid w:val="0013130F"/>
    <w:rsid w:val="00131A69"/>
    <w:rsid w:val="00132BF9"/>
    <w:rsid w:val="00132F04"/>
    <w:rsid w:val="00136D8D"/>
    <w:rsid w:val="00137003"/>
    <w:rsid w:val="0013717C"/>
    <w:rsid w:val="00144AFE"/>
    <w:rsid w:val="00145B8B"/>
    <w:rsid w:val="001464F4"/>
    <w:rsid w:val="00154277"/>
    <w:rsid w:val="0015577B"/>
    <w:rsid w:val="00156082"/>
    <w:rsid w:val="00157FA9"/>
    <w:rsid w:val="0016145E"/>
    <w:rsid w:val="00161879"/>
    <w:rsid w:val="00162672"/>
    <w:rsid w:val="00164CE5"/>
    <w:rsid w:val="00165641"/>
    <w:rsid w:val="001665D8"/>
    <w:rsid w:val="00166AB1"/>
    <w:rsid w:val="001675AF"/>
    <w:rsid w:val="00170034"/>
    <w:rsid w:val="0017084B"/>
    <w:rsid w:val="00174F7A"/>
    <w:rsid w:val="00175D35"/>
    <w:rsid w:val="001767A5"/>
    <w:rsid w:val="001809F6"/>
    <w:rsid w:val="00180D72"/>
    <w:rsid w:val="00181EC4"/>
    <w:rsid w:val="0018220F"/>
    <w:rsid w:val="00190287"/>
    <w:rsid w:val="00192716"/>
    <w:rsid w:val="001937DD"/>
    <w:rsid w:val="00193EB7"/>
    <w:rsid w:val="0019453C"/>
    <w:rsid w:val="00197879"/>
    <w:rsid w:val="001A0318"/>
    <w:rsid w:val="001A4064"/>
    <w:rsid w:val="001A4EE2"/>
    <w:rsid w:val="001A54DD"/>
    <w:rsid w:val="001A5E5C"/>
    <w:rsid w:val="001A5E76"/>
    <w:rsid w:val="001A607A"/>
    <w:rsid w:val="001A613B"/>
    <w:rsid w:val="001B088B"/>
    <w:rsid w:val="001B21B5"/>
    <w:rsid w:val="001B501B"/>
    <w:rsid w:val="001B530D"/>
    <w:rsid w:val="001B669D"/>
    <w:rsid w:val="001B6EFB"/>
    <w:rsid w:val="001B726C"/>
    <w:rsid w:val="001C4721"/>
    <w:rsid w:val="001C4B7D"/>
    <w:rsid w:val="001C58A4"/>
    <w:rsid w:val="001C603A"/>
    <w:rsid w:val="001C67A7"/>
    <w:rsid w:val="001D015A"/>
    <w:rsid w:val="001D03BA"/>
    <w:rsid w:val="001D124F"/>
    <w:rsid w:val="001D2646"/>
    <w:rsid w:val="001D397C"/>
    <w:rsid w:val="001D3C98"/>
    <w:rsid w:val="001D3DFC"/>
    <w:rsid w:val="001D5D27"/>
    <w:rsid w:val="001D720F"/>
    <w:rsid w:val="001E044B"/>
    <w:rsid w:val="001E1D9D"/>
    <w:rsid w:val="001E2D49"/>
    <w:rsid w:val="001E3B61"/>
    <w:rsid w:val="001E4209"/>
    <w:rsid w:val="001E48DE"/>
    <w:rsid w:val="001E54E2"/>
    <w:rsid w:val="001E763B"/>
    <w:rsid w:val="001F032C"/>
    <w:rsid w:val="001F66AD"/>
    <w:rsid w:val="001F6C24"/>
    <w:rsid w:val="001F7194"/>
    <w:rsid w:val="001F71BA"/>
    <w:rsid w:val="00206A37"/>
    <w:rsid w:val="002141AF"/>
    <w:rsid w:val="00214F36"/>
    <w:rsid w:val="002150CB"/>
    <w:rsid w:val="002152A7"/>
    <w:rsid w:val="002217AA"/>
    <w:rsid w:val="00221820"/>
    <w:rsid w:val="002225C6"/>
    <w:rsid w:val="00224E8A"/>
    <w:rsid w:val="00235EDC"/>
    <w:rsid w:val="002360AE"/>
    <w:rsid w:val="002368F3"/>
    <w:rsid w:val="002368FB"/>
    <w:rsid w:val="0023764D"/>
    <w:rsid w:val="00241313"/>
    <w:rsid w:val="0025012B"/>
    <w:rsid w:val="00250570"/>
    <w:rsid w:val="0025264B"/>
    <w:rsid w:val="0025428A"/>
    <w:rsid w:val="00257510"/>
    <w:rsid w:val="002601CA"/>
    <w:rsid w:val="00265810"/>
    <w:rsid w:val="0026621E"/>
    <w:rsid w:val="002662AC"/>
    <w:rsid w:val="002674EF"/>
    <w:rsid w:val="00267551"/>
    <w:rsid w:val="00267917"/>
    <w:rsid w:val="00270DB3"/>
    <w:rsid w:val="0027305C"/>
    <w:rsid w:val="002745EF"/>
    <w:rsid w:val="002761EE"/>
    <w:rsid w:val="00276593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B7C0A"/>
    <w:rsid w:val="002C01FF"/>
    <w:rsid w:val="002C35D8"/>
    <w:rsid w:val="002C582E"/>
    <w:rsid w:val="002D2A18"/>
    <w:rsid w:val="002D343D"/>
    <w:rsid w:val="002D3E18"/>
    <w:rsid w:val="002D539D"/>
    <w:rsid w:val="002D6378"/>
    <w:rsid w:val="002D76B4"/>
    <w:rsid w:val="002D7A2E"/>
    <w:rsid w:val="002E0C7C"/>
    <w:rsid w:val="002E2954"/>
    <w:rsid w:val="002E2A85"/>
    <w:rsid w:val="002E4795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1C4"/>
    <w:rsid w:val="00307229"/>
    <w:rsid w:val="00307E95"/>
    <w:rsid w:val="00310DBC"/>
    <w:rsid w:val="003128F8"/>
    <w:rsid w:val="00313082"/>
    <w:rsid w:val="00313891"/>
    <w:rsid w:val="0031770F"/>
    <w:rsid w:val="00321009"/>
    <w:rsid w:val="00322A3F"/>
    <w:rsid w:val="003247B0"/>
    <w:rsid w:val="0032509D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6375"/>
    <w:rsid w:val="00347557"/>
    <w:rsid w:val="00347D68"/>
    <w:rsid w:val="00352515"/>
    <w:rsid w:val="00355366"/>
    <w:rsid w:val="00355B3D"/>
    <w:rsid w:val="00355D3E"/>
    <w:rsid w:val="003579F4"/>
    <w:rsid w:val="0036040B"/>
    <w:rsid w:val="003606D5"/>
    <w:rsid w:val="003606E0"/>
    <w:rsid w:val="00360D43"/>
    <w:rsid w:val="003629B6"/>
    <w:rsid w:val="00362CEF"/>
    <w:rsid w:val="003655AB"/>
    <w:rsid w:val="00371DD1"/>
    <w:rsid w:val="003721AD"/>
    <w:rsid w:val="003747DC"/>
    <w:rsid w:val="00376855"/>
    <w:rsid w:val="003805E6"/>
    <w:rsid w:val="00383DC5"/>
    <w:rsid w:val="003842CE"/>
    <w:rsid w:val="00385EED"/>
    <w:rsid w:val="00390522"/>
    <w:rsid w:val="00390B58"/>
    <w:rsid w:val="00391240"/>
    <w:rsid w:val="00392438"/>
    <w:rsid w:val="003976E1"/>
    <w:rsid w:val="003A4F52"/>
    <w:rsid w:val="003A5757"/>
    <w:rsid w:val="003A6435"/>
    <w:rsid w:val="003A689B"/>
    <w:rsid w:val="003A7953"/>
    <w:rsid w:val="003B02A7"/>
    <w:rsid w:val="003B0E4F"/>
    <w:rsid w:val="003B2168"/>
    <w:rsid w:val="003B46D1"/>
    <w:rsid w:val="003B4944"/>
    <w:rsid w:val="003C0CBE"/>
    <w:rsid w:val="003C349B"/>
    <w:rsid w:val="003D10B1"/>
    <w:rsid w:val="003D1987"/>
    <w:rsid w:val="003D2036"/>
    <w:rsid w:val="003D733D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06B"/>
    <w:rsid w:val="00413BEC"/>
    <w:rsid w:val="00414D84"/>
    <w:rsid w:val="00417787"/>
    <w:rsid w:val="00421847"/>
    <w:rsid w:val="0042193A"/>
    <w:rsid w:val="00421BEC"/>
    <w:rsid w:val="00423383"/>
    <w:rsid w:val="00425687"/>
    <w:rsid w:val="0042653C"/>
    <w:rsid w:val="00427549"/>
    <w:rsid w:val="00427CBB"/>
    <w:rsid w:val="0043067D"/>
    <w:rsid w:val="004313F1"/>
    <w:rsid w:val="0044240B"/>
    <w:rsid w:val="00442C87"/>
    <w:rsid w:val="004438D9"/>
    <w:rsid w:val="00443B88"/>
    <w:rsid w:val="004440FA"/>
    <w:rsid w:val="004443E3"/>
    <w:rsid w:val="00445D0A"/>
    <w:rsid w:val="004478A0"/>
    <w:rsid w:val="004513DC"/>
    <w:rsid w:val="0045405B"/>
    <w:rsid w:val="00454843"/>
    <w:rsid w:val="004553A8"/>
    <w:rsid w:val="00455445"/>
    <w:rsid w:val="004571C1"/>
    <w:rsid w:val="004627B9"/>
    <w:rsid w:val="004628B4"/>
    <w:rsid w:val="004632E5"/>
    <w:rsid w:val="004707BA"/>
    <w:rsid w:val="004735E9"/>
    <w:rsid w:val="00475191"/>
    <w:rsid w:val="004766EC"/>
    <w:rsid w:val="00476C50"/>
    <w:rsid w:val="004815B1"/>
    <w:rsid w:val="004835F6"/>
    <w:rsid w:val="0048788A"/>
    <w:rsid w:val="004948CC"/>
    <w:rsid w:val="00495C10"/>
    <w:rsid w:val="00497374"/>
    <w:rsid w:val="004A0A3B"/>
    <w:rsid w:val="004A4DE4"/>
    <w:rsid w:val="004B1CE6"/>
    <w:rsid w:val="004B2AFA"/>
    <w:rsid w:val="004B5797"/>
    <w:rsid w:val="004B6D32"/>
    <w:rsid w:val="004C054D"/>
    <w:rsid w:val="004C1296"/>
    <w:rsid w:val="004C2E4B"/>
    <w:rsid w:val="004C398C"/>
    <w:rsid w:val="004C3F71"/>
    <w:rsid w:val="004C7DDE"/>
    <w:rsid w:val="004D00AF"/>
    <w:rsid w:val="004D3977"/>
    <w:rsid w:val="004D7B06"/>
    <w:rsid w:val="004E18FD"/>
    <w:rsid w:val="004E458A"/>
    <w:rsid w:val="004E55FE"/>
    <w:rsid w:val="004E59F7"/>
    <w:rsid w:val="004E7AEB"/>
    <w:rsid w:val="004E7E0B"/>
    <w:rsid w:val="004F53BE"/>
    <w:rsid w:val="00500F93"/>
    <w:rsid w:val="00501A9E"/>
    <w:rsid w:val="005031AA"/>
    <w:rsid w:val="00504442"/>
    <w:rsid w:val="005051FB"/>
    <w:rsid w:val="00505697"/>
    <w:rsid w:val="0050659B"/>
    <w:rsid w:val="00507504"/>
    <w:rsid w:val="00512B46"/>
    <w:rsid w:val="00512F01"/>
    <w:rsid w:val="005139C3"/>
    <w:rsid w:val="005140FB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0064"/>
    <w:rsid w:val="0055263D"/>
    <w:rsid w:val="00554A42"/>
    <w:rsid w:val="00555824"/>
    <w:rsid w:val="00555F45"/>
    <w:rsid w:val="005575DE"/>
    <w:rsid w:val="00560C6D"/>
    <w:rsid w:val="00563745"/>
    <w:rsid w:val="005655BD"/>
    <w:rsid w:val="005663AE"/>
    <w:rsid w:val="00570828"/>
    <w:rsid w:val="005742D2"/>
    <w:rsid w:val="00576F53"/>
    <w:rsid w:val="00577D19"/>
    <w:rsid w:val="005809D3"/>
    <w:rsid w:val="0058369A"/>
    <w:rsid w:val="005840E9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A7DAD"/>
    <w:rsid w:val="005B0AEF"/>
    <w:rsid w:val="005B16D3"/>
    <w:rsid w:val="005B24EB"/>
    <w:rsid w:val="005B31D7"/>
    <w:rsid w:val="005C009A"/>
    <w:rsid w:val="005C0189"/>
    <w:rsid w:val="005C22F8"/>
    <w:rsid w:val="005C5B9E"/>
    <w:rsid w:val="005D34CC"/>
    <w:rsid w:val="005D57C1"/>
    <w:rsid w:val="005E4D88"/>
    <w:rsid w:val="005E4D9C"/>
    <w:rsid w:val="005E51C5"/>
    <w:rsid w:val="005E6778"/>
    <w:rsid w:val="005E76D0"/>
    <w:rsid w:val="005E78C4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1905"/>
    <w:rsid w:val="006121A8"/>
    <w:rsid w:val="0061253F"/>
    <w:rsid w:val="006135FD"/>
    <w:rsid w:val="00614133"/>
    <w:rsid w:val="006172AA"/>
    <w:rsid w:val="006203C4"/>
    <w:rsid w:val="006232B8"/>
    <w:rsid w:val="0062480B"/>
    <w:rsid w:val="0062747C"/>
    <w:rsid w:val="006307A5"/>
    <w:rsid w:val="00630C84"/>
    <w:rsid w:val="006318CC"/>
    <w:rsid w:val="00631E38"/>
    <w:rsid w:val="00631E80"/>
    <w:rsid w:val="006321D6"/>
    <w:rsid w:val="006337CD"/>
    <w:rsid w:val="00633E13"/>
    <w:rsid w:val="00637BCA"/>
    <w:rsid w:val="0064160C"/>
    <w:rsid w:val="0064286C"/>
    <w:rsid w:val="00645171"/>
    <w:rsid w:val="00650189"/>
    <w:rsid w:val="00650654"/>
    <w:rsid w:val="00650DD6"/>
    <w:rsid w:val="00650DEB"/>
    <w:rsid w:val="00654E3E"/>
    <w:rsid w:val="0065659A"/>
    <w:rsid w:val="00657EE5"/>
    <w:rsid w:val="0066135D"/>
    <w:rsid w:val="00663038"/>
    <w:rsid w:val="00665315"/>
    <w:rsid w:val="00666D21"/>
    <w:rsid w:val="00667012"/>
    <w:rsid w:val="00667776"/>
    <w:rsid w:val="00670237"/>
    <w:rsid w:val="0067176D"/>
    <w:rsid w:val="0067414D"/>
    <w:rsid w:val="00676653"/>
    <w:rsid w:val="00676757"/>
    <w:rsid w:val="006768F0"/>
    <w:rsid w:val="00677078"/>
    <w:rsid w:val="0068195B"/>
    <w:rsid w:val="00681C88"/>
    <w:rsid w:val="006829B7"/>
    <w:rsid w:val="00683626"/>
    <w:rsid w:val="00684D2C"/>
    <w:rsid w:val="0068537C"/>
    <w:rsid w:val="00685FBC"/>
    <w:rsid w:val="0068617E"/>
    <w:rsid w:val="00686364"/>
    <w:rsid w:val="00687F4F"/>
    <w:rsid w:val="006909B5"/>
    <w:rsid w:val="0069177B"/>
    <w:rsid w:val="00692F5F"/>
    <w:rsid w:val="006939E4"/>
    <w:rsid w:val="00694DBB"/>
    <w:rsid w:val="00695452"/>
    <w:rsid w:val="00697EB5"/>
    <w:rsid w:val="006A2F6C"/>
    <w:rsid w:val="006A3BE2"/>
    <w:rsid w:val="006A4030"/>
    <w:rsid w:val="006A48F1"/>
    <w:rsid w:val="006A6681"/>
    <w:rsid w:val="006B4780"/>
    <w:rsid w:val="006B48B2"/>
    <w:rsid w:val="006B57CB"/>
    <w:rsid w:val="006C3B51"/>
    <w:rsid w:val="006C61E8"/>
    <w:rsid w:val="006D192A"/>
    <w:rsid w:val="006D603F"/>
    <w:rsid w:val="006D65EC"/>
    <w:rsid w:val="006D7BF3"/>
    <w:rsid w:val="006E12FE"/>
    <w:rsid w:val="006E26DC"/>
    <w:rsid w:val="006E50C3"/>
    <w:rsid w:val="006E564C"/>
    <w:rsid w:val="006F052D"/>
    <w:rsid w:val="006F07E3"/>
    <w:rsid w:val="006F1124"/>
    <w:rsid w:val="006F2045"/>
    <w:rsid w:val="006F32FB"/>
    <w:rsid w:val="0070141F"/>
    <w:rsid w:val="00705D83"/>
    <w:rsid w:val="00710523"/>
    <w:rsid w:val="0071058C"/>
    <w:rsid w:val="007142D0"/>
    <w:rsid w:val="00717780"/>
    <w:rsid w:val="0072112F"/>
    <w:rsid w:val="0072115C"/>
    <w:rsid w:val="007216AC"/>
    <w:rsid w:val="00732F8D"/>
    <w:rsid w:val="0073328E"/>
    <w:rsid w:val="00734305"/>
    <w:rsid w:val="0073706E"/>
    <w:rsid w:val="007373A6"/>
    <w:rsid w:val="0073790D"/>
    <w:rsid w:val="00737AE3"/>
    <w:rsid w:val="00737D83"/>
    <w:rsid w:val="00740622"/>
    <w:rsid w:val="00740D2F"/>
    <w:rsid w:val="00740E22"/>
    <w:rsid w:val="00740FE3"/>
    <w:rsid w:val="00744343"/>
    <w:rsid w:val="0074449D"/>
    <w:rsid w:val="00745160"/>
    <w:rsid w:val="00745FFD"/>
    <w:rsid w:val="0075099B"/>
    <w:rsid w:val="00750BD4"/>
    <w:rsid w:val="0075368D"/>
    <w:rsid w:val="00754697"/>
    <w:rsid w:val="007556C6"/>
    <w:rsid w:val="00755700"/>
    <w:rsid w:val="00757C4E"/>
    <w:rsid w:val="00757D8B"/>
    <w:rsid w:val="00760B0E"/>
    <w:rsid w:val="00761868"/>
    <w:rsid w:val="00761D9B"/>
    <w:rsid w:val="00762D33"/>
    <w:rsid w:val="007641F7"/>
    <w:rsid w:val="00765FD4"/>
    <w:rsid w:val="00767C3D"/>
    <w:rsid w:val="00771B91"/>
    <w:rsid w:val="00771DFE"/>
    <w:rsid w:val="007733DB"/>
    <w:rsid w:val="0077535C"/>
    <w:rsid w:val="00776CBE"/>
    <w:rsid w:val="007810E6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96334"/>
    <w:rsid w:val="007A0849"/>
    <w:rsid w:val="007A1121"/>
    <w:rsid w:val="007A1122"/>
    <w:rsid w:val="007A15A6"/>
    <w:rsid w:val="007A5987"/>
    <w:rsid w:val="007B026B"/>
    <w:rsid w:val="007B048D"/>
    <w:rsid w:val="007B04B4"/>
    <w:rsid w:val="007B1F73"/>
    <w:rsid w:val="007B232E"/>
    <w:rsid w:val="007B358E"/>
    <w:rsid w:val="007B3E55"/>
    <w:rsid w:val="007B435F"/>
    <w:rsid w:val="007B4E88"/>
    <w:rsid w:val="007B6899"/>
    <w:rsid w:val="007B7AF5"/>
    <w:rsid w:val="007B7E44"/>
    <w:rsid w:val="007C0BC2"/>
    <w:rsid w:val="007C32F8"/>
    <w:rsid w:val="007C3AAA"/>
    <w:rsid w:val="007C5CE8"/>
    <w:rsid w:val="007C7073"/>
    <w:rsid w:val="007C7B64"/>
    <w:rsid w:val="007D05B3"/>
    <w:rsid w:val="007D29E5"/>
    <w:rsid w:val="007D3D51"/>
    <w:rsid w:val="007D3E32"/>
    <w:rsid w:val="007D4A8D"/>
    <w:rsid w:val="007E1FBA"/>
    <w:rsid w:val="007E3355"/>
    <w:rsid w:val="007E5614"/>
    <w:rsid w:val="007F048B"/>
    <w:rsid w:val="007F174D"/>
    <w:rsid w:val="007F6797"/>
    <w:rsid w:val="007F7409"/>
    <w:rsid w:val="008005EB"/>
    <w:rsid w:val="00807CDD"/>
    <w:rsid w:val="00812E77"/>
    <w:rsid w:val="00813300"/>
    <w:rsid w:val="0081387C"/>
    <w:rsid w:val="0081466F"/>
    <w:rsid w:val="00820D20"/>
    <w:rsid w:val="00821B36"/>
    <w:rsid w:val="00822B24"/>
    <w:rsid w:val="008242F9"/>
    <w:rsid w:val="0082762A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290"/>
    <w:rsid w:val="00860837"/>
    <w:rsid w:val="00860EE4"/>
    <w:rsid w:val="00863B54"/>
    <w:rsid w:val="00866600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5C63"/>
    <w:rsid w:val="008A6F1B"/>
    <w:rsid w:val="008B01BE"/>
    <w:rsid w:val="008B37D1"/>
    <w:rsid w:val="008B480A"/>
    <w:rsid w:val="008B60CB"/>
    <w:rsid w:val="008B67CB"/>
    <w:rsid w:val="008C0E53"/>
    <w:rsid w:val="008C1795"/>
    <w:rsid w:val="008C4A0A"/>
    <w:rsid w:val="008C4B0D"/>
    <w:rsid w:val="008C57BA"/>
    <w:rsid w:val="008C5A69"/>
    <w:rsid w:val="008C5E3B"/>
    <w:rsid w:val="008C60E2"/>
    <w:rsid w:val="008C6335"/>
    <w:rsid w:val="008D26C8"/>
    <w:rsid w:val="008D397B"/>
    <w:rsid w:val="008D556E"/>
    <w:rsid w:val="008D767A"/>
    <w:rsid w:val="008E065B"/>
    <w:rsid w:val="008E19F3"/>
    <w:rsid w:val="008E2945"/>
    <w:rsid w:val="008E4894"/>
    <w:rsid w:val="008F1F50"/>
    <w:rsid w:val="008F241C"/>
    <w:rsid w:val="008F36F5"/>
    <w:rsid w:val="008F6AAF"/>
    <w:rsid w:val="00903105"/>
    <w:rsid w:val="00904004"/>
    <w:rsid w:val="009051BB"/>
    <w:rsid w:val="00906176"/>
    <w:rsid w:val="00906C63"/>
    <w:rsid w:val="00906E67"/>
    <w:rsid w:val="00913530"/>
    <w:rsid w:val="00915ADA"/>
    <w:rsid w:val="00915DB2"/>
    <w:rsid w:val="009213DB"/>
    <w:rsid w:val="00921B44"/>
    <w:rsid w:val="009220A7"/>
    <w:rsid w:val="009222C9"/>
    <w:rsid w:val="00924BDE"/>
    <w:rsid w:val="00927B66"/>
    <w:rsid w:val="00927EB8"/>
    <w:rsid w:val="00932625"/>
    <w:rsid w:val="00934023"/>
    <w:rsid w:val="009344C2"/>
    <w:rsid w:val="00935552"/>
    <w:rsid w:val="009356F6"/>
    <w:rsid w:val="00937539"/>
    <w:rsid w:val="00937E11"/>
    <w:rsid w:val="00941A60"/>
    <w:rsid w:val="00941B52"/>
    <w:rsid w:val="009439C3"/>
    <w:rsid w:val="00945078"/>
    <w:rsid w:val="009466CF"/>
    <w:rsid w:val="00946F0C"/>
    <w:rsid w:val="0094705C"/>
    <w:rsid w:val="00947200"/>
    <w:rsid w:val="00947476"/>
    <w:rsid w:val="0095069E"/>
    <w:rsid w:val="00957B41"/>
    <w:rsid w:val="00957DEA"/>
    <w:rsid w:val="00965500"/>
    <w:rsid w:val="00967D7E"/>
    <w:rsid w:val="009727DA"/>
    <w:rsid w:val="00972A6C"/>
    <w:rsid w:val="00977040"/>
    <w:rsid w:val="0098121D"/>
    <w:rsid w:val="00982987"/>
    <w:rsid w:val="0098362A"/>
    <w:rsid w:val="009858E1"/>
    <w:rsid w:val="00986B30"/>
    <w:rsid w:val="0098747F"/>
    <w:rsid w:val="00990864"/>
    <w:rsid w:val="00991554"/>
    <w:rsid w:val="009934A5"/>
    <w:rsid w:val="009954D0"/>
    <w:rsid w:val="009A24E0"/>
    <w:rsid w:val="009A4F6D"/>
    <w:rsid w:val="009A6705"/>
    <w:rsid w:val="009A69B1"/>
    <w:rsid w:val="009A71FE"/>
    <w:rsid w:val="009B043D"/>
    <w:rsid w:val="009B07EF"/>
    <w:rsid w:val="009B608A"/>
    <w:rsid w:val="009B691E"/>
    <w:rsid w:val="009B7C6D"/>
    <w:rsid w:val="009C08B7"/>
    <w:rsid w:val="009C0DA6"/>
    <w:rsid w:val="009C0ECA"/>
    <w:rsid w:val="009C0F81"/>
    <w:rsid w:val="009C17C7"/>
    <w:rsid w:val="009C1AF0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291E"/>
    <w:rsid w:val="00A035B0"/>
    <w:rsid w:val="00A04189"/>
    <w:rsid w:val="00A069E2"/>
    <w:rsid w:val="00A07F59"/>
    <w:rsid w:val="00A1093F"/>
    <w:rsid w:val="00A11C0F"/>
    <w:rsid w:val="00A11C90"/>
    <w:rsid w:val="00A12A99"/>
    <w:rsid w:val="00A13346"/>
    <w:rsid w:val="00A14661"/>
    <w:rsid w:val="00A15E33"/>
    <w:rsid w:val="00A1653A"/>
    <w:rsid w:val="00A16F18"/>
    <w:rsid w:val="00A2214C"/>
    <w:rsid w:val="00A23DCC"/>
    <w:rsid w:val="00A27AA5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715"/>
    <w:rsid w:val="00A41942"/>
    <w:rsid w:val="00A46073"/>
    <w:rsid w:val="00A4618A"/>
    <w:rsid w:val="00A46C7A"/>
    <w:rsid w:val="00A5254F"/>
    <w:rsid w:val="00A541A1"/>
    <w:rsid w:val="00A55879"/>
    <w:rsid w:val="00A55E01"/>
    <w:rsid w:val="00A55E85"/>
    <w:rsid w:val="00A567D6"/>
    <w:rsid w:val="00A56CD6"/>
    <w:rsid w:val="00A574A6"/>
    <w:rsid w:val="00A60772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A35AF"/>
    <w:rsid w:val="00AA6BC7"/>
    <w:rsid w:val="00AB2A70"/>
    <w:rsid w:val="00AB3C16"/>
    <w:rsid w:val="00AB5142"/>
    <w:rsid w:val="00AC0249"/>
    <w:rsid w:val="00AC614D"/>
    <w:rsid w:val="00AC61AF"/>
    <w:rsid w:val="00AC7E34"/>
    <w:rsid w:val="00AD2CA1"/>
    <w:rsid w:val="00AD61C2"/>
    <w:rsid w:val="00AE406C"/>
    <w:rsid w:val="00AE548F"/>
    <w:rsid w:val="00B00BCA"/>
    <w:rsid w:val="00B02A9F"/>
    <w:rsid w:val="00B03575"/>
    <w:rsid w:val="00B05444"/>
    <w:rsid w:val="00B058E3"/>
    <w:rsid w:val="00B0678D"/>
    <w:rsid w:val="00B07144"/>
    <w:rsid w:val="00B11974"/>
    <w:rsid w:val="00B12CF8"/>
    <w:rsid w:val="00B150FD"/>
    <w:rsid w:val="00B15519"/>
    <w:rsid w:val="00B244B9"/>
    <w:rsid w:val="00B2571C"/>
    <w:rsid w:val="00B27178"/>
    <w:rsid w:val="00B27C5B"/>
    <w:rsid w:val="00B3476A"/>
    <w:rsid w:val="00B36BED"/>
    <w:rsid w:val="00B40418"/>
    <w:rsid w:val="00B41CE5"/>
    <w:rsid w:val="00B42E81"/>
    <w:rsid w:val="00B43ABC"/>
    <w:rsid w:val="00B4711F"/>
    <w:rsid w:val="00B47199"/>
    <w:rsid w:val="00B51125"/>
    <w:rsid w:val="00B52CDF"/>
    <w:rsid w:val="00B612E7"/>
    <w:rsid w:val="00B62371"/>
    <w:rsid w:val="00B6412F"/>
    <w:rsid w:val="00B646D6"/>
    <w:rsid w:val="00B6504A"/>
    <w:rsid w:val="00B65A3B"/>
    <w:rsid w:val="00B65FF3"/>
    <w:rsid w:val="00B70BC3"/>
    <w:rsid w:val="00B71B71"/>
    <w:rsid w:val="00B731F5"/>
    <w:rsid w:val="00B7415F"/>
    <w:rsid w:val="00B75627"/>
    <w:rsid w:val="00B7769E"/>
    <w:rsid w:val="00B777EA"/>
    <w:rsid w:val="00B80A35"/>
    <w:rsid w:val="00B824E9"/>
    <w:rsid w:val="00B84424"/>
    <w:rsid w:val="00B859AE"/>
    <w:rsid w:val="00B86CEE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979B6"/>
    <w:rsid w:val="00BA1FA3"/>
    <w:rsid w:val="00BA23D8"/>
    <w:rsid w:val="00BA3909"/>
    <w:rsid w:val="00BA6317"/>
    <w:rsid w:val="00BA7246"/>
    <w:rsid w:val="00BA7889"/>
    <w:rsid w:val="00BB1CB8"/>
    <w:rsid w:val="00BB23EC"/>
    <w:rsid w:val="00BB3C6C"/>
    <w:rsid w:val="00BB3F93"/>
    <w:rsid w:val="00BB4AC1"/>
    <w:rsid w:val="00BB4D49"/>
    <w:rsid w:val="00BB524F"/>
    <w:rsid w:val="00BB6439"/>
    <w:rsid w:val="00BB675F"/>
    <w:rsid w:val="00BC24F3"/>
    <w:rsid w:val="00BC3FF4"/>
    <w:rsid w:val="00BC66B5"/>
    <w:rsid w:val="00BC671F"/>
    <w:rsid w:val="00BC79B3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03CC"/>
    <w:rsid w:val="00C10A75"/>
    <w:rsid w:val="00C15B3C"/>
    <w:rsid w:val="00C16B89"/>
    <w:rsid w:val="00C20A13"/>
    <w:rsid w:val="00C2215A"/>
    <w:rsid w:val="00C22586"/>
    <w:rsid w:val="00C22A46"/>
    <w:rsid w:val="00C23E32"/>
    <w:rsid w:val="00C2463C"/>
    <w:rsid w:val="00C248C1"/>
    <w:rsid w:val="00C24953"/>
    <w:rsid w:val="00C31207"/>
    <w:rsid w:val="00C3171F"/>
    <w:rsid w:val="00C36515"/>
    <w:rsid w:val="00C407C4"/>
    <w:rsid w:val="00C42FAF"/>
    <w:rsid w:val="00C437E1"/>
    <w:rsid w:val="00C45467"/>
    <w:rsid w:val="00C47123"/>
    <w:rsid w:val="00C54507"/>
    <w:rsid w:val="00C54A87"/>
    <w:rsid w:val="00C57D56"/>
    <w:rsid w:val="00C60B08"/>
    <w:rsid w:val="00C64CE4"/>
    <w:rsid w:val="00C67FA7"/>
    <w:rsid w:val="00C8156B"/>
    <w:rsid w:val="00C82309"/>
    <w:rsid w:val="00C864DC"/>
    <w:rsid w:val="00C878E5"/>
    <w:rsid w:val="00CA1041"/>
    <w:rsid w:val="00CA1722"/>
    <w:rsid w:val="00CA27C3"/>
    <w:rsid w:val="00CA4711"/>
    <w:rsid w:val="00CA6621"/>
    <w:rsid w:val="00CA6B02"/>
    <w:rsid w:val="00CA6C68"/>
    <w:rsid w:val="00CB0B7F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01FE"/>
    <w:rsid w:val="00CD293E"/>
    <w:rsid w:val="00CD3324"/>
    <w:rsid w:val="00CE1FE8"/>
    <w:rsid w:val="00CE2505"/>
    <w:rsid w:val="00CE27FC"/>
    <w:rsid w:val="00CE2BEB"/>
    <w:rsid w:val="00CE3AD1"/>
    <w:rsid w:val="00CE6480"/>
    <w:rsid w:val="00CE6C6E"/>
    <w:rsid w:val="00CE7090"/>
    <w:rsid w:val="00CF090B"/>
    <w:rsid w:val="00CF2CAF"/>
    <w:rsid w:val="00CF4242"/>
    <w:rsid w:val="00D00379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46F8"/>
    <w:rsid w:val="00D2667D"/>
    <w:rsid w:val="00D27558"/>
    <w:rsid w:val="00D2771F"/>
    <w:rsid w:val="00D303DC"/>
    <w:rsid w:val="00D30854"/>
    <w:rsid w:val="00D310CA"/>
    <w:rsid w:val="00D31127"/>
    <w:rsid w:val="00D32EE1"/>
    <w:rsid w:val="00D33258"/>
    <w:rsid w:val="00D40116"/>
    <w:rsid w:val="00D41DF2"/>
    <w:rsid w:val="00D43451"/>
    <w:rsid w:val="00D453BF"/>
    <w:rsid w:val="00D45C7A"/>
    <w:rsid w:val="00D46B40"/>
    <w:rsid w:val="00D46B44"/>
    <w:rsid w:val="00D4735E"/>
    <w:rsid w:val="00D47CC8"/>
    <w:rsid w:val="00D50703"/>
    <w:rsid w:val="00D51372"/>
    <w:rsid w:val="00D544F0"/>
    <w:rsid w:val="00D55587"/>
    <w:rsid w:val="00D56BD6"/>
    <w:rsid w:val="00D57381"/>
    <w:rsid w:val="00D60628"/>
    <w:rsid w:val="00D60D98"/>
    <w:rsid w:val="00D737C7"/>
    <w:rsid w:val="00D750F3"/>
    <w:rsid w:val="00D759AC"/>
    <w:rsid w:val="00D76AF0"/>
    <w:rsid w:val="00D76C6E"/>
    <w:rsid w:val="00D77DDC"/>
    <w:rsid w:val="00D80B6D"/>
    <w:rsid w:val="00D80FAF"/>
    <w:rsid w:val="00D83938"/>
    <w:rsid w:val="00D8502D"/>
    <w:rsid w:val="00D8513A"/>
    <w:rsid w:val="00D85BBB"/>
    <w:rsid w:val="00D93F1C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A5"/>
    <w:rsid w:val="00DC30D0"/>
    <w:rsid w:val="00DC3F71"/>
    <w:rsid w:val="00DC5C33"/>
    <w:rsid w:val="00DC5F84"/>
    <w:rsid w:val="00DD154C"/>
    <w:rsid w:val="00DD205C"/>
    <w:rsid w:val="00DD4BDD"/>
    <w:rsid w:val="00DD52C1"/>
    <w:rsid w:val="00DD6E74"/>
    <w:rsid w:val="00DE1A7D"/>
    <w:rsid w:val="00DE5847"/>
    <w:rsid w:val="00DE69CC"/>
    <w:rsid w:val="00DF04DA"/>
    <w:rsid w:val="00DF1FFF"/>
    <w:rsid w:val="00DF6AE1"/>
    <w:rsid w:val="00DF72D4"/>
    <w:rsid w:val="00DF7A3E"/>
    <w:rsid w:val="00E00DC6"/>
    <w:rsid w:val="00E02292"/>
    <w:rsid w:val="00E02CCE"/>
    <w:rsid w:val="00E02ED1"/>
    <w:rsid w:val="00E02FC7"/>
    <w:rsid w:val="00E044EC"/>
    <w:rsid w:val="00E05471"/>
    <w:rsid w:val="00E05804"/>
    <w:rsid w:val="00E058A3"/>
    <w:rsid w:val="00E11BD1"/>
    <w:rsid w:val="00E1461A"/>
    <w:rsid w:val="00E151F3"/>
    <w:rsid w:val="00E15A82"/>
    <w:rsid w:val="00E17539"/>
    <w:rsid w:val="00E2306C"/>
    <w:rsid w:val="00E32181"/>
    <w:rsid w:val="00E341D6"/>
    <w:rsid w:val="00E35707"/>
    <w:rsid w:val="00E42296"/>
    <w:rsid w:val="00E44495"/>
    <w:rsid w:val="00E52C11"/>
    <w:rsid w:val="00E55827"/>
    <w:rsid w:val="00E57F9B"/>
    <w:rsid w:val="00E6319B"/>
    <w:rsid w:val="00E63BFA"/>
    <w:rsid w:val="00E64D70"/>
    <w:rsid w:val="00E6726D"/>
    <w:rsid w:val="00E67581"/>
    <w:rsid w:val="00E70EBC"/>
    <w:rsid w:val="00E7333B"/>
    <w:rsid w:val="00E744BC"/>
    <w:rsid w:val="00E81433"/>
    <w:rsid w:val="00E81C95"/>
    <w:rsid w:val="00E85297"/>
    <w:rsid w:val="00E852A3"/>
    <w:rsid w:val="00E854FA"/>
    <w:rsid w:val="00E855B1"/>
    <w:rsid w:val="00E85B77"/>
    <w:rsid w:val="00E85C1F"/>
    <w:rsid w:val="00E86896"/>
    <w:rsid w:val="00E874F2"/>
    <w:rsid w:val="00E909E2"/>
    <w:rsid w:val="00E92A9E"/>
    <w:rsid w:val="00E97A43"/>
    <w:rsid w:val="00EA0C1C"/>
    <w:rsid w:val="00EA23EC"/>
    <w:rsid w:val="00EA2CE5"/>
    <w:rsid w:val="00EA2EF1"/>
    <w:rsid w:val="00EA3BA2"/>
    <w:rsid w:val="00EA477A"/>
    <w:rsid w:val="00EA4CB2"/>
    <w:rsid w:val="00EA56B9"/>
    <w:rsid w:val="00EB1F74"/>
    <w:rsid w:val="00EB6810"/>
    <w:rsid w:val="00EB7229"/>
    <w:rsid w:val="00EB7AB1"/>
    <w:rsid w:val="00EC039E"/>
    <w:rsid w:val="00EC2121"/>
    <w:rsid w:val="00EC304A"/>
    <w:rsid w:val="00EC36C2"/>
    <w:rsid w:val="00EC3BD3"/>
    <w:rsid w:val="00EC4F4C"/>
    <w:rsid w:val="00EC6133"/>
    <w:rsid w:val="00EC73D3"/>
    <w:rsid w:val="00EC7F0E"/>
    <w:rsid w:val="00ED0273"/>
    <w:rsid w:val="00ED10B9"/>
    <w:rsid w:val="00ED10FD"/>
    <w:rsid w:val="00ED2D1F"/>
    <w:rsid w:val="00ED58E9"/>
    <w:rsid w:val="00ED6B34"/>
    <w:rsid w:val="00ED79D6"/>
    <w:rsid w:val="00EE1831"/>
    <w:rsid w:val="00EE2EA3"/>
    <w:rsid w:val="00EE6DD8"/>
    <w:rsid w:val="00EF213B"/>
    <w:rsid w:val="00EF2F7C"/>
    <w:rsid w:val="00EF651C"/>
    <w:rsid w:val="00EF66D7"/>
    <w:rsid w:val="00F00576"/>
    <w:rsid w:val="00F01CBF"/>
    <w:rsid w:val="00F03F85"/>
    <w:rsid w:val="00F04C6B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4AA5"/>
    <w:rsid w:val="00F2598D"/>
    <w:rsid w:val="00F27E5C"/>
    <w:rsid w:val="00F336A2"/>
    <w:rsid w:val="00F338C4"/>
    <w:rsid w:val="00F34CE4"/>
    <w:rsid w:val="00F360BC"/>
    <w:rsid w:val="00F42045"/>
    <w:rsid w:val="00F427E2"/>
    <w:rsid w:val="00F4472C"/>
    <w:rsid w:val="00F44928"/>
    <w:rsid w:val="00F44AEB"/>
    <w:rsid w:val="00F45620"/>
    <w:rsid w:val="00F50CA6"/>
    <w:rsid w:val="00F50E79"/>
    <w:rsid w:val="00F53DEC"/>
    <w:rsid w:val="00F544B1"/>
    <w:rsid w:val="00F5470D"/>
    <w:rsid w:val="00F55A81"/>
    <w:rsid w:val="00F569B4"/>
    <w:rsid w:val="00F57F9B"/>
    <w:rsid w:val="00F63CCA"/>
    <w:rsid w:val="00F64000"/>
    <w:rsid w:val="00F71092"/>
    <w:rsid w:val="00F7238C"/>
    <w:rsid w:val="00F75D78"/>
    <w:rsid w:val="00F80EE8"/>
    <w:rsid w:val="00F81DA7"/>
    <w:rsid w:val="00F852D9"/>
    <w:rsid w:val="00F87177"/>
    <w:rsid w:val="00F90767"/>
    <w:rsid w:val="00F9173C"/>
    <w:rsid w:val="00F9256E"/>
    <w:rsid w:val="00F9588D"/>
    <w:rsid w:val="00F967A1"/>
    <w:rsid w:val="00F96EED"/>
    <w:rsid w:val="00F97B53"/>
    <w:rsid w:val="00FA0081"/>
    <w:rsid w:val="00FA00DD"/>
    <w:rsid w:val="00FA1F74"/>
    <w:rsid w:val="00FA7D5C"/>
    <w:rsid w:val="00FB062E"/>
    <w:rsid w:val="00FB18D0"/>
    <w:rsid w:val="00FB2ED6"/>
    <w:rsid w:val="00FB3A74"/>
    <w:rsid w:val="00FC00C6"/>
    <w:rsid w:val="00FC02D8"/>
    <w:rsid w:val="00FC0368"/>
    <w:rsid w:val="00FC1486"/>
    <w:rsid w:val="00FC2522"/>
    <w:rsid w:val="00FC31B6"/>
    <w:rsid w:val="00FC4324"/>
    <w:rsid w:val="00FC5B56"/>
    <w:rsid w:val="00FC71FD"/>
    <w:rsid w:val="00FD4B12"/>
    <w:rsid w:val="00FD7D67"/>
    <w:rsid w:val="00FE46FB"/>
    <w:rsid w:val="00FE494C"/>
    <w:rsid w:val="00FF176A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684D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yperlink" Target="mailto:lenka.kuzelova@bca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yperlink" Target="https://www.bcas.cz/o-nas/broker-consulting-index-podilovych-fondu/" TargetMode="Externa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hyperlink" Target="https://www.bcas.cz/onas/pro-medi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1F20C-7EF7-47BD-9321-100586883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939</Words>
  <Characters>5546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5</cp:revision>
  <dcterms:created xsi:type="dcterms:W3CDTF">2024-04-10T08:30:00Z</dcterms:created>
  <dcterms:modified xsi:type="dcterms:W3CDTF">2024-04-10T08:51:00Z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