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ED014A1" w14:textId="55F827D2" w:rsidR="00D80B6D" w:rsidRPr="00B346ED" w:rsidRDefault="00D80B6D" w:rsidP="00B346ED">
          <w:pPr>
            <w:rPr>
              <w:highlight w:val="yellow"/>
            </w:rPr>
          </w:pPr>
        </w:p>
        <w:p w14:paraId="0FB45B67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b/>
              <w:sz w:val="24"/>
            </w:rPr>
            <w:t>INDEX HYPOTEČNÍCH ÚVĚRŮ</w:t>
          </w:r>
          <w:r w:rsidRPr="007443AD">
            <w:rPr>
              <w:rFonts w:asciiTheme="minorHAnsi" w:hAnsiTheme="minorHAnsi" w:cstheme="minorHAnsi"/>
              <w:sz w:val="24"/>
            </w:rPr>
            <w:t xml:space="preserve"> | </w:t>
          </w:r>
          <w:r w:rsidRPr="007443AD">
            <w:rPr>
              <w:rFonts w:asciiTheme="minorHAnsi" w:hAnsiTheme="minorHAnsi" w:cstheme="minorHAnsi"/>
              <w:b/>
              <w:sz w:val="24"/>
            </w:rPr>
            <w:t xml:space="preserve">FIXINDEX </w:t>
          </w:r>
        </w:p>
        <w:p w14:paraId="03C4DE47" w14:textId="137DE246" w:rsidR="0009776B" w:rsidRDefault="00D80B6D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PODÍLOVÝCH FONDŮ </w:t>
          </w:r>
        </w:p>
        <w:p w14:paraId="5F5E486E" w14:textId="2A454C45" w:rsidR="004B5B94" w:rsidRPr="007443AD" w:rsidRDefault="004B5B94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>
            <w:rPr>
              <w:rFonts w:asciiTheme="minorHAnsi" w:hAnsiTheme="minorHAnsi" w:cstheme="minorHAnsi"/>
              <w:sz w:val="24"/>
            </w:rPr>
            <w:t>REALINDEX</w:t>
          </w:r>
        </w:p>
        <w:p w14:paraId="32900BCE" w14:textId="5904F9FC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P</w:t>
          </w:r>
          <w:r w:rsidR="005F65A1" w:rsidRPr="007443AD">
            <w:rPr>
              <w:rFonts w:asciiTheme="minorHAnsi" w:hAnsiTheme="minorHAnsi" w:cstheme="minorHAnsi"/>
              <w:sz w:val="24"/>
            </w:rPr>
            <w:t>OV</w:t>
          </w:r>
          <w:r w:rsidRPr="007443AD">
            <w:rPr>
              <w:rFonts w:asciiTheme="minorHAnsi" w:hAnsiTheme="minorHAnsi" w:cstheme="minorHAnsi"/>
              <w:sz w:val="24"/>
            </w:rPr>
            <w:t xml:space="preserve">INDEX </w:t>
          </w:r>
        </w:p>
        <w:p w14:paraId="5B21B8A6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660AEB6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51D468A4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F2ED30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C828C1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9B23CF7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7EC9300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1132A3F" w14:textId="5D367D7A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5B7E46" w:rsidRDefault="00D80B6D" w:rsidP="00D80B6D">
          <w:pPr>
            <w:jc w:val="both"/>
            <w:rPr>
              <w:rFonts w:asciiTheme="minorHAnsi" w:hAnsiTheme="minorHAnsi" w:cstheme="minorHAnsi"/>
              <w:sz w:val="20"/>
              <w:szCs w:val="20"/>
            </w:rPr>
          </w:pPr>
        </w:p>
        <w:p w14:paraId="08070DCC" w14:textId="269FF1F2" w:rsidR="00792EE9" w:rsidRPr="005B7E46" w:rsidRDefault="00792EE9" w:rsidP="00792EE9">
          <w:pPr>
            <w:jc w:val="both"/>
            <w:rPr>
              <w:rStyle w:val="dn"/>
              <w:rFonts w:asciiTheme="minorHAnsi" w:hAnsiTheme="minorHAnsi" w:cstheme="minorHAnsi"/>
              <w:sz w:val="20"/>
              <w:szCs w:val="20"/>
            </w:rPr>
          </w:pPr>
          <w:r w:rsidRPr="005B7E46">
            <w:rPr>
              <w:rFonts w:asciiTheme="minorHAnsi" w:hAnsiTheme="minorHAnsi" w:cstheme="minorHAnsi"/>
              <w:sz w:val="20"/>
              <w:szCs w:val="20"/>
            </w:rPr>
            <w:t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</w:t>
          </w:r>
          <w:r w:rsidR="00B8133C">
            <w:rPr>
              <w:rFonts w:asciiTheme="minorHAnsi" w:hAnsiTheme="minorHAnsi" w:cstheme="minorHAnsi"/>
              <w:sz w:val="20"/>
              <w:szCs w:val="20"/>
            </w:rPr>
            <w:t>) ve více než 150 kancelářích</w:t>
          </w:r>
          <w:r w:rsidR="00CD6257" w:rsidRPr="005B7E46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 w:rsidR="00B8133C">
            <w:rPr>
              <w:rFonts w:asciiTheme="minorHAnsi" w:hAnsiTheme="minorHAnsi" w:cstheme="minorHAnsi"/>
              <w:sz w:val="20"/>
              <w:szCs w:val="20"/>
            </w:rPr>
            <w:t>a na několika desítkách poboček</w:t>
          </w:r>
          <w:r w:rsidR="00B2198E">
            <w:rPr>
              <w:rFonts w:asciiTheme="minorHAnsi" w:hAnsiTheme="minorHAnsi" w:cstheme="minorHAnsi"/>
              <w:sz w:val="20"/>
              <w:szCs w:val="20"/>
            </w:rPr>
            <w:t xml:space="preserve"> Broker Point Premium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>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</w:t>
          </w:r>
          <w:r w:rsidR="00B2198E">
            <w:rPr>
              <w:rFonts w:asciiTheme="minorHAnsi" w:hAnsiTheme="minorHAnsi" w:cstheme="minorHAnsi"/>
              <w:sz w:val="20"/>
              <w:szCs w:val="20"/>
            </w:rPr>
            <w:t xml:space="preserve"> služby společně, to je Broker Point Premium</w:t>
          </w:r>
          <w:r w:rsidR="004D6BA6">
            <w:rPr>
              <w:rFonts w:asciiTheme="minorHAnsi" w:hAnsiTheme="minorHAnsi" w:cstheme="minorHAnsi"/>
              <w:sz w:val="20"/>
              <w:szCs w:val="20"/>
            </w:rPr>
            <w:t>,</w:t>
          </w:r>
          <w:r w:rsidR="00961519" w:rsidRPr="00961519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 w:rsidR="00961519">
            <w:rPr>
              <w:rFonts w:asciiTheme="minorHAnsi" w:hAnsiTheme="minorHAnsi" w:cstheme="minorHAnsi"/>
              <w:sz w:val="20"/>
              <w:szCs w:val="20"/>
            </w:rPr>
            <w:t xml:space="preserve">jehož přináší společnost Broker Consulting, která za vedení franšízy a její podporu získala ocenění </w:t>
          </w:r>
          <w:proofErr w:type="spellStart"/>
          <w:r w:rsidR="00961519" w:rsidRPr="00A0680F"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t>Franchisor</w:t>
          </w:r>
          <w:proofErr w:type="spellEnd"/>
          <w:r w:rsidR="00961519" w:rsidRPr="00A0680F"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t xml:space="preserve"> roku 2022</w:t>
          </w:r>
          <w:r w:rsidR="00961519" w:rsidRPr="00A0680F">
            <w:rPr>
              <w:rFonts w:asciiTheme="minorHAnsi" w:hAnsiTheme="minorHAnsi" w:cstheme="minorHAnsi"/>
              <w:color w:val="FF0000"/>
              <w:sz w:val="20"/>
              <w:szCs w:val="20"/>
            </w:rPr>
            <w:t xml:space="preserve"> </w:t>
          </w:r>
          <w:r w:rsidR="00961519">
            <w:rPr>
              <w:rFonts w:asciiTheme="minorHAnsi" w:hAnsiTheme="minorHAnsi" w:cstheme="minorHAnsi"/>
              <w:sz w:val="20"/>
              <w:szCs w:val="20"/>
            </w:rPr>
            <w:t xml:space="preserve">od České asociace </w:t>
          </w:r>
          <w:proofErr w:type="spellStart"/>
          <w:r w:rsidR="00961519">
            <w:rPr>
              <w:rFonts w:asciiTheme="minorHAnsi" w:hAnsiTheme="minorHAnsi" w:cstheme="minorHAnsi"/>
              <w:sz w:val="20"/>
              <w:szCs w:val="20"/>
            </w:rPr>
            <w:t>franchisingu</w:t>
          </w:r>
          <w:proofErr w:type="spellEnd"/>
          <w:r w:rsidR="008D373A" w:rsidRPr="005B7E46">
            <w:rPr>
              <w:rFonts w:asciiTheme="minorHAnsi" w:hAnsiTheme="minorHAnsi" w:cstheme="minorHAnsi"/>
              <w:sz w:val="20"/>
              <w:szCs w:val="20"/>
            </w:rPr>
            <w:t xml:space="preserve">.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Více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na </w:t>
          </w:r>
          <w:hyperlink r:id="rId9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bcas.cz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0" w:history="1">
            <w:r w:rsidR="00B2198E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brokerpointy</w:t>
            </w:r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r w:rsidR="00B2198E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>brokerpoint</w:t>
          </w:r>
          <w:hyperlink r:id="rId11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.tv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na </w:t>
          </w:r>
          <w:hyperlink r:id="rId12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realityspolu.cz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.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Navštivte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také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náš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3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  <w:proofErr w:type="spellEnd"/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, </w:t>
          </w:r>
          <w:hyperlink r:id="rId14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LinkedIN</w:t>
            </w:r>
            <w:proofErr w:type="spellEnd"/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Consulting, Twitter </w:t>
          </w:r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>@</w:t>
          </w:r>
          <w:proofErr w:type="spellStart"/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>BC_oficialni</w:t>
          </w:r>
          <w:proofErr w:type="spellEnd"/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 xml:space="preserve">,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5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  <w:proofErr w:type="spellEnd"/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</w:t>
          </w:r>
          <w:hyperlink r:id="rId16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</w:rPr>
            <w:t>N</w:t>
          </w:r>
          <w:proofErr w:type="spellEnd"/>
          <w:r w:rsidR="00B2198E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Point Premium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even" r:id="rId17"/>
              <w:headerReference w:type="default" r:id="rId18"/>
              <w:footerReference w:type="even" r:id="rId19"/>
              <w:footerReference w:type="default" r:id="rId20"/>
              <w:headerReference w:type="first" r:id="rId21"/>
              <w:footerReference w:type="first" r:id="rId22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4F038982" w14:textId="77777777" w:rsidR="00203BD4" w:rsidRDefault="00203BD4" w:rsidP="0025264B">
          <w:pPr>
            <w:rPr>
              <w:rFonts w:ascii="Arial" w:hAnsi="Arial" w:cs="Arial"/>
              <w:sz w:val="20"/>
              <w:szCs w:val="20"/>
              <w:highlight w:val="yellow"/>
            </w:rPr>
          </w:pPr>
        </w:p>
        <w:p w14:paraId="35539C65" w14:textId="06F0629B" w:rsidR="00D31127" w:rsidRPr="006545F8" w:rsidRDefault="00A65882" w:rsidP="0025264B">
          <w:pPr>
            <w:rPr>
              <w:rFonts w:ascii="Arial" w:hAnsi="Arial" w:cs="Arial"/>
              <w:sz w:val="20"/>
              <w:szCs w:val="20"/>
              <w:highlight w:val="yellow"/>
            </w:rPr>
            <w:sectPr w:rsidR="00D31127" w:rsidRPr="006545F8" w:rsidSect="00D80B6D">
              <w:headerReference w:type="even" r:id="rId23"/>
              <w:headerReference w:type="default" r:id="rId24"/>
              <w:footerReference w:type="even" r:id="rId25"/>
              <w:footerReference w:type="default" r:id="rId26"/>
              <w:headerReference w:type="first" r:id="rId27"/>
              <w:footerReference w:type="first" r:id="rId28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305A0D43" w14:textId="6C97CB27" w:rsidR="00EC65E8" w:rsidRPr="0017296F" w:rsidRDefault="00C00EEF" w:rsidP="00EC65E8">
      <w:pPr>
        <w:pStyle w:val="Odstavecseseznamem"/>
        <w:spacing w:after="240"/>
        <w:ind w:left="720" w:firstLine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7296F">
        <w:rPr>
          <w:rFonts w:asciiTheme="minorHAnsi" w:hAnsiTheme="minorHAnsi" w:cstheme="minorHAnsi"/>
          <w:b/>
          <w:sz w:val="24"/>
          <w:szCs w:val="24"/>
        </w:rPr>
        <w:t xml:space="preserve">INDEX: </w:t>
      </w:r>
      <w:r w:rsidR="00E61348">
        <w:rPr>
          <w:rFonts w:asciiTheme="minorHAnsi" w:hAnsiTheme="minorHAnsi" w:cstheme="minorHAnsi"/>
          <w:b/>
          <w:sz w:val="24"/>
          <w:szCs w:val="24"/>
        </w:rPr>
        <w:t>Sazby hypoték nadále klesají</w:t>
      </w:r>
    </w:p>
    <w:p w14:paraId="1B6CFB9F" w14:textId="7C60323F" w:rsidR="008F715C" w:rsidRPr="00500925" w:rsidRDefault="00EC65E8" w:rsidP="00500925">
      <w:pPr>
        <w:pStyle w:val="Bezmezer"/>
        <w:numPr>
          <w:ilvl w:val="0"/>
          <w:numId w:val="14"/>
        </w:numPr>
        <w:jc w:val="both"/>
        <w:rPr>
          <w:rFonts w:eastAsiaTheme="minorHAnsi" w:cstheme="minorHAnsi"/>
          <w:b/>
        </w:rPr>
      </w:pPr>
      <w:r w:rsidRPr="00500925">
        <w:rPr>
          <w:rFonts w:cstheme="minorHAnsi"/>
          <w:b/>
        </w:rPr>
        <w:t>Hodnota Broker Consulting</w:t>
      </w:r>
      <w:r w:rsidR="00D94687">
        <w:rPr>
          <w:rFonts w:cstheme="minorHAnsi"/>
          <w:b/>
        </w:rPr>
        <w:t xml:space="preserve"> I</w:t>
      </w:r>
      <w:r w:rsidRPr="00500925">
        <w:rPr>
          <w:rFonts w:cstheme="minorHAnsi"/>
          <w:b/>
        </w:rPr>
        <w:t>ndexu hypoteční</w:t>
      </w:r>
      <w:r w:rsidR="00E61348">
        <w:rPr>
          <w:rFonts w:cstheme="minorHAnsi"/>
          <w:b/>
        </w:rPr>
        <w:t>ch úvěrů meziměsíčně klesla o 0,19 procentního bodu</w:t>
      </w:r>
      <w:r w:rsidRPr="00500925">
        <w:rPr>
          <w:rFonts w:cstheme="minorHAnsi"/>
          <w:b/>
        </w:rPr>
        <w:t>.</w:t>
      </w:r>
    </w:p>
    <w:p w14:paraId="6F6B9383" w14:textId="3884AB60" w:rsidR="00EC65E8" w:rsidRPr="00500925" w:rsidRDefault="00E61348" w:rsidP="00500925">
      <w:pPr>
        <w:pStyle w:val="Bezmezer"/>
        <w:numPr>
          <w:ilvl w:val="0"/>
          <w:numId w:val="14"/>
        </w:numPr>
        <w:jc w:val="both"/>
        <w:rPr>
          <w:rFonts w:eastAsiaTheme="minorHAnsi" w:cstheme="minorHAnsi"/>
          <w:b/>
        </w:rPr>
      </w:pPr>
      <w:r>
        <w:rPr>
          <w:rFonts w:eastAsiaTheme="minorHAnsi" w:cstheme="minorHAnsi"/>
          <w:b/>
        </w:rPr>
        <w:t>Průměrné sazby u hypoték se v březnu ustálily na 5,34 procentech</w:t>
      </w:r>
      <w:r w:rsidR="00EC65E8" w:rsidRPr="00500925">
        <w:rPr>
          <w:rFonts w:eastAsiaTheme="minorHAnsi" w:cstheme="minorHAnsi"/>
          <w:b/>
        </w:rPr>
        <w:t>.</w:t>
      </w:r>
    </w:p>
    <w:p w14:paraId="78878F7C" w14:textId="170E91AC" w:rsidR="00164598" w:rsidRPr="009E724D" w:rsidRDefault="009808FE" w:rsidP="00500925">
      <w:pPr>
        <w:pStyle w:val="Bezmezer"/>
        <w:numPr>
          <w:ilvl w:val="0"/>
          <w:numId w:val="14"/>
        </w:numPr>
        <w:spacing w:after="240"/>
        <w:jc w:val="both"/>
        <w:rPr>
          <w:rFonts w:eastAsiaTheme="minorHAnsi" w:cstheme="minorHAnsi"/>
          <w:b/>
        </w:rPr>
      </w:pPr>
      <w:r>
        <w:rPr>
          <w:rFonts w:eastAsiaTheme="minorHAnsi" w:cstheme="minorHAnsi"/>
          <w:b/>
        </w:rPr>
        <w:t>Pozvolný pokles sazeb je očekáván v průběhu celého roku</w:t>
      </w:r>
      <w:r w:rsidR="00EC65E8" w:rsidRPr="00500925">
        <w:rPr>
          <w:rFonts w:eastAsiaTheme="minorHAnsi" w:cstheme="minorHAnsi"/>
          <w:b/>
        </w:rPr>
        <w:t>.</w:t>
      </w:r>
    </w:p>
    <w:p w14:paraId="72779C4E" w14:textId="098479D8" w:rsidR="00D76337" w:rsidRPr="009808FE" w:rsidRDefault="002B4265" w:rsidP="009E724D">
      <w:pPr>
        <w:spacing w:after="120"/>
        <w:jc w:val="both"/>
        <w:rPr>
          <w:rFonts w:asciiTheme="minorHAnsi" w:hAnsiTheme="minorHAnsi" w:cstheme="minorHAnsi"/>
          <w:b/>
        </w:rPr>
      </w:pPr>
      <w:r w:rsidRPr="009808FE">
        <w:rPr>
          <w:rFonts w:asciiTheme="minorHAnsi" w:hAnsiTheme="minorHAnsi" w:cstheme="minorHAnsi"/>
          <w:b/>
          <w:i/>
        </w:rPr>
        <w:t xml:space="preserve">Praha, </w:t>
      </w:r>
      <w:r w:rsidR="00756671">
        <w:rPr>
          <w:rFonts w:asciiTheme="minorHAnsi" w:hAnsiTheme="minorHAnsi" w:cstheme="minorHAnsi"/>
          <w:b/>
          <w:i/>
        </w:rPr>
        <w:t>4</w:t>
      </w:r>
      <w:r w:rsidR="00241DC1" w:rsidRPr="009808FE">
        <w:rPr>
          <w:rFonts w:asciiTheme="minorHAnsi" w:hAnsiTheme="minorHAnsi" w:cstheme="minorHAnsi"/>
          <w:b/>
          <w:i/>
        </w:rPr>
        <w:t>.</w:t>
      </w:r>
      <w:r w:rsidR="00E61348" w:rsidRPr="009808FE">
        <w:rPr>
          <w:rFonts w:asciiTheme="minorHAnsi" w:hAnsiTheme="minorHAnsi" w:cstheme="minorHAnsi"/>
          <w:b/>
          <w:i/>
        </w:rPr>
        <w:t xml:space="preserve"> dubna</w:t>
      </w:r>
      <w:r w:rsidR="00241DC1" w:rsidRPr="009808FE">
        <w:rPr>
          <w:rFonts w:asciiTheme="minorHAnsi" w:hAnsiTheme="minorHAnsi" w:cstheme="minorHAnsi"/>
          <w:b/>
          <w:i/>
        </w:rPr>
        <w:t xml:space="preserve"> </w:t>
      </w:r>
      <w:r w:rsidR="000878FB" w:rsidRPr="009808FE">
        <w:rPr>
          <w:rFonts w:asciiTheme="minorHAnsi" w:hAnsiTheme="minorHAnsi" w:cstheme="minorHAnsi"/>
          <w:b/>
          <w:i/>
        </w:rPr>
        <w:t xml:space="preserve">2024 </w:t>
      </w:r>
      <w:r w:rsidR="00281DB8" w:rsidRPr="009808FE">
        <w:rPr>
          <w:rFonts w:asciiTheme="minorHAnsi" w:hAnsiTheme="minorHAnsi" w:cstheme="minorHAnsi"/>
          <w:b/>
          <w:i/>
        </w:rPr>
        <w:t>–</w:t>
      </w:r>
      <w:r w:rsidR="00E92775" w:rsidRPr="009808FE">
        <w:rPr>
          <w:rFonts w:asciiTheme="minorHAnsi" w:hAnsiTheme="minorHAnsi" w:cstheme="minorHAnsi"/>
          <w:b/>
        </w:rPr>
        <w:t xml:space="preserve"> Průměrné sazby u hypoték opět klesly, oproti únoru evidujeme pokles o 0,19 procentního bodu. Březnová </w:t>
      </w:r>
      <w:r w:rsidR="007F5D81" w:rsidRPr="009808FE">
        <w:rPr>
          <w:rFonts w:asciiTheme="minorHAnsi" w:hAnsiTheme="minorHAnsi" w:cstheme="minorHAnsi"/>
          <w:b/>
        </w:rPr>
        <w:t>Hodnota Broker Consulting Indexu hypotečních úvěru dosáhla hodnoty 5,</w:t>
      </w:r>
      <w:r w:rsidR="00E92775" w:rsidRPr="009808FE">
        <w:rPr>
          <w:rFonts w:asciiTheme="minorHAnsi" w:hAnsiTheme="minorHAnsi" w:cstheme="minorHAnsi"/>
          <w:b/>
        </w:rPr>
        <w:t>34 procenta, zatímco v</w:t>
      </w:r>
      <w:r w:rsidR="007540ED">
        <w:rPr>
          <w:rFonts w:asciiTheme="minorHAnsi" w:hAnsiTheme="minorHAnsi" w:cstheme="minorHAnsi"/>
          <w:b/>
        </w:rPr>
        <w:t> únoru to bylo</w:t>
      </w:r>
      <w:r w:rsidR="00E92775" w:rsidRPr="009808FE">
        <w:rPr>
          <w:rFonts w:asciiTheme="minorHAnsi" w:hAnsiTheme="minorHAnsi" w:cstheme="minorHAnsi"/>
          <w:b/>
        </w:rPr>
        <w:t xml:space="preserve"> 5,53 procent</w:t>
      </w:r>
      <w:r w:rsidR="000D0B6F" w:rsidRPr="009808FE">
        <w:rPr>
          <w:rFonts w:asciiTheme="minorHAnsi" w:hAnsiTheme="minorHAnsi" w:cstheme="minorHAnsi"/>
          <w:b/>
        </w:rPr>
        <w:t>a</w:t>
      </w:r>
      <w:r w:rsidR="00E92775" w:rsidRPr="009808FE">
        <w:rPr>
          <w:rFonts w:asciiTheme="minorHAnsi" w:hAnsiTheme="minorHAnsi" w:cstheme="minorHAnsi"/>
          <w:b/>
        </w:rPr>
        <w:t>. Stejně tak poklesl i p</w:t>
      </w:r>
      <w:r w:rsidR="00281DB8" w:rsidRPr="009808FE">
        <w:rPr>
          <w:rFonts w:asciiTheme="minorHAnsi" w:hAnsiTheme="minorHAnsi" w:cstheme="minorHAnsi"/>
          <w:b/>
        </w:rPr>
        <w:t xml:space="preserve">ředstihový ukazatel </w:t>
      </w:r>
      <w:r w:rsidR="00D76337" w:rsidRPr="009808FE">
        <w:rPr>
          <w:rFonts w:asciiTheme="minorHAnsi" w:hAnsiTheme="minorHAnsi" w:cstheme="minorHAnsi"/>
          <w:b/>
        </w:rPr>
        <w:t>na měsíc duben, a to na hodnotu 5,52</w:t>
      </w:r>
      <w:r w:rsidR="007540ED">
        <w:rPr>
          <w:rFonts w:asciiTheme="minorHAnsi" w:hAnsiTheme="minorHAnsi" w:cstheme="minorHAnsi"/>
          <w:b/>
        </w:rPr>
        <w:t> </w:t>
      </w:r>
      <w:r w:rsidR="00281DB8" w:rsidRPr="009808FE">
        <w:rPr>
          <w:rFonts w:asciiTheme="minorHAnsi" w:hAnsiTheme="minorHAnsi" w:cstheme="minorHAnsi"/>
          <w:b/>
        </w:rPr>
        <w:t>procent</w:t>
      </w:r>
      <w:r w:rsidR="000D0B6F" w:rsidRPr="009808FE">
        <w:rPr>
          <w:rFonts w:asciiTheme="minorHAnsi" w:hAnsiTheme="minorHAnsi" w:cstheme="minorHAnsi"/>
          <w:b/>
        </w:rPr>
        <w:t>a</w:t>
      </w:r>
      <w:r w:rsidR="00281DB8" w:rsidRPr="009808FE">
        <w:rPr>
          <w:rFonts w:asciiTheme="minorHAnsi" w:hAnsiTheme="minorHAnsi" w:cstheme="minorHAnsi"/>
          <w:b/>
        </w:rPr>
        <w:t xml:space="preserve">. </w:t>
      </w:r>
      <w:r w:rsidR="00D76337" w:rsidRPr="009808FE">
        <w:rPr>
          <w:rFonts w:asciiTheme="minorHAnsi" w:hAnsiTheme="minorHAnsi" w:cstheme="minorHAnsi"/>
          <w:b/>
        </w:rPr>
        <w:t>Snížením základních úrokových sazeb dala Česká národní banka opětovný im</w:t>
      </w:r>
      <w:r w:rsidR="00756671">
        <w:rPr>
          <w:rFonts w:asciiTheme="minorHAnsi" w:hAnsiTheme="minorHAnsi" w:cstheme="minorHAnsi"/>
          <w:b/>
        </w:rPr>
        <w:t>puls pro oživení poptávky po hypotečních úvěrech</w:t>
      </w:r>
      <w:r w:rsidR="00D76337" w:rsidRPr="009808FE">
        <w:rPr>
          <w:rFonts w:asciiTheme="minorHAnsi" w:hAnsiTheme="minorHAnsi" w:cstheme="minorHAnsi"/>
          <w:b/>
        </w:rPr>
        <w:t xml:space="preserve">. </w:t>
      </w:r>
    </w:p>
    <w:p w14:paraId="0D8B9CBD" w14:textId="37577022" w:rsidR="00D76337" w:rsidRPr="00DE6EEA" w:rsidRDefault="00E569BC" w:rsidP="00DE6EEA">
      <w:pPr>
        <w:spacing w:before="120" w:after="120"/>
        <w:ind w:right="40"/>
        <w:jc w:val="both"/>
        <w:rPr>
          <w:rFonts w:asciiTheme="minorHAnsi" w:hAnsiTheme="minorHAnsi" w:cstheme="minorHAnsi"/>
          <w:bCs/>
        </w:rPr>
      </w:pPr>
      <w:r w:rsidRPr="009808FE">
        <w:rPr>
          <w:rFonts w:asciiTheme="minorHAnsi" w:eastAsia="Times New Roman" w:hAnsiTheme="minorHAnsi" w:cstheme="minorHAnsi"/>
          <w:i/>
        </w:rPr>
        <w:t>„</w:t>
      </w:r>
      <w:r w:rsidR="00D76337" w:rsidRPr="009808FE">
        <w:rPr>
          <w:rFonts w:asciiTheme="minorHAnsi" w:eastAsia="Times New Roman" w:hAnsiTheme="minorHAnsi" w:cstheme="minorHAnsi"/>
          <w:i/>
        </w:rPr>
        <w:t>Pozvolný pokles sazeb je očekáván v průběhu celého leto</w:t>
      </w:r>
      <w:r w:rsidRPr="009808FE">
        <w:rPr>
          <w:rFonts w:asciiTheme="minorHAnsi" w:eastAsia="Times New Roman" w:hAnsiTheme="minorHAnsi" w:cstheme="minorHAnsi"/>
          <w:i/>
        </w:rPr>
        <w:t xml:space="preserve">šního roku, </w:t>
      </w:r>
      <w:r w:rsidR="00756671">
        <w:rPr>
          <w:rFonts w:asciiTheme="minorHAnsi" w:eastAsia="Times New Roman" w:hAnsiTheme="minorHAnsi" w:cstheme="minorHAnsi"/>
          <w:i/>
        </w:rPr>
        <w:t xml:space="preserve">ale </w:t>
      </w:r>
      <w:r w:rsidRPr="009808FE">
        <w:rPr>
          <w:rFonts w:asciiTheme="minorHAnsi" w:eastAsia="Times New Roman" w:hAnsiTheme="minorHAnsi" w:cstheme="minorHAnsi"/>
          <w:i/>
        </w:rPr>
        <w:t>samozřejmě záleží</w:t>
      </w:r>
      <w:r w:rsidR="00D76337" w:rsidRPr="009808FE">
        <w:rPr>
          <w:rFonts w:asciiTheme="minorHAnsi" w:eastAsia="Times New Roman" w:hAnsiTheme="minorHAnsi" w:cstheme="minorHAnsi"/>
          <w:i/>
        </w:rPr>
        <w:t xml:space="preserve"> na dalších krocíc</w:t>
      </w:r>
      <w:r w:rsidRPr="009808FE">
        <w:rPr>
          <w:rFonts w:asciiTheme="minorHAnsi" w:eastAsia="Times New Roman" w:hAnsiTheme="minorHAnsi" w:cstheme="minorHAnsi"/>
          <w:i/>
        </w:rPr>
        <w:t xml:space="preserve">h České národní banky. Předpokládáme však, že ČNB bude do konce roku průběžně mírně snižovat </w:t>
      </w:r>
      <w:r w:rsidR="00D76337" w:rsidRPr="009808FE">
        <w:rPr>
          <w:rFonts w:asciiTheme="minorHAnsi" w:eastAsia="Times New Roman" w:hAnsiTheme="minorHAnsi" w:cstheme="minorHAnsi"/>
          <w:i/>
        </w:rPr>
        <w:t>d</w:t>
      </w:r>
      <w:r w:rsidRPr="009808FE">
        <w:rPr>
          <w:rFonts w:asciiTheme="minorHAnsi" w:eastAsia="Times New Roman" w:hAnsiTheme="minorHAnsi" w:cstheme="minorHAnsi"/>
          <w:i/>
        </w:rPr>
        <w:t xml:space="preserve">voutýdenní </w:t>
      </w:r>
      <w:proofErr w:type="spellStart"/>
      <w:r w:rsidRPr="009808FE">
        <w:rPr>
          <w:rFonts w:asciiTheme="minorHAnsi" w:eastAsia="Times New Roman" w:hAnsiTheme="minorHAnsi" w:cstheme="minorHAnsi"/>
          <w:i/>
        </w:rPr>
        <w:t>repo</w:t>
      </w:r>
      <w:proofErr w:type="spellEnd"/>
      <w:r w:rsidRPr="009808FE">
        <w:rPr>
          <w:rFonts w:asciiTheme="minorHAnsi" w:eastAsia="Times New Roman" w:hAnsiTheme="minorHAnsi" w:cstheme="minorHAnsi"/>
          <w:i/>
        </w:rPr>
        <w:t xml:space="preserve"> sazby, která aktuálně činí 5,75 procenta</w:t>
      </w:r>
      <w:r w:rsidRPr="009808FE">
        <w:rPr>
          <w:rFonts w:asciiTheme="minorHAnsi" w:eastAsia="Times New Roman" w:hAnsiTheme="minorHAnsi" w:cstheme="minorHAnsi"/>
        </w:rPr>
        <w:t xml:space="preserve">,“ uvádí </w:t>
      </w:r>
      <w:r w:rsidRPr="009808FE">
        <w:rPr>
          <w:rFonts w:asciiTheme="minorHAnsi" w:hAnsiTheme="minorHAnsi" w:cstheme="minorHAnsi"/>
          <w:b/>
        </w:rPr>
        <w:t>Michaela Pudilová, analytička hypotečních a spotřebitelských úvěrů ze společnosti Broker Consulting.</w:t>
      </w:r>
      <w:r w:rsidRPr="009808FE">
        <w:rPr>
          <w:rFonts w:asciiTheme="minorHAnsi" w:hAnsiTheme="minorHAnsi" w:cstheme="minorHAnsi"/>
          <w:bCs/>
        </w:rPr>
        <w:t xml:space="preserve"> </w:t>
      </w:r>
    </w:p>
    <w:p w14:paraId="3C17F21D" w14:textId="49C5363B" w:rsidR="00F76218" w:rsidRPr="009808FE" w:rsidRDefault="00F76218" w:rsidP="009E724D">
      <w:pPr>
        <w:spacing w:after="240"/>
        <w:jc w:val="both"/>
        <w:rPr>
          <w:rFonts w:asciiTheme="minorHAnsi" w:hAnsiTheme="minorHAnsi" w:cstheme="minorHAnsi"/>
          <w:b/>
        </w:rPr>
      </w:pPr>
      <w:r w:rsidRPr="009808FE">
        <w:rPr>
          <w:rFonts w:asciiTheme="minorHAnsi" w:hAnsiTheme="minorHAnsi" w:cstheme="minorHAnsi"/>
          <w:bCs/>
          <w:color w:val="000000" w:themeColor="text1"/>
        </w:rPr>
        <w:t xml:space="preserve">Broker Consulting Index hypotečních úvěrů dosáhl </w:t>
      </w:r>
      <w:r w:rsidR="00D71C06" w:rsidRPr="009808FE">
        <w:rPr>
          <w:rFonts w:asciiTheme="minorHAnsi" w:hAnsiTheme="minorHAnsi" w:cstheme="minorHAnsi"/>
          <w:bCs/>
          <w:color w:val="000000" w:themeColor="text1"/>
        </w:rPr>
        <w:t>v březnu hodnoty 5,34 procenta a klesá již po čtvrté v</w:t>
      </w:r>
      <w:r w:rsidR="000D0B6F" w:rsidRPr="009808FE">
        <w:rPr>
          <w:rFonts w:asciiTheme="minorHAnsi" w:hAnsiTheme="minorHAnsi" w:cstheme="minorHAnsi"/>
          <w:bCs/>
          <w:color w:val="000000" w:themeColor="text1"/>
        </w:rPr>
        <w:t> řadě, což koresponduje s kroky České národní banky.</w:t>
      </w:r>
      <w:r w:rsidR="00D71C06" w:rsidRPr="009808FE">
        <w:rPr>
          <w:rFonts w:asciiTheme="minorHAnsi" w:hAnsiTheme="minorHAnsi" w:cstheme="minorHAnsi"/>
          <w:bCs/>
          <w:color w:val="000000" w:themeColor="text1"/>
        </w:rPr>
        <w:t xml:space="preserve"> Oproti prosincové hodnotě</w:t>
      </w:r>
      <w:r w:rsidR="000D0B6F" w:rsidRPr="009808FE">
        <w:rPr>
          <w:rFonts w:asciiTheme="minorHAnsi" w:hAnsiTheme="minorHAnsi" w:cstheme="minorHAnsi"/>
          <w:bCs/>
          <w:color w:val="000000" w:themeColor="text1"/>
        </w:rPr>
        <w:t xml:space="preserve"> tak</w:t>
      </w:r>
      <w:r w:rsidR="00D71C06" w:rsidRPr="009808FE">
        <w:rPr>
          <w:rFonts w:asciiTheme="minorHAnsi" w:hAnsiTheme="minorHAnsi" w:cstheme="minorHAnsi"/>
          <w:bCs/>
          <w:color w:val="000000" w:themeColor="text1"/>
        </w:rPr>
        <w:t xml:space="preserve"> evidujeme pokles o </w:t>
      </w:r>
      <w:r w:rsidR="00B507D2" w:rsidRPr="009808FE">
        <w:rPr>
          <w:rFonts w:asciiTheme="minorHAnsi" w:hAnsiTheme="minorHAnsi" w:cstheme="minorHAnsi"/>
          <w:bCs/>
          <w:color w:val="000000" w:themeColor="text1"/>
        </w:rPr>
        <w:t>0,37 procentního bodu. Podíváme-li se na konkrétní hodnoty, pak v prosinci dosáhly průměrné sazby u hypoték hodnoty 5,71 procenta, v lednu 5,62 procenta a únoru</w:t>
      </w:r>
      <w:r w:rsidR="00756671">
        <w:rPr>
          <w:rFonts w:asciiTheme="minorHAnsi" w:hAnsiTheme="minorHAnsi" w:cstheme="minorHAnsi"/>
          <w:bCs/>
          <w:color w:val="000000" w:themeColor="text1"/>
        </w:rPr>
        <w:t xml:space="preserve"> pak</w:t>
      </w:r>
      <w:r w:rsidR="00B507D2" w:rsidRPr="009808FE">
        <w:rPr>
          <w:rFonts w:asciiTheme="minorHAnsi" w:hAnsiTheme="minorHAnsi" w:cstheme="minorHAnsi"/>
          <w:bCs/>
          <w:color w:val="000000" w:themeColor="text1"/>
        </w:rPr>
        <w:t xml:space="preserve"> 5,53 procenta.</w:t>
      </w:r>
      <w:r w:rsidR="000D0B6F" w:rsidRPr="009808FE">
        <w:rPr>
          <w:rFonts w:asciiTheme="minorHAnsi" w:hAnsiTheme="minorHAnsi" w:cstheme="minorHAnsi"/>
          <w:bCs/>
          <w:color w:val="000000" w:themeColor="text1"/>
        </w:rPr>
        <w:t xml:space="preserve"> Klesl také předstihový ukazatel</w:t>
      </w:r>
      <w:r w:rsidR="000D0B6F" w:rsidRPr="009808FE">
        <w:rPr>
          <w:rFonts w:asciiTheme="minorHAnsi" w:hAnsiTheme="minorHAnsi" w:cstheme="minorHAnsi"/>
        </w:rPr>
        <w:t xml:space="preserve"> Broker Consulting Indexu hypotečních úvěrů, který na měsíc duben předpovídá hodnotu 5,52 procenta.</w:t>
      </w:r>
      <w:r w:rsidR="00962A34">
        <w:rPr>
          <w:rFonts w:asciiTheme="minorHAnsi" w:hAnsiTheme="minorHAnsi" w:cstheme="minorHAnsi"/>
        </w:rPr>
        <w:t xml:space="preserve"> Opakovaný pokles spolu s kroky bankovní rady napomáhají růstu poptávky po tomto typu úvěru.</w:t>
      </w:r>
    </w:p>
    <w:p w14:paraId="37E763E8" w14:textId="3C45FB46" w:rsidR="00756671" w:rsidRPr="009808FE" w:rsidRDefault="000D0B6F" w:rsidP="009E724D">
      <w:pPr>
        <w:spacing w:before="120" w:after="240"/>
        <w:ind w:right="40"/>
        <w:jc w:val="center"/>
        <w:rPr>
          <w:rFonts w:asciiTheme="minorHAnsi" w:hAnsiTheme="minorHAnsi" w:cstheme="minorHAnsi"/>
          <w:bCs/>
        </w:rPr>
      </w:pPr>
      <w:r w:rsidRPr="009808FE">
        <w:rPr>
          <w:rFonts w:asciiTheme="minorHAnsi" w:hAnsiTheme="minorHAnsi" w:cstheme="minorHAnsi"/>
          <w:bCs/>
          <w:noProof/>
          <w:lang w:bidi="ar-SA"/>
        </w:rPr>
        <w:drawing>
          <wp:inline distT="0" distB="0" distL="0" distR="0" wp14:anchorId="6ED671AD" wp14:editId="43C1A204">
            <wp:extent cx="6000750" cy="270848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uben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633" cy="271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07D5E" w14:textId="77777777" w:rsidR="00756671" w:rsidRPr="009808FE" w:rsidRDefault="00756671" w:rsidP="00756671">
      <w:pPr>
        <w:spacing w:after="120"/>
        <w:jc w:val="both"/>
        <w:rPr>
          <w:rFonts w:asciiTheme="minorHAnsi" w:hAnsiTheme="minorHAnsi" w:cstheme="minorHAnsi"/>
          <w:b/>
        </w:rPr>
      </w:pPr>
      <w:r w:rsidRPr="009808FE">
        <w:rPr>
          <w:rFonts w:asciiTheme="minorHAnsi" w:hAnsiTheme="minorHAnsi" w:cstheme="minorHAnsi"/>
          <w:b/>
        </w:rPr>
        <w:t>Stanovení výše hypotéky</w:t>
      </w:r>
    </w:p>
    <w:p w14:paraId="037D5E93" w14:textId="7449296B" w:rsidR="000D0B6F" w:rsidRPr="009E724D" w:rsidRDefault="00F26D3E" w:rsidP="009E724D">
      <w:pPr>
        <w:spacing w:before="120" w:after="120"/>
        <w:ind w:right="40"/>
        <w:jc w:val="both"/>
        <w:rPr>
          <w:rFonts w:asciiTheme="minorHAnsi" w:hAnsiTheme="minorHAnsi" w:cstheme="minorHAnsi"/>
          <w:bCs/>
        </w:rPr>
      </w:pPr>
      <w:r w:rsidRPr="009808FE">
        <w:rPr>
          <w:rFonts w:asciiTheme="minorHAnsi" w:eastAsia="Times New Roman" w:hAnsiTheme="minorHAnsi" w:cstheme="minorHAnsi"/>
          <w:i/>
        </w:rPr>
        <w:t>„</w:t>
      </w:r>
      <w:r w:rsidR="00932ACD" w:rsidRPr="009808FE">
        <w:rPr>
          <w:rFonts w:asciiTheme="minorHAnsi" w:eastAsia="Times New Roman" w:hAnsiTheme="minorHAnsi" w:cstheme="minorHAnsi"/>
          <w:i/>
        </w:rPr>
        <w:t>Ještě před koupi vysněného bydlení musí</w:t>
      </w:r>
      <w:r w:rsidR="00A95DA9" w:rsidRPr="009808FE">
        <w:rPr>
          <w:rFonts w:asciiTheme="minorHAnsi" w:eastAsia="Times New Roman" w:hAnsiTheme="minorHAnsi" w:cstheme="minorHAnsi"/>
          <w:i/>
        </w:rPr>
        <w:t xml:space="preserve"> žadatel o hypoteční úvěr</w:t>
      </w:r>
      <w:r w:rsidR="00932ACD" w:rsidRPr="009808FE">
        <w:rPr>
          <w:rFonts w:asciiTheme="minorHAnsi" w:eastAsia="Times New Roman" w:hAnsiTheme="minorHAnsi" w:cstheme="minorHAnsi"/>
          <w:i/>
        </w:rPr>
        <w:t xml:space="preserve"> myslet na to, že</w:t>
      </w:r>
      <w:r w:rsidRPr="009808FE">
        <w:rPr>
          <w:rFonts w:asciiTheme="minorHAnsi" w:eastAsia="Times New Roman" w:hAnsiTheme="minorHAnsi" w:cstheme="minorHAnsi"/>
          <w:i/>
        </w:rPr>
        <w:t xml:space="preserve"> </w:t>
      </w:r>
      <w:r w:rsidR="00932ACD" w:rsidRPr="009808FE">
        <w:rPr>
          <w:rFonts w:asciiTheme="minorHAnsi" w:eastAsia="Times New Roman" w:hAnsiTheme="minorHAnsi" w:cstheme="minorHAnsi"/>
          <w:i/>
        </w:rPr>
        <w:t>mu banka z důvodu rizikovosti n</w:t>
      </w:r>
      <w:r w:rsidR="00A95DA9" w:rsidRPr="009808FE">
        <w:rPr>
          <w:rFonts w:asciiTheme="minorHAnsi" w:eastAsia="Times New Roman" w:hAnsiTheme="minorHAnsi" w:cstheme="minorHAnsi"/>
          <w:i/>
        </w:rPr>
        <w:t>eposkytne tzv. stoprocentní hypotéku</w:t>
      </w:r>
      <w:r w:rsidR="000D0B6F" w:rsidRPr="009808FE">
        <w:rPr>
          <w:rFonts w:asciiTheme="minorHAnsi" w:eastAsia="Times New Roman" w:hAnsiTheme="minorHAnsi" w:cstheme="minorHAnsi"/>
          <w:i/>
        </w:rPr>
        <w:t>.</w:t>
      </w:r>
      <w:r w:rsidR="00A95DA9" w:rsidRPr="009808FE">
        <w:rPr>
          <w:rFonts w:asciiTheme="minorHAnsi" w:eastAsia="Times New Roman" w:hAnsiTheme="minorHAnsi" w:cstheme="minorHAnsi"/>
          <w:i/>
        </w:rPr>
        <w:t xml:space="preserve"> Jestliže je klient starší třiceti šesti let,</w:t>
      </w:r>
      <w:r w:rsidR="00932ACD" w:rsidRPr="009808FE">
        <w:rPr>
          <w:rFonts w:asciiTheme="minorHAnsi" w:eastAsia="Times New Roman" w:hAnsiTheme="minorHAnsi" w:cstheme="minorHAnsi"/>
          <w:i/>
        </w:rPr>
        <w:t xml:space="preserve"> musí mít  </w:t>
      </w:r>
      <w:r w:rsidR="00A95DA9" w:rsidRPr="009808FE">
        <w:rPr>
          <w:rFonts w:asciiTheme="minorHAnsi" w:eastAsia="Times New Roman" w:hAnsiTheme="minorHAnsi" w:cstheme="minorHAnsi"/>
          <w:i/>
        </w:rPr>
        <w:t>našetřeno minimálně dvacet</w:t>
      </w:r>
      <w:r w:rsidR="00932ACD" w:rsidRPr="009808FE">
        <w:rPr>
          <w:rFonts w:asciiTheme="minorHAnsi" w:eastAsia="Times New Roman" w:hAnsiTheme="minorHAnsi" w:cstheme="minorHAnsi"/>
          <w:i/>
        </w:rPr>
        <w:t xml:space="preserve"> procent</w:t>
      </w:r>
      <w:r w:rsidR="000D0B6F" w:rsidRPr="009808FE">
        <w:rPr>
          <w:rFonts w:asciiTheme="minorHAnsi" w:eastAsia="Times New Roman" w:hAnsiTheme="minorHAnsi" w:cstheme="minorHAnsi"/>
          <w:i/>
        </w:rPr>
        <w:t xml:space="preserve"> vlastních zdr</w:t>
      </w:r>
      <w:r w:rsidR="00A95DA9" w:rsidRPr="009808FE">
        <w:rPr>
          <w:rFonts w:asciiTheme="minorHAnsi" w:eastAsia="Times New Roman" w:hAnsiTheme="minorHAnsi" w:cstheme="minorHAnsi"/>
          <w:i/>
        </w:rPr>
        <w:t>ojů. Mladším klientům</w:t>
      </w:r>
      <w:r w:rsidR="00932ACD" w:rsidRPr="009808FE">
        <w:rPr>
          <w:rFonts w:asciiTheme="minorHAnsi" w:eastAsia="Times New Roman" w:hAnsiTheme="minorHAnsi" w:cstheme="minorHAnsi"/>
          <w:i/>
        </w:rPr>
        <w:t xml:space="preserve"> jsou banky ochotny půjčit až</w:t>
      </w:r>
      <w:r w:rsidR="00A95DA9" w:rsidRPr="009808FE">
        <w:rPr>
          <w:rFonts w:asciiTheme="minorHAnsi" w:eastAsia="Times New Roman" w:hAnsiTheme="minorHAnsi" w:cstheme="minorHAnsi"/>
          <w:i/>
        </w:rPr>
        <w:t xml:space="preserve"> devadesát</w:t>
      </w:r>
      <w:r w:rsidR="00932ACD" w:rsidRPr="009808FE">
        <w:rPr>
          <w:rFonts w:asciiTheme="minorHAnsi" w:eastAsia="Times New Roman" w:hAnsiTheme="minorHAnsi" w:cstheme="minorHAnsi"/>
          <w:i/>
        </w:rPr>
        <w:t xml:space="preserve"> procent z ceny zastavované</w:t>
      </w:r>
      <w:r w:rsidR="00A95DA9" w:rsidRPr="009808FE">
        <w:rPr>
          <w:rFonts w:asciiTheme="minorHAnsi" w:eastAsia="Times New Roman" w:hAnsiTheme="minorHAnsi" w:cstheme="minorHAnsi"/>
          <w:i/>
        </w:rPr>
        <w:t xml:space="preserve"> nemovitosti, z</w:t>
      </w:r>
      <w:r w:rsidR="000D0B6F" w:rsidRPr="009808FE">
        <w:rPr>
          <w:rFonts w:asciiTheme="minorHAnsi" w:eastAsia="Times New Roman" w:hAnsiTheme="minorHAnsi" w:cstheme="minorHAnsi"/>
          <w:i/>
        </w:rPr>
        <w:t>áleží ovšem vždy na individuá</w:t>
      </w:r>
      <w:r w:rsidR="00932ACD" w:rsidRPr="009808FE">
        <w:rPr>
          <w:rFonts w:asciiTheme="minorHAnsi" w:eastAsia="Times New Roman" w:hAnsiTheme="minorHAnsi" w:cstheme="minorHAnsi"/>
          <w:i/>
        </w:rPr>
        <w:t>lním posouzení bankou</w:t>
      </w:r>
      <w:r w:rsidRPr="009808FE">
        <w:rPr>
          <w:rFonts w:asciiTheme="minorHAnsi" w:eastAsia="Times New Roman" w:hAnsiTheme="minorHAnsi" w:cstheme="minorHAnsi"/>
        </w:rPr>
        <w:t>,</w:t>
      </w:r>
      <w:r w:rsidR="00932ACD" w:rsidRPr="009808FE">
        <w:rPr>
          <w:rFonts w:asciiTheme="minorHAnsi" w:eastAsia="Times New Roman" w:hAnsiTheme="minorHAnsi" w:cstheme="minorHAnsi"/>
        </w:rPr>
        <w:t>“</w:t>
      </w:r>
      <w:r w:rsidRPr="009808FE">
        <w:rPr>
          <w:rFonts w:asciiTheme="minorHAnsi" w:eastAsia="Times New Roman" w:hAnsiTheme="minorHAnsi" w:cstheme="minorHAnsi"/>
        </w:rPr>
        <w:t xml:space="preserve"> komentuje</w:t>
      </w:r>
      <w:r w:rsidRPr="009808FE">
        <w:rPr>
          <w:rFonts w:asciiTheme="minorHAnsi" w:hAnsiTheme="minorHAnsi" w:cstheme="minorHAnsi"/>
          <w:b/>
        </w:rPr>
        <w:t xml:space="preserve"> Michaela Pudilová, analytička hypotečních a spotřebitelských úvěrů ze společnosti Broker Consulting.</w:t>
      </w:r>
      <w:r w:rsidRPr="009808FE">
        <w:rPr>
          <w:rFonts w:asciiTheme="minorHAnsi" w:hAnsiTheme="minorHAnsi" w:cstheme="minorHAnsi"/>
          <w:bCs/>
        </w:rPr>
        <w:t xml:space="preserve"> </w:t>
      </w:r>
    </w:p>
    <w:p w14:paraId="29FACE2A" w14:textId="379BC8AE" w:rsidR="007540ED" w:rsidRPr="007540ED" w:rsidRDefault="00267705" w:rsidP="00B85CBF">
      <w:pPr>
        <w:spacing w:after="120"/>
        <w:jc w:val="both"/>
        <w:rPr>
          <w:rFonts w:asciiTheme="minorHAnsi" w:hAnsiTheme="minorHAnsi" w:cstheme="minorHAnsi"/>
        </w:rPr>
      </w:pPr>
      <w:r w:rsidRPr="009808FE">
        <w:rPr>
          <w:rFonts w:asciiTheme="minorHAnsi" w:hAnsiTheme="minorHAnsi" w:cstheme="minorHAnsi"/>
        </w:rPr>
        <w:t>Výše hypotečního úvěru</w:t>
      </w:r>
      <w:r w:rsidR="008F0A7A" w:rsidRPr="009808FE">
        <w:rPr>
          <w:rFonts w:asciiTheme="minorHAnsi" w:hAnsiTheme="minorHAnsi" w:cstheme="minorHAnsi"/>
        </w:rPr>
        <w:t>,</w:t>
      </w:r>
      <w:r w:rsidR="007540ED">
        <w:rPr>
          <w:rFonts w:asciiTheme="minorHAnsi" w:hAnsiTheme="minorHAnsi" w:cstheme="minorHAnsi"/>
        </w:rPr>
        <w:t xml:space="preserve"> který</w:t>
      </w:r>
      <w:r w:rsidRPr="009808FE">
        <w:rPr>
          <w:rFonts w:asciiTheme="minorHAnsi" w:hAnsiTheme="minorHAnsi" w:cstheme="minorHAnsi"/>
        </w:rPr>
        <w:t xml:space="preserve"> může banka</w:t>
      </w:r>
      <w:r w:rsidR="00B277DA" w:rsidRPr="009808FE">
        <w:rPr>
          <w:rFonts w:asciiTheme="minorHAnsi" w:hAnsiTheme="minorHAnsi" w:cstheme="minorHAnsi"/>
        </w:rPr>
        <w:t xml:space="preserve"> klientovi</w:t>
      </w:r>
      <w:r w:rsidRPr="009808FE">
        <w:rPr>
          <w:rFonts w:asciiTheme="minorHAnsi" w:hAnsiTheme="minorHAnsi" w:cstheme="minorHAnsi"/>
        </w:rPr>
        <w:t xml:space="preserve"> poskytnout</w:t>
      </w:r>
      <w:r w:rsidR="008F0A7A" w:rsidRPr="009808FE">
        <w:rPr>
          <w:rFonts w:asciiTheme="minorHAnsi" w:hAnsiTheme="minorHAnsi" w:cstheme="minorHAnsi"/>
        </w:rPr>
        <w:t>,</w:t>
      </w:r>
      <w:r w:rsidRPr="009808FE">
        <w:rPr>
          <w:rFonts w:asciiTheme="minorHAnsi" w:hAnsiTheme="minorHAnsi" w:cstheme="minorHAnsi"/>
        </w:rPr>
        <w:t xml:space="preserve"> jde </w:t>
      </w:r>
      <w:r w:rsidR="00756671">
        <w:rPr>
          <w:rFonts w:asciiTheme="minorHAnsi" w:hAnsiTheme="minorHAnsi" w:cstheme="minorHAnsi"/>
        </w:rPr>
        <w:t xml:space="preserve">u většiny nabídek, </w:t>
      </w:r>
      <w:r w:rsidR="00CB08B5" w:rsidRPr="009808FE">
        <w:rPr>
          <w:rFonts w:asciiTheme="minorHAnsi" w:hAnsiTheme="minorHAnsi" w:cstheme="minorHAnsi"/>
        </w:rPr>
        <w:t>mimo jiné</w:t>
      </w:r>
      <w:r w:rsidR="00756671">
        <w:rPr>
          <w:rFonts w:asciiTheme="minorHAnsi" w:hAnsiTheme="minorHAnsi" w:cstheme="minorHAnsi"/>
        </w:rPr>
        <w:t>,</w:t>
      </w:r>
      <w:r w:rsidR="00CB08B5" w:rsidRPr="009808FE">
        <w:rPr>
          <w:rFonts w:asciiTheme="minorHAnsi" w:hAnsiTheme="minorHAnsi" w:cstheme="minorHAnsi"/>
        </w:rPr>
        <w:t xml:space="preserve"> </w:t>
      </w:r>
      <w:r w:rsidRPr="009808FE">
        <w:rPr>
          <w:rFonts w:asciiTheme="minorHAnsi" w:hAnsiTheme="minorHAnsi" w:cstheme="minorHAnsi"/>
        </w:rPr>
        <w:t>ruku v ruce s cenou</w:t>
      </w:r>
      <w:r w:rsidR="008F0A7A" w:rsidRPr="009808FE">
        <w:rPr>
          <w:rFonts w:asciiTheme="minorHAnsi" w:hAnsiTheme="minorHAnsi" w:cstheme="minorHAnsi"/>
        </w:rPr>
        <w:t xml:space="preserve"> nemovitosti.</w:t>
      </w:r>
      <w:r w:rsidR="00B277DA" w:rsidRPr="009808FE">
        <w:rPr>
          <w:rFonts w:asciiTheme="minorHAnsi" w:hAnsiTheme="minorHAnsi" w:cstheme="minorHAnsi"/>
        </w:rPr>
        <w:t xml:space="preserve"> </w:t>
      </w:r>
      <w:r w:rsidR="00CB08B5" w:rsidRPr="009808FE">
        <w:rPr>
          <w:rFonts w:asciiTheme="minorHAnsi" w:hAnsiTheme="minorHAnsi" w:cstheme="minorHAnsi"/>
        </w:rPr>
        <w:t xml:space="preserve">Ovlivnit </w:t>
      </w:r>
      <w:r w:rsidRPr="009808FE">
        <w:rPr>
          <w:rFonts w:asciiTheme="minorHAnsi" w:hAnsiTheme="minorHAnsi" w:cstheme="minorHAnsi"/>
        </w:rPr>
        <w:t>ji může ale i skutečnost, zda si žadatel sjednává hypotéku sám nebo v páru, podstatnou roli hraje také klientova boni</w:t>
      </w:r>
      <w:r w:rsidR="0085766D">
        <w:rPr>
          <w:rFonts w:asciiTheme="minorHAnsi" w:hAnsiTheme="minorHAnsi" w:cstheme="minorHAnsi"/>
        </w:rPr>
        <w:t>ta. Dle doporučení ČNB již banky standardně</w:t>
      </w:r>
      <w:r w:rsidR="00CB08B5" w:rsidRPr="009808FE">
        <w:rPr>
          <w:rFonts w:asciiTheme="minorHAnsi" w:hAnsiTheme="minorHAnsi" w:cstheme="minorHAnsi"/>
        </w:rPr>
        <w:t xml:space="preserve"> </w:t>
      </w:r>
      <w:r w:rsidR="0085766D">
        <w:rPr>
          <w:rFonts w:asciiTheme="minorHAnsi" w:hAnsiTheme="minorHAnsi" w:cstheme="minorHAnsi"/>
        </w:rPr>
        <w:t>neposkytují klientům</w:t>
      </w:r>
      <w:r w:rsidR="00CB08B5" w:rsidRPr="009808FE">
        <w:rPr>
          <w:rFonts w:asciiTheme="minorHAnsi" w:hAnsiTheme="minorHAnsi" w:cstheme="minorHAnsi"/>
        </w:rPr>
        <w:t xml:space="preserve"> plnou hodnotu zastavené nemovitosti. Poměr mezi výši hypotéky a hodnotou nemovitosti vyjadřuje tz</w:t>
      </w:r>
      <w:r w:rsidR="009808FE" w:rsidRPr="009808FE">
        <w:rPr>
          <w:rFonts w:asciiTheme="minorHAnsi" w:hAnsiTheme="minorHAnsi" w:cstheme="minorHAnsi"/>
        </w:rPr>
        <w:t>v. LTV, ta se u bank pohybuje od 70% do 90%. Jestliže klient potřebuje půjčit vyšší částku, je zapotřebí zastavit také další nemovitost.</w:t>
      </w:r>
    </w:p>
    <w:p w14:paraId="06153168" w14:textId="1A12931D" w:rsidR="00236A37" w:rsidRPr="00AB7BAF" w:rsidRDefault="00C42CA5" w:rsidP="00B85CBF">
      <w:pPr>
        <w:pBdr>
          <w:top w:val="single" w:sz="4" w:space="1" w:color="auto"/>
        </w:pBdr>
        <w:spacing w:before="240" w:after="120"/>
        <w:rPr>
          <w:rFonts w:asciiTheme="minorHAnsi" w:hAnsiTheme="minorHAnsi" w:cstheme="minorHAnsi"/>
          <w:sz w:val="21"/>
          <w:szCs w:val="21"/>
        </w:rPr>
      </w:pPr>
      <w:r w:rsidRPr="0029038B">
        <w:rPr>
          <w:rFonts w:asciiTheme="minorHAnsi" w:hAnsiTheme="minorHAnsi" w:cstheme="minorHAnsi"/>
          <w:sz w:val="21"/>
          <w:szCs w:val="21"/>
        </w:rPr>
        <w:t xml:space="preserve">Broker </w:t>
      </w:r>
      <w:r w:rsidR="00C36E55" w:rsidRPr="0029038B">
        <w:rPr>
          <w:rFonts w:asciiTheme="minorHAnsi" w:hAnsiTheme="minorHAnsi" w:cstheme="minorHAnsi"/>
          <w:sz w:val="21"/>
          <w:szCs w:val="21"/>
        </w:rPr>
        <w:t>Con</w:t>
      </w:r>
      <w:r w:rsidRPr="0029038B">
        <w:rPr>
          <w:rFonts w:asciiTheme="minorHAnsi" w:hAnsiTheme="minorHAnsi" w:cstheme="minorHAnsi"/>
          <w:sz w:val="21"/>
          <w:szCs w:val="21"/>
        </w:rPr>
        <w:t>sulting Index hypotečních úvěrů je analytický nástroj</w:t>
      </w:r>
      <w:r w:rsidR="00113603" w:rsidRPr="0029038B">
        <w:rPr>
          <w:rFonts w:asciiTheme="minorHAnsi" w:hAnsiTheme="minorHAnsi" w:cstheme="minorHAnsi"/>
          <w:sz w:val="21"/>
          <w:szCs w:val="21"/>
        </w:rPr>
        <w:t xml:space="preserve"> znázorňující</w:t>
      </w:r>
      <w:r w:rsidRPr="0029038B">
        <w:rPr>
          <w:rFonts w:asciiTheme="minorHAnsi" w:hAnsiTheme="minorHAnsi" w:cstheme="minorHAnsi"/>
          <w:sz w:val="21"/>
          <w:szCs w:val="21"/>
        </w:rPr>
        <w:t xml:space="preserve"> průměrnou úrokovou </w:t>
      </w:r>
      <w:r w:rsidRPr="00AB7BAF">
        <w:rPr>
          <w:rFonts w:asciiTheme="minorHAnsi" w:hAnsiTheme="minorHAnsi" w:cstheme="minorHAnsi"/>
          <w:sz w:val="21"/>
          <w:szCs w:val="21"/>
        </w:rPr>
        <w:t xml:space="preserve">sazbu u hypotečních </w:t>
      </w:r>
      <w:r w:rsidRPr="00AB7BAF">
        <w:rPr>
          <w:rFonts w:asciiTheme="minorHAnsi" w:hAnsiTheme="minorHAnsi" w:cstheme="minorHAnsi"/>
          <w:sz w:val="21"/>
          <w:szCs w:val="21"/>
        </w:rPr>
        <w:lastRenderedPageBreak/>
        <w:t xml:space="preserve">úvěrů, </w:t>
      </w:r>
      <w:r w:rsidR="00113603" w:rsidRPr="00AB7BAF">
        <w:rPr>
          <w:rFonts w:asciiTheme="minorHAnsi" w:hAnsiTheme="minorHAnsi" w:cstheme="minorHAnsi"/>
          <w:sz w:val="21"/>
          <w:szCs w:val="21"/>
        </w:rPr>
        <w:t>které</w:t>
      </w:r>
      <w:r w:rsidRPr="00AB7BAF">
        <w:rPr>
          <w:rFonts w:asciiTheme="minorHAnsi" w:hAnsiTheme="minorHAnsi" w:cstheme="minorHAnsi"/>
          <w:sz w:val="21"/>
          <w:szCs w:val="21"/>
        </w:rPr>
        <w:t xml:space="preserve"> zprostředkovali konzultanti Broker Consulting a pobočky </w:t>
      </w:r>
      <w:r w:rsidR="00DB1954">
        <w:rPr>
          <w:rFonts w:asciiTheme="minorHAnsi" w:hAnsiTheme="minorHAnsi" w:cstheme="minorHAnsi"/>
          <w:sz w:val="21"/>
          <w:szCs w:val="21"/>
        </w:rPr>
        <w:t>Broker Point Premium</w:t>
      </w:r>
      <w:bookmarkStart w:id="0" w:name="_GoBack"/>
      <w:bookmarkEnd w:id="0"/>
      <w:r w:rsidRPr="00AB7BAF">
        <w:rPr>
          <w:rFonts w:asciiTheme="minorHAnsi" w:hAnsiTheme="minorHAnsi" w:cstheme="minorHAnsi"/>
          <w:sz w:val="21"/>
          <w:szCs w:val="21"/>
        </w:rPr>
        <w:t xml:space="preserve"> u kteréhokoli poskytovatele hypotečních úvěrů. Jedná se o vážený aritmetický průměr, kdy hlavní vahou je objem úvěru. Tedy čím vyšší úvěr, tím jeho sazba </w:t>
      </w:r>
      <w:r w:rsidR="00113603" w:rsidRPr="00AB7BAF">
        <w:rPr>
          <w:rFonts w:asciiTheme="minorHAnsi" w:hAnsiTheme="minorHAnsi" w:cstheme="minorHAnsi"/>
          <w:sz w:val="21"/>
          <w:szCs w:val="21"/>
        </w:rPr>
        <w:t xml:space="preserve">vstupuje </w:t>
      </w:r>
      <w:r w:rsidRPr="00AB7BAF">
        <w:rPr>
          <w:rFonts w:asciiTheme="minorHAnsi" w:hAnsiTheme="minorHAnsi" w:cstheme="minorHAnsi"/>
          <w:sz w:val="21"/>
          <w:szCs w:val="21"/>
        </w:rPr>
        <w:t xml:space="preserve">do indexu větší vahou. </w:t>
      </w:r>
      <w:r w:rsidRPr="00AB7BAF">
        <w:rPr>
          <w:rFonts w:asciiTheme="minorHAnsi" w:hAnsiTheme="minorHAnsi" w:cstheme="minorHAnsi"/>
          <w:b/>
          <w:sz w:val="21"/>
          <w:szCs w:val="21"/>
        </w:rPr>
        <w:t xml:space="preserve">Výhodou metody výpočtu </w:t>
      </w:r>
      <w:r w:rsidR="00C7532A" w:rsidRPr="00AB7BAF">
        <w:rPr>
          <w:rFonts w:asciiTheme="minorHAnsi" w:hAnsiTheme="minorHAnsi" w:cstheme="minorHAnsi"/>
          <w:b/>
          <w:sz w:val="21"/>
          <w:szCs w:val="21"/>
        </w:rPr>
        <w:t xml:space="preserve">indexu </w:t>
      </w:r>
      <w:r w:rsidRPr="00AB7BAF">
        <w:rPr>
          <w:rFonts w:asciiTheme="minorHAnsi" w:hAnsiTheme="minorHAnsi" w:cstheme="minorHAnsi"/>
          <w:b/>
          <w:sz w:val="21"/>
          <w:szCs w:val="21"/>
        </w:rPr>
        <w:t>je skutečnost, že se do statistiky dostávají pouze skutečně schválené úvěry, a to bez výjimky všechny.</w:t>
      </w:r>
      <w:r w:rsidRPr="00AB7BAF">
        <w:rPr>
          <w:rFonts w:asciiTheme="minorHAnsi" w:hAnsiTheme="minorHAnsi" w:cstheme="minorHAnsi"/>
          <w:sz w:val="21"/>
          <w:szCs w:val="21"/>
        </w:rPr>
        <w:t xml:space="preserve"> Nemůže tak dojít ke zkreslení informací a index není závislý na dodávkách třetích stran. </w:t>
      </w:r>
    </w:p>
    <w:p w14:paraId="70EFA666" w14:textId="4A6CAE48" w:rsidR="002E6DB6" w:rsidRPr="00AB7BAF" w:rsidRDefault="00C42CA5" w:rsidP="007B1851">
      <w:pPr>
        <w:spacing w:after="120"/>
        <w:rPr>
          <w:rFonts w:asciiTheme="minorHAnsi" w:hAnsiTheme="minorHAnsi" w:cstheme="minorHAnsi"/>
          <w:sz w:val="21"/>
          <w:szCs w:val="21"/>
        </w:rPr>
      </w:pPr>
      <w:r w:rsidRPr="00AB7BAF">
        <w:rPr>
          <w:rFonts w:asciiTheme="minorHAnsi" w:hAnsiTheme="minorHAnsi" w:cstheme="minorHAnsi"/>
          <w:sz w:val="21"/>
          <w:szCs w:val="21"/>
        </w:rPr>
        <w:t>V principu se Broker Consulting Index hypotečních úvěrů počítá ze sazeb, které jsou v danou chvíli pro daného klienta nejnižší na trhu</w:t>
      </w:r>
      <w:r w:rsidR="00FA2D1E" w:rsidRPr="00AB7BAF">
        <w:rPr>
          <w:rFonts w:asciiTheme="minorHAnsi" w:hAnsiTheme="minorHAnsi" w:cstheme="minorHAnsi"/>
          <w:sz w:val="21"/>
          <w:szCs w:val="21"/>
        </w:rPr>
        <w:t>,</w:t>
      </w:r>
      <w:r w:rsidRPr="00AB7BAF">
        <w:rPr>
          <w:rFonts w:asciiTheme="minorHAnsi" w:hAnsiTheme="minorHAnsi" w:cstheme="minorHAnsi"/>
          <w:sz w:val="21"/>
          <w:szCs w:val="21"/>
        </w:rPr>
        <w:t xml:space="preserve"> </w:t>
      </w:r>
      <w:r w:rsidR="00FA2D1E" w:rsidRPr="00AB7BAF">
        <w:rPr>
          <w:rFonts w:asciiTheme="minorHAnsi" w:hAnsiTheme="minorHAnsi" w:cstheme="minorHAnsi"/>
          <w:sz w:val="21"/>
          <w:szCs w:val="21"/>
        </w:rPr>
        <w:t>a</w:t>
      </w:r>
      <w:r w:rsidRPr="00AB7BAF">
        <w:rPr>
          <w:rFonts w:asciiTheme="minorHAnsi" w:hAnsiTheme="minorHAnsi" w:cstheme="minorHAnsi"/>
          <w:sz w:val="21"/>
          <w:szCs w:val="21"/>
        </w:rPr>
        <w:t xml:space="preserve">nebo se nejnižší hranici přibližují, neboť klient si vybírá z mnoha možností, které mu trh v danou chvíli nabízí. A většinou si vybírá právě nejnižší sazbu úvěru, který i v jiných parametrech splňuje jejich podmínky. Broker Consulting ročně zprostředkuje úvěry v objemu přesahujícím 13 miliard korun. </w:t>
      </w:r>
    </w:p>
    <w:p w14:paraId="0584C559" w14:textId="7CB832AA" w:rsidR="00C21F84" w:rsidRPr="00C21F84" w:rsidRDefault="002E6DB6" w:rsidP="00C21F84">
      <w:pPr>
        <w:pBdr>
          <w:bottom w:val="single" w:sz="4" w:space="1" w:color="auto"/>
        </w:pBdr>
        <w:spacing w:after="120"/>
        <w:rPr>
          <w:rFonts w:asciiTheme="minorHAnsi" w:hAnsiTheme="minorHAnsi" w:cstheme="minorHAnsi"/>
          <w:sz w:val="21"/>
          <w:szCs w:val="21"/>
        </w:rPr>
      </w:pPr>
      <w:r w:rsidRPr="00AB7BAF">
        <w:rPr>
          <w:rFonts w:asciiTheme="minorHAnsi" w:hAnsiTheme="minorHAnsi" w:cstheme="minorHAnsi"/>
          <w:color w:val="000000"/>
          <w:sz w:val="21"/>
          <w:szCs w:val="21"/>
        </w:rPr>
        <w:t>Předstihový ukazatel Broker Consulting Indexu hypotečních úvěrů a jeho výpočet rea</w:t>
      </w:r>
      <w:r w:rsidR="008C75D3" w:rsidRPr="00AB7BAF">
        <w:rPr>
          <w:rFonts w:asciiTheme="minorHAnsi" w:hAnsiTheme="minorHAnsi" w:cstheme="minorHAnsi"/>
          <w:color w:val="000000"/>
          <w:sz w:val="21"/>
          <w:szCs w:val="21"/>
        </w:rPr>
        <w:t>guje na potřebu aktuálního výhledu výše sazeb, ve kterém se budou v daném měsíci poskytovat hypoteční úvěry zprostředkovávané od většiny bankovních institucí v tuzemsku. Ve výpočtu jde o aritmetick</w:t>
      </w:r>
      <w:r w:rsidR="00057F54" w:rsidRPr="00AB7BAF">
        <w:rPr>
          <w:rFonts w:asciiTheme="minorHAnsi" w:hAnsiTheme="minorHAnsi" w:cstheme="minorHAnsi"/>
          <w:color w:val="000000"/>
          <w:sz w:val="21"/>
          <w:szCs w:val="21"/>
        </w:rPr>
        <w:t>ý průměr nabízených úrokových sazeb</w:t>
      </w:r>
      <w:r w:rsidR="00807AD4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v konkrétním </w:t>
      </w:r>
      <w:r w:rsidR="008C75D3" w:rsidRPr="00AB7BAF">
        <w:rPr>
          <w:rFonts w:asciiTheme="minorHAnsi" w:hAnsiTheme="minorHAnsi" w:cstheme="minorHAnsi"/>
          <w:color w:val="000000"/>
          <w:sz w:val="21"/>
          <w:szCs w:val="21"/>
        </w:rPr>
        <w:t>měsíci, ve kterém se zveřejňují hodnoty Broker Consulting Indexu hypotečních úvěrů.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Vzhledem ke statisti</w:t>
      </w:r>
      <w:r w:rsidR="004919CC" w:rsidRPr="00AB7BAF">
        <w:rPr>
          <w:rFonts w:asciiTheme="minorHAnsi" w:hAnsiTheme="minorHAnsi" w:cstheme="minorHAnsi"/>
          <w:color w:val="000000"/>
          <w:sz w:val="21"/>
          <w:szCs w:val="21"/>
        </w:rPr>
        <w:t>ce preferovaných fixací byla při výpoč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>t</w:t>
      </w:r>
      <w:r w:rsidR="004919CC" w:rsidRPr="00AB7BAF">
        <w:rPr>
          <w:rFonts w:asciiTheme="minorHAnsi" w:hAnsiTheme="minorHAnsi" w:cstheme="minorHAnsi"/>
          <w:color w:val="000000"/>
          <w:sz w:val="21"/>
          <w:szCs w:val="21"/>
        </w:rPr>
        <w:t>u zohledněna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pětiletá fixace úrokových sazeb.</w:t>
      </w:r>
    </w:p>
    <w:p w14:paraId="5FCF3C96" w14:textId="79E57602" w:rsidR="00B01F39" w:rsidRPr="00C21F84" w:rsidRDefault="00C947C0" w:rsidP="007B1851">
      <w:pPr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</w:pPr>
      <w:r w:rsidRPr="00C21F84">
        <w:rPr>
          <w:rFonts w:asciiTheme="minorHAnsi" w:hAnsiTheme="minorHAnsi" w:cstheme="minorHAnsi"/>
          <w:b/>
          <w:sz w:val="20"/>
          <w:szCs w:val="20"/>
        </w:rPr>
        <w:t>P</w:t>
      </w:r>
      <w:r w:rsidR="00B37F41" w:rsidRPr="00C21F84">
        <w:rPr>
          <w:rFonts w:asciiTheme="minorHAnsi" w:hAnsiTheme="minorHAnsi" w:cstheme="minorHAnsi"/>
          <w:b/>
          <w:sz w:val="20"/>
          <w:szCs w:val="20"/>
        </w:rPr>
        <w:t>oznámka pro média:</w:t>
      </w:r>
      <w:r w:rsidR="00B37F41" w:rsidRPr="00C21F84">
        <w:rPr>
          <w:rFonts w:asciiTheme="minorHAnsi" w:hAnsiTheme="minorHAnsi" w:cstheme="minorHAnsi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Broker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Consulting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Indexy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je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možné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volně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spacing w:val="2"/>
          <w:w w:val="105"/>
          <w:sz w:val="20"/>
          <w:szCs w:val="20"/>
        </w:rPr>
        <w:t>publikovat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pouze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s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označením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„Broker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Consulting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Index“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spacing w:val="-3"/>
          <w:w w:val="105"/>
          <w:sz w:val="20"/>
          <w:szCs w:val="20"/>
        </w:rPr>
        <w:t>(</w:t>
      </w:r>
      <w:r w:rsidR="00B37F41" w:rsidRPr="00C21F84">
        <w:rPr>
          <w:rFonts w:asciiTheme="minorHAnsi" w:hAnsiTheme="minorHAnsi" w:cstheme="minorHAnsi"/>
          <w:i/>
          <w:color w:val="1D1D1B"/>
          <w:spacing w:val="-3"/>
          <w:w w:val="105"/>
          <w:sz w:val="20"/>
          <w:szCs w:val="20"/>
        </w:rPr>
        <w:t>např.</w:t>
      </w:r>
      <w:r w:rsidR="00B37F41" w:rsidRPr="00C21F84">
        <w:rPr>
          <w:rFonts w:asciiTheme="minorHAnsi" w:hAnsiTheme="minorHAnsi" w:cstheme="minorHAnsi"/>
          <w:i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Broker</w:t>
      </w:r>
      <w:r w:rsidR="00B37F41" w:rsidRPr="00C21F84">
        <w:rPr>
          <w:rFonts w:asciiTheme="minorHAnsi" w:hAnsiTheme="minorHAnsi" w:cstheme="minorHAnsi"/>
          <w:i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Consulting</w:t>
      </w:r>
      <w:r w:rsidR="00B37F41" w:rsidRPr="00C21F84">
        <w:rPr>
          <w:rFonts w:asciiTheme="minorHAnsi" w:hAnsiTheme="minorHAnsi" w:cstheme="minorHAnsi"/>
          <w:i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index hypot</w:t>
      </w:r>
      <w:r w:rsidR="00830CE8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e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 xml:space="preserve">čních úvěrů). Více informací najdete též na webu </w:t>
      </w:r>
      <w:r w:rsidR="00B37F41" w:rsidRPr="00C21F84">
        <w:rPr>
          <w:rStyle w:val="Hypertextovodkaz"/>
          <w:rFonts w:asciiTheme="minorHAnsi" w:hAnsiTheme="minorHAnsi" w:cstheme="minorHAnsi"/>
          <w:i/>
          <w:w w:val="105"/>
          <w:sz w:val="20"/>
          <w:szCs w:val="20"/>
        </w:rPr>
        <w:t>https://www.bcas.cz/onas/pro-media/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 xml:space="preserve">. </w:t>
      </w:r>
    </w:p>
    <w:p w14:paraId="0BBC87EC" w14:textId="77777777" w:rsidR="001C22FE" w:rsidRPr="00C21F84" w:rsidRDefault="001C22FE" w:rsidP="001C22FE">
      <w:pPr>
        <w:rPr>
          <w:rFonts w:asciiTheme="minorHAnsi" w:hAnsiTheme="minorHAnsi" w:cstheme="minorHAnsi"/>
          <w:b/>
          <w:color w:val="FF0000"/>
          <w:w w:val="105"/>
          <w:sz w:val="20"/>
          <w:szCs w:val="20"/>
        </w:rPr>
      </w:pPr>
    </w:p>
    <w:p w14:paraId="72ED1D97" w14:textId="126A9B30" w:rsidR="001C22FE" w:rsidRPr="00C21F84" w:rsidRDefault="001C22FE" w:rsidP="007B1851">
      <w:pPr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</w:pPr>
      <w:r w:rsidRPr="00C21F84">
        <w:rPr>
          <w:rFonts w:asciiTheme="minorHAnsi" w:hAnsiTheme="minorHAnsi" w:cstheme="minorHAnsi"/>
          <w:b/>
          <w:color w:val="FF0000"/>
          <w:w w:val="105"/>
          <w:sz w:val="20"/>
          <w:szCs w:val="20"/>
        </w:rPr>
        <w:t>Broker Consulting Indexy je nyní možné sledovat v interaktivní formě na webu</w:t>
      </w:r>
      <w:r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. Zde lze zároveň exportovat zdrojová data ke grafům. Vice dostupné na odkaze</w:t>
      </w:r>
      <w:r w:rsidRPr="00C21F84"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  <w:t xml:space="preserve">: </w:t>
      </w:r>
      <w:hyperlink r:id="rId30" w:history="1">
        <w:r w:rsidRPr="00C21F84">
          <w:rPr>
            <w:rStyle w:val="Hypertextovodkaz"/>
            <w:rFonts w:asciiTheme="minorHAnsi" w:hAnsiTheme="minorHAnsi" w:cstheme="minorHAnsi"/>
            <w:b/>
            <w:w w:val="105"/>
            <w:sz w:val="20"/>
            <w:szCs w:val="20"/>
          </w:rPr>
          <w:t>https://www.bcas.cz/o-nas/broker-consulting-index-hypotecnich-uveru/</w:t>
        </w:r>
      </w:hyperlink>
      <w:r w:rsidRPr="00C21F84"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  <w:t xml:space="preserve">. </w:t>
      </w:r>
    </w:p>
    <w:p w14:paraId="7DE80F01" w14:textId="5F0A8380" w:rsidR="00CA1806" w:rsidRPr="00C21F84" w:rsidRDefault="00CA1806" w:rsidP="00B27178">
      <w:pPr>
        <w:jc w:val="both"/>
        <w:rPr>
          <w:rFonts w:asciiTheme="minorHAnsi" w:eastAsia="Calibri" w:hAnsiTheme="minorHAnsi" w:cstheme="minorHAnsi"/>
          <w:b/>
          <w:bCs/>
          <w:noProof/>
          <w:sz w:val="20"/>
          <w:szCs w:val="20"/>
        </w:rPr>
      </w:pPr>
    </w:p>
    <w:p w14:paraId="7C1907C0" w14:textId="1D2EC938" w:rsidR="00D60D98" w:rsidRPr="00C21F84" w:rsidRDefault="00D60D98" w:rsidP="0029038B">
      <w:pPr>
        <w:spacing w:after="120"/>
        <w:rPr>
          <w:rFonts w:asciiTheme="minorHAnsi" w:eastAsia="Calibri" w:hAnsiTheme="minorHAnsi" w:cstheme="minorHAnsi"/>
          <w:b/>
          <w:bCs/>
          <w:noProof/>
          <w:sz w:val="20"/>
          <w:szCs w:val="20"/>
        </w:rPr>
      </w:pPr>
      <w:r w:rsidRPr="00C21F84">
        <w:rPr>
          <w:rFonts w:asciiTheme="minorHAnsi" w:eastAsia="Calibri" w:hAnsiTheme="minorHAnsi" w:cstheme="minorHAnsi"/>
          <w:b/>
          <w:bCs/>
          <w:noProof/>
          <w:sz w:val="20"/>
          <w:szCs w:val="20"/>
        </w:rPr>
        <w:t>Kontakt pro média:</w:t>
      </w:r>
    </w:p>
    <w:p w14:paraId="459105C8" w14:textId="19390DF7" w:rsidR="00692610" w:rsidRPr="00C21F84" w:rsidRDefault="0029038B" w:rsidP="00C07D5F">
      <w:pPr>
        <w:rPr>
          <w:rFonts w:asciiTheme="minorHAnsi" w:eastAsia="Calibri" w:hAnsiTheme="minorHAnsi" w:cstheme="minorHAnsi"/>
          <w:bCs/>
          <w:noProof/>
          <w:sz w:val="20"/>
          <w:szCs w:val="20"/>
          <w:lang w:bidi="ar-SA"/>
        </w:rPr>
      </w:pPr>
      <w:r>
        <w:rPr>
          <w:rFonts w:asciiTheme="minorHAnsi" w:eastAsia="Calibri" w:hAnsiTheme="minorHAnsi" w:cstheme="minorHAnsi"/>
          <w:bCs/>
          <w:noProof/>
          <w:sz w:val="20"/>
          <w:szCs w:val="20"/>
        </w:rPr>
        <w:t>Lenka Kuželová</w:t>
      </w:r>
    </w:p>
    <w:p w14:paraId="1DBDA364" w14:textId="46DCE93E" w:rsidR="005F2383" w:rsidRPr="00C21F84" w:rsidRDefault="00692610" w:rsidP="00C07D5F">
      <w:pPr>
        <w:pStyle w:val="Bezmezer"/>
        <w:rPr>
          <w:rFonts w:eastAsia="Calibri" w:cstheme="minorHAnsi"/>
          <w:noProof/>
          <w:sz w:val="20"/>
          <w:szCs w:val="20"/>
        </w:rPr>
      </w:pPr>
      <w:r w:rsidRPr="00C21F84">
        <w:rPr>
          <w:rFonts w:eastAsia="Calibri" w:cstheme="minorHAnsi"/>
          <w:noProof/>
          <w:sz w:val="20"/>
          <w:szCs w:val="20"/>
        </w:rPr>
        <w:t xml:space="preserve">Specialistka PR </w:t>
      </w:r>
    </w:p>
    <w:p w14:paraId="2CCB0CE9" w14:textId="3221ACD0" w:rsidR="0029038B" w:rsidRDefault="0029038B" w:rsidP="0029038B">
      <w:pPr>
        <w:pStyle w:val="Bezmezer"/>
        <w:rPr>
          <w:rFonts w:eastAsia="F015TEELig" w:cstheme="minorHAnsi"/>
          <w:sz w:val="21"/>
          <w:szCs w:val="21"/>
        </w:rPr>
      </w:pPr>
      <w:r>
        <w:rPr>
          <w:rFonts w:eastAsia="F015TEELig" w:cstheme="minorHAnsi"/>
          <w:sz w:val="21"/>
          <w:szCs w:val="21"/>
        </w:rPr>
        <w:t>Mobil:</w:t>
      </w:r>
      <w:r w:rsidR="0085766D">
        <w:rPr>
          <w:rFonts w:eastAsia="F015TEELig" w:cstheme="minorHAnsi"/>
          <w:sz w:val="21"/>
          <w:szCs w:val="21"/>
        </w:rPr>
        <w:t xml:space="preserve"> +420 731 537 696</w:t>
      </w:r>
      <w:r w:rsidRPr="00AD79CC">
        <w:rPr>
          <w:rFonts w:eastAsia="F015TEELig" w:cstheme="minorHAnsi"/>
          <w:sz w:val="21"/>
          <w:szCs w:val="21"/>
        </w:rPr>
        <w:t xml:space="preserve">, </w:t>
      </w:r>
    </w:p>
    <w:p w14:paraId="46F484FA" w14:textId="2D9E4BB4" w:rsidR="0029038B" w:rsidRPr="00AD79CC" w:rsidRDefault="0029038B" w:rsidP="0029038B">
      <w:pPr>
        <w:pStyle w:val="Bezmezer"/>
        <w:rPr>
          <w:rFonts w:eastAsia="F015TEELig" w:cstheme="minorHAnsi"/>
          <w:sz w:val="21"/>
          <w:szCs w:val="21"/>
        </w:rPr>
      </w:pPr>
      <w:r w:rsidRPr="00AD79CC">
        <w:rPr>
          <w:rFonts w:eastAsia="F015TEELig" w:cstheme="minorHAnsi"/>
          <w:sz w:val="21"/>
          <w:szCs w:val="21"/>
        </w:rPr>
        <w:t>e-mail:</w:t>
      </w:r>
      <w:r w:rsidRPr="00AD79CC">
        <w:rPr>
          <w:rFonts w:eastAsia="Calibri" w:cstheme="minorHAnsi"/>
          <w:noProof/>
          <w:sz w:val="21"/>
          <w:szCs w:val="21"/>
        </w:rPr>
        <w:t xml:space="preserve"> </w:t>
      </w:r>
      <w:hyperlink r:id="rId31" w:history="1">
        <w:r w:rsidRPr="00DE288C">
          <w:rPr>
            <w:rStyle w:val="Hypertextovodkaz"/>
            <w:rFonts w:eastAsia="Calibri" w:cstheme="minorHAnsi"/>
            <w:noProof/>
            <w:sz w:val="21"/>
            <w:szCs w:val="21"/>
          </w:rPr>
          <w:t>lenka.kuzelova@bcas.cz</w:t>
        </w:r>
      </w:hyperlink>
      <w:r>
        <w:rPr>
          <w:rFonts w:eastAsia="Calibri" w:cstheme="minorHAnsi"/>
          <w:noProof/>
          <w:sz w:val="21"/>
          <w:szCs w:val="21"/>
        </w:rPr>
        <w:t xml:space="preserve"> </w:t>
      </w:r>
    </w:p>
    <w:p w14:paraId="025F1B2F" w14:textId="28790D00" w:rsidR="00D60D98" w:rsidRPr="00C21F84" w:rsidRDefault="00D60D98" w:rsidP="0029038B">
      <w:pPr>
        <w:pStyle w:val="Bezmezer"/>
        <w:rPr>
          <w:rFonts w:eastAsia="Calibri" w:cstheme="minorHAnsi"/>
          <w:noProof/>
          <w:sz w:val="20"/>
          <w:szCs w:val="20"/>
        </w:rPr>
      </w:pPr>
    </w:p>
    <w:sectPr w:rsidR="00D60D98" w:rsidRPr="00C21F8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1005ED" w14:textId="77777777" w:rsidR="00A65882" w:rsidRDefault="00A65882">
      <w:r>
        <w:separator/>
      </w:r>
    </w:p>
  </w:endnote>
  <w:endnote w:type="continuationSeparator" w:id="0">
    <w:p w14:paraId="3A088E7E" w14:textId="77777777" w:rsidR="00A65882" w:rsidRDefault="00A65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F844E" w14:textId="77777777" w:rsidR="00182E22" w:rsidRDefault="00182E2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A65882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812DCE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A65882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812DCE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A65882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812DCE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6FC255" w14:textId="77777777" w:rsidR="00182E22" w:rsidRDefault="00182E22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C1E8B4" w14:textId="77777777" w:rsidR="00A65882" w:rsidRDefault="00A65882">
      <w:r>
        <w:separator/>
      </w:r>
    </w:p>
  </w:footnote>
  <w:footnote w:type="continuationSeparator" w:id="0">
    <w:p w14:paraId="7B300612" w14:textId="77777777" w:rsidR="00A65882" w:rsidRDefault="00A658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49F15" w14:textId="77777777" w:rsidR="00182E22" w:rsidRDefault="00182E2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7443AD" w:rsidRDefault="00D80B6D" w:rsidP="00E95698">
    <w:pPr>
      <w:tabs>
        <w:tab w:val="left" w:pos="8633"/>
      </w:tabs>
      <w:spacing w:before="80"/>
      <w:ind w:firstLine="2880"/>
      <w:rPr>
        <w:rFonts w:asciiTheme="minorHAnsi" w:hAnsiTheme="minorHAnsi" w:cstheme="minorHAnsi"/>
        <w:sz w:val="52"/>
      </w:rPr>
    </w:pPr>
    <w:r w:rsidRPr="007443AD">
      <w:rPr>
        <w:rFonts w:asciiTheme="minorHAnsi" w:hAnsiTheme="minorHAnsi" w:cstheme="minorHAnsi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43AD">
      <w:rPr>
        <w:rFonts w:asciiTheme="minorHAnsi" w:hAnsiTheme="minorHAnsi" w:cstheme="minorHAnsi"/>
        <w:color w:val="1D1D1B"/>
        <w:sz w:val="48"/>
      </w:rPr>
      <w:t xml:space="preserve">BROKER CONSULTING </w:t>
    </w:r>
    <w:r w:rsidRPr="007443AD">
      <w:rPr>
        <w:rFonts w:asciiTheme="minorHAnsi" w:hAnsiTheme="minorHAnsi" w:cstheme="minorHAnsi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5E83C" w14:textId="77777777" w:rsidR="00182E22" w:rsidRDefault="00182E22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7443AD" w:rsidRDefault="009F59EE" w:rsidP="009F59EE">
    <w:pPr>
      <w:pStyle w:val="Nadpis2"/>
      <w:ind w:left="1440" w:firstLine="720"/>
      <w:rPr>
        <w:rFonts w:asciiTheme="minorHAnsi" w:hAnsiTheme="minorHAnsi" w:cstheme="minorHAnsi"/>
      </w:rPr>
    </w:pPr>
    <w:r w:rsidRPr="007443AD">
      <w:rPr>
        <w:rFonts w:asciiTheme="minorHAnsi" w:hAnsiTheme="minorHAnsi" w:cs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43AD">
      <w:rPr>
        <w:rFonts w:asciiTheme="minorHAnsi" w:hAnsiTheme="minorHAnsi" w:cstheme="minorHAnsi"/>
        <w:color w:val="1D1D1B"/>
      </w:rPr>
      <w:t>BROKER CONSULTING</w:t>
    </w:r>
  </w:p>
  <w:p w14:paraId="3FF270D6" w14:textId="6799F236" w:rsidR="00D40C89" w:rsidRPr="007443AD" w:rsidRDefault="009F59EE" w:rsidP="00D40C89">
    <w:pPr>
      <w:spacing w:before="85"/>
      <w:ind w:left="1440" w:firstLine="720"/>
      <w:rPr>
        <w:rFonts w:asciiTheme="minorHAnsi" w:hAnsiTheme="minorHAnsi" w:cstheme="minorHAnsi"/>
        <w:color w:val="E52713"/>
        <w:sz w:val="28"/>
        <w:szCs w:val="28"/>
      </w:rPr>
    </w:pPr>
    <w:r w:rsidRPr="007443AD">
      <w:rPr>
        <w:rFonts w:asciiTheme="minorHAnsi" w:hAnsiTheme="minorHAnsi" w:cstheme="minorHAnsi"/>
        <w:color w:val="E52713"/>
        <w:sz w:val="28"/>
        <w:szCs w:val="28"/>
      </w:rPr>
      <w:t xml:space="preserve">INDEX </w:t>
    </w:r>
    <w:r w:rsidR="002A1185" w:rsidRPr="007443AD">
      <w:rPr>
        <w:rFonts w:asciiTheme="minorHAnsi" w:hAnsiTheme="minorHAnsi" w:cstheme="minorHAnsi"/>
        <w:color w:val="E52713"/>
        <w:sz w:val="28"/>
        <w:szCs w:val="28"/>
      </w:rPr>
      <w:t>HYPOTEČNÍCH ÚVĚRŮ</w:t>
    </w:r>
    <w:r w:rsidR="00D40C89" w:rsidRPr="007443AD">
      <w:rPr>
        <w:rFonts w:asciiTheme="minorHAnsi" w:hAnsiTheme="minorHAnsi" w:cstheme="minorHAnsi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44BEA"/>
    <w:multiLevelType w:val="hybridMultilevel"/>
    <w:tmpl w:val="1A8CC4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3025E"/>
    <w:multiLevelType w:val="hybridMultilevel"/>
    <w:tmpl w:val="ECCE2D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52180"/>
    <w:multiLevelType w:val="hybridMultilevel"/>
    <w:tmpl w:val="CA92D9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631C5"/>
    <w:multiLevelType w:val="hybridMultilevel"/>
    <w:tmpl w:val="37368C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5" w15:restartNumberingAfterBreak="0">
    <w:nsid w:val="3A62021C"/>
    <w:multiLevelType w:val="hybridMultilevel"/>
    <w:tmpl w:val="40EC06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25D01"/>
    <w:multiLevelType w:val="hybridMultilevel"/>
    <w:tmpl w:val="20B04784"/>
    <w:lvl w:ilvl="0" w:tplc="67E89344">
      <w:start w:val="6"/>
      <w:numFmt w:val="bullet"/>
      <w:lvlText w:val="-"/>
      <w:lvlJc w:val="left"/>
      <w:pPr>
        <w:ind w:left="720" w:hanging="360"/>
      </w:pPr>
      <w:rPr>
        <w:rFonts w:ascii="Arial" w:eastAsia="F015TEELig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D60C79"/>
    <w:multiLevelType w:val="hybridMultilevel"/>
    <w:tmpl w:val="E6EECF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14760E"/>
    <w:multiLevelType w:val="hybridMultilevel"/>
    <w:tmpl w:val="7B56EE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675A0"/>
    <w:multiLevelType w:val="hybridMultilevel"/>
    <w:tmpl w:val="B462C0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B60605"/>
    <w:multiLevelType w:val="hybridMultilevel"/>
    <w:tmpl w:val="482ABF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E63C89"/>
    <w:multiLevelType w:val="hybridMultilevel"/>
    <w:tmpl w:val="03AAFAE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2"/>
  </w:num>
  <w:num w:numId="4">
    <w:abstractNumId w:val="9"/>
  </w:num>
  <w:num w:numId="5">
    <w:abstractNumId w:val="10"/>
  </w:num>
  <w:num w:numId="6">
    <w:abstractNumId w:val="6"/>
  </w:num>
  <w:num w:numId="7">
    <w:abstractNumId w:val="12"/>
  </w:num>
  <w:num w:numId="8">
    <w:abstractNumId w:val="3"/>
  </w:num>
  <w:num w:numId="9">
    <w:abstractNumId w:val="8"/>
  </w:num>
  <w:num w:numId="10">
    <w:abstractNumId w:val="5"/>
  </w:num>
  <w:num w:numId="11">
    <w:abstractNumId w:val="11"/>
  </w:num>
  <w:num w:numId="12">
    <w:abstractNumId w:val="8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06F"/>
    <w:rsid w:val="00004919"/>
    <w:rsid w:val="00005B61"/>
    <w:rsid w:val="00010EBF"/>
    <w:rsid w:val="00011DF6"/>
    <w:rsid w:val="00014FB5"/>
    <w:rsid w:val="0001597B"/>
    <w:rsid w:val="00020EC7"/>
    <w:rsid w:val="0002230E"/>
    <w:rsid w:val="000226F3"/>
    <w:rsid w:val="00026F23"/>
    <w:rsid w:val="000277AC"/>
    <w:rsid w:val="00027C83"/>
    <w:rsid w:val="0003028F"/>
    <w:rsid w:val="00030E97"/>
    <w:rsid w:val="00032D94"/>
    <w:rsid w:val="0003332D"/>
    <w:rsid w:val="00033FD7"/>
    <w:rsid w:val="000374D7"/>
    <w:rsid w:val="00037DAF"/>
    <w:rsid w:val="000400E4"/>
    <w:rsid w:val="000412FA"/>
    <w:rsid w:val="0004477D"/>
    <w:rsid w:val="00044EC5"/>
    <w:rsid w:val="00045D86"/>
    <w:rsid w:val="00046AF6"/>
    <w:rsid w:val="0004776E"/>
    <w:rsid w:val="0005423A"/>
    <w:rsid w:val="00057F54"/>
    <w:rsid w:val="000611E3"/>
    <w:rsid w:val="00061BF6"/>
    <w:rsid w:val="00070652"/>
    <w:rsid w:val="00074B2B"/>
    <w:rsid w:val="000766E7"/>
    <w:rsid w:val="00080E7A"/>
    <w:rsid w:val="00081616"/>
    <w:rsid w:val="000823D3"/>
    <w:rsid w:val="00082D29"/>
    <w:rsid w:val="0008331F"/>
    <w:rsid w:val="000845CA"/>
    <w:rsid w:val="000851AC"/>
    <w:rsid w:val="000853D4"/>
    <w:rsid w:val="00087894"/>
    <w:rsid w:val="000878FB"/>
    <w:rsid w:val="0009257D"/>
    <w:rsid w:val="00092AEE"/>
    <w:rsid w:val="00092BB7"/>
    <w:rsid w:val="00092C6B"/>
    <w:rsid w:val="00094C16"/>
    <w:rsid w:val="00096425"/>
    <w:rsid w:val="0009776B"/>
    <w:rsid w:val="000A080B"/>
    <w:rsid w:val="000A3E94"/>
    <w:rsid w:val="000A6CF9"/>
    <w:rsid w:val="000B187C"/>
    <w:rsid w:val="000B6DD9"/>
    <w:rsid w:val="000C181E"/>
    <w:rsid w:val="000C2DA6"/>
    <w:rsid w:val="000C5541"/>
    <w:rsid w:val="000C6D26"/>
    <w:rsid w:val="000C7564"/>
    <w:rsid w:val="000D0013"/>
    <w:rsid w:val="000D0B6F"/>
    <w:rsid w:val="000D14E2"/>
    <w:rsid w:val="000D2CFC"/>
    <w:rsid w:val="000D4AFB"/>
    <w:rsid w:val="000D6DDC"/>
    <w:rsid w:val="000D7158"/>
    <w:rsid w:val="000E01C2"/>
    <w:rsid w:val="000E0639"/>
    <w:rsid w:val="000E19B2"/>
    <w:rsid w:val="000E1C76"/>
    <w:rsid w:val="000E3D86"/>
    <w:rsid w:val="000E568C"/>
    <w:rsid w:val="000E5D32"/>
    <w:rsid w:val="000E6E14"/>
    <w:rsid w:val="000F4B6C"/>
    <w:rsid w:val="000F50BC"/>
    <w:rsid w:val="000F6249"/>
    <w:rsid w:val="000F6EBE"/>
    <w:rsid w:val="00101CEC"/>
    <w:rsid w:val="00103109"/>
    <w:rsid w:val="00105248"/>
    <w:rsid w:val="00106E26"/>
    <w:rsid w:val="001115A2"/>
    <w:rsid w:val="001117DE"/>
    <w:rsid w:val="00111C28"/>
    <w:rsid w:val="00113603"/>
    <w:rsid w:val="001153E3"/>
    <w:rsid w:val="00117AE4"/>
    <w:rsid w:val="00120113"/>
    <w:rsid w:val="001214E7"/>
    <w:rsid w:val="00122208"/>
    <w:rsid w:val="00122CEB"/>
    <w:rsid w:val="0012361F"/>
    <w:rsid w:val="00125B97"/>
    <w:rsid w:val="0012657A"/>
    <w:rsid w:val="00126BEC"/>
    <w:rsid w:val="00127234"/>
    <w:rsid w:val="0013044E"/>
    <w:rsid w:val="00131A69"/>
    <w:rsid w:val="001327CE"/>
    <w:rsid w:val="00132E53"/>
    <w:rsid w:val="00136D8D"/>
    <w:rsid w:val="00137003"/>
    <w:rsid w:val="0013717C"/>
    <w:rsid w:val="00140987"/>
    <w:rsid w:val="00145622"/>
    <w:rsid w:val="001516CA"/>
    <w:rsid w:val="001524FB"/>
    <w:rsid w:val="00154308"/>
    <w:rsid w:val="00154AC2"/>
    <w:rsid w:val="0015559F"/>
    <w:rsid w:val="00156082"/>
    <w:rsid w:val="00160686"/>
    <w:rsid w:val="00160E1C"/>
    <w:rsid w:val="00161352"/>
    <w:rsid w:val="00161830"/>
    <w:rsid w:val="001620E3"/>
    <w:rsid w:val="00162D8E"/>
    <w:rsid w:val="00164598"/>
    <w:rsid w:val="0016482C"/>
    <w:rsid w:val="0016556A"/>
    <w:rsid w:val="001675AF"/>
    <w:rsid w:val="0016771F"/>
    <w:rsid w:val="0017296F"/>
    <w:rsid w:val="00174317"/>
    <w:rsid w:val="00175545"/>
    <w:rsid w:val="001767A5"/>
    <w:rsid w:val="00176E93"/>
    <w:rsid w:val="00177C18"/>
    <w:rsid w:val="00182A92"/>
    <w:rsid w:val="00182E22"/>
    <w:rsid w:val="00187310"/>
    <w:rsid w:val="00187A96"/>
    <w:rsid w:val="00192716"/>
    <w:rsid w:val="00194831"/>
    <w:rsid w:val="00194B5D"/>
    <w:rsid w:val="001A0A5C"/>
    <w:rsid w:val="001A10BF"/>
    <w:rsid w:val="001A1A56"/>
    <w:rsid w:val="001A2D08"/>
    <w:rsid w:val="001A54DD"/>
    <w:rsid w:val="001A5AC8"/>
    <w:rsid w:val="001A61A5"/>
    <w:rsid w:val="001A7D2F"/>
    <w:rsid w:val="001B1E41"/>
    <w:rsid w:val="001B2A07"/>
    <w:rsid w:val="001B2C03"/>
    <w:rsid w:val="001B3B31"/>
    <w:rsid w:val="001B4F4B"/>
    <w:rsid w:val="001B501B"/>
    <w:rsid w:val="001B58E7"/>
    <w:rsid w:val="001B6694"/>
    <w:rsid w:val="001B6D7A"/>
    <w:rsid w:val="001B7936"/>
    <w:rsid w:val="001C22FE"/>
    <w:rsid w:val="001D015A"/>
    <w:rsid w:val="001D30C7"/>
    <w:rsid w:val="001D33FA"/>
    <w:rsid w:val="001D36F0"/>
    <w:rsid w:val="001D3DFC"/>
    <w:rsid w:val="001D42DB"/>
    <w:rsid w:val="001D45F5"/>
    <w:rsid w:val="001D5EFC"/>
    <w:rsid w:val="001E02C2"/>
    <w:rsid w:val="001E0A89"/>
    <w:rsid w:val="001E1597"/>
    <w:rsid w:val="001E4209"/>
    <w:rsid w:val="001F1D14"/>
    <w:rsid w:val="001F2399"/>
    <w:rsid w:val="001F4D74"/>
    <w:rsid w:val="001F7194"/>
    <w:rsid w:val="001F71BA"/>
    <w:rsid w:val="001F7577"/>
    <w:rsid w:val="002019F3"/>
    <w:rsid w:val="0020207A"/>
    <w:rsid w:val="00202F22"/>
    <w:rsid w:val="00203BD4"/>
    <w:rsid w:val="002046F4"/>
    <w:rsid w:val="00206E92"/>
    <w:rsid w:val="00207D22"/>
    <w:rsid w:val="00212C2E"/>
    <w:rsid w:val="0021395D"/>
    <w:rsid w:val="002141AF"/>
    <w:rsid w:val="00216B81"/>
    <w:rsid w:val="00216F2E"/>
    <w:rsid w:val="00217E92"/>
    <w:rsid w:val="00220529"/>
    <w:rsid w:val="002220C9"/>
    <w:rsid w:val="00223FFD"/>
    <w:rsid w:val="00224AF1"/>
    <w:rsid w:val="00224E6E"/>
    <w:rsid w:val="00225CEC"/>
    <w:rsid w:val="00225D70"/>
    <w:rsid w:val="00232B0D"/>
    <w:rsid w:val="00233BF3"/>
    <w:rsid w:val="002368F3"/>
    <w:rsid w:val="00236A37"/>
    <w:rsid w:val="00241313"/>
    <w:rsid w:val="00241AA2"/>
    <w:rsid w:val="00241DC1"/>
    <w:rsid w:val="0024212A"/>
    <w:rsid w:val="00242669"/>
    <w:rsid w:val="00243384"/>
    <w:rsid w:val="002447CA"/>
    <w:rsid w:val="0025080B"/>
    <w:rsid w:val="0025183C"/>
    <w:rsid w:val="00251F32"/>
    <w:rsid w:val="0025264B"/>
    <w:rsid w:val="00252DB1"/>
    <w:rsid w:val="00253C9E"/>
    <w:rsid w:val="0025428A"/>
    <w:rsid w:val="002555D2"/>
    <w:rsid w:val="00257978"/>
    <w:rsid w:val="002619DC"/>
    <w:rsid w:val="00263E2B"/>
    <w:rsid w:val="002676E8"/>
    <w:rsid w:val="00267705"/>
    <w:rsid w:val="00270B59"/>
    <w:rsid w:val="00270DB3"/>
    <w:rsid w:val="002717C9"/>
    <w:rsid w:val="0027235F"/>
    <w:rsid w:val="0027691A"/>
    <w:rsid w:val="00277D20"/>
    <w:rsid w:val="00280730"/>
    <w:rsid w:val="0028081F"/>
    <w:rsid w:val="00281C61"/>
    <w:rsid w:val="00281DB8"/>
    <w:rsid w:val="00285767"/>
    <w:rsid w:val="0028607C"/>
    <w:rsid w:val="002863CE"/>
    <w:rsid w:val="0029038B"/>
    <w:rsid w:val="0029566F"/>
    <w:rsid w:val="002961B5"/>
    <w:rsid w:val="00296B24"/>
    <w:rsid w:val="002A1185"/>
    <w:rsid w:val="002A208F"/>
    <w:rsid w:val="002A498A"/>
    <w:rsid w:val="002A61B7"/>
    <w:rsid w:val="002B01AF"/>
    <w:rsid w:val="002B094E"/>
    <w:rsid w:val="002B1E20"/>
    <w:rsid w:val="002B2A94"/>
    <w:rsid w:val="002B3C6D"/>
    <w:rsid w:val="002B4265"/>
    <w:rsid w:val="002B4919"/>
    <w:rsid w:val="002B4B98"/>
    <w:rsid w:val="002B6F4E"/>
    <w:rsid w:val="002B7650"/>
    <w:rsid w:val="002C06E2"/>
    <w:rsid w:val="002C0E94"/>
    <w:rsid w:val="002C26EB"/>
    <w:rsid w:val="002C6C42"/>
    <w:rsid w:val="002C7D70"/>
    <w:rsid w:val="002D179B"/>
    <w:rsid w:val="002D23B9"/>
    <w:rsid w:val="002D3534"/>
    <w:rsid w:val="002D49F7"/>
    <w:rsid w:val="002D64A2"/>
    <w:rsid w:val="002E0400"/>
    <w:rsid w:val="002E1A01"/>
    <w:rsid w:val="002E1A0D"/>
    <w:rsid w:val="002E6173"/>
    <w:rsid w:val="002E6DB6"/>
    <w:rsid w:val="002F002B"/>
    <w:rsid w:val="002F06AC"/>
    <w:rsid w:val="002F09BA"/>
    <w:rsid w:val="002F46B0"/>
    <w:rsid w:val="002F485A"/>
    <w:rsid w:val="002F5550"/>
    <w:rsid w:val="002F62C4"/>
    <w:rsid w:val="002F7818"/>
    <w:rsid w:val="002F7EC2"/>
    <w:rsid w:val="003006A5"/>
    <w:rsid w:val="003015E0"/>
    <w:rsid w:val="0030207B"/>
    <w:rsid w:val="00303778"/>
    <w:rsid w:val="00303A6E"/>
    <w:rsid w:val="003046FE"/>
    <w:rsid w:val="0030751A"/>
    <w:rsid w:val="00307CF8"/>
    <w:rsid w:val="00307E95"/>
    <w:rsid w:val="00307FEB"/>
    <w:rsid w:val="003128F8"/>
    <w:rsid w:val="00313D42"/>
    <w:rsid w:val="00322E5E"/>
    <w:rsid w:val="00323B17"/>
    <w:rsid w:val="003243A6"/>
    <w:rsid w:val="003247B0"/>
    <w:rsid w:val="0032734F"/>
    <w:rsid w:val="00330918"/>
    <w:rsid w:val="003310D8"/>
    <w:rsid w:val="0033296E"/>
    <w:rsid w:val="003337A9"/>
    <w:rsid w:val="0033431C"/>
    <w:rsid w:val="0033488F"/>
    <w:rsid w:val="00340E70"/>
    <w:rsid w:val="00342F85"/>
    <w:rsid w:val="00347557"/>
    <w:rsid w:val="00352435"/>
    <w:rsid w:val="003529EF"/>
    <w:rsid w:val="00355366"/>
    <w:rsid w:val="003555BB"/>
    <w:rsid w:val="003629B6"/>
    <w:rsid w:val="00362BFF"/>
    <w:rsid w:val="003640C8"/>
    <w:rsid w:val="00364C11"/>
    <w:rsid w:val="00371225"/>
    <w:rsid w:val="003721AD"/>
    <w:rsid w:val="00376086"/>
    <w:rsid w:val="003761D9"/>
    <w:rsid w:val="00380608"/>
    <w:rsid w:val="00380E0A"/>
    <w:rsid w:val="00382546"/>
    <w:rsid w:val="00382EAD"/>
    <w:rsid w:val="00383DC5"/>
    <w:rsid w:val="00385EED"/>
    <w:rsid w:val="00386A43"/>
    <w:rsid w:val="00390B58"/>
    <w:rsid w:val="00394851"/>
    <w:rsid w:val="00395F41"/>
    <w:rsid w:val="003967DF"/>
    <w:rsid w:val="003A156E"/>
    <w:rsid w:val="003A291C"/>
    <w:rsid w:val="003A3DE2"/>
    <w:rsid w:val="003A4860"/>
    <w:rsid w:val="003A4D47"/>
    <w:rsid w:val="003A6435"/>
    <w:rsid w:val="003A7D32"/>
    <w:rsid w:val="003B0E4F"/>
    <w:rsid w:val="003B1966"/>
    <w:rsid w:val="003B221E"/>
    <w:rsid w:val="003B5B25"/>
    <w:rsid w:val="003B60CA"/>
    <w:rsid w:val="003B7BDD"/>
    <w:rsid w:val="003C0CBE"/>
    <w:rsid w:val="003C1344"/>
    <w:rsid w:val="003C3421"/>
    <w:rsid w:val="003C5D0A"/>
    <w:rsid w:val="003D1987"/>
    <w:rsid w:val="003D3431"/>
    <w:rsid w:val="003D3AE8"/>
    <w:rsid w:val="003D69A7"/>
    <w:rsid w:val="003E1308"/>
    <w:rsid w:val="003F07E8"/>
    <w:rsid w:val="003F472F"/>
    <w:rsid w:val="003F79EC"/>
    <w:rsid w:val="00400129"/>
    <w:rsid w:val="004005D9"/>
    <w:rsid w:val="00400A5A"/>
    <w:rsid w:val="00407AE9"/>
    <w:rsid w:val="004120C7"/>
    <w:rsid w:val="0041257F"/>
    <w:rsid w:val="0042193A"/>
    <w:rsid w:val="004267DE"/>
    <w:rsid w:val="00430ABD"/>
    <w:rsid w:val="00431631"/>
    <w:rsid w:val="00432FD5"/>
    <w:rsid w:val="00434C5D"/>
    <w:rsid w:val="004350F6"/>
    <w:rsid w:val="00435115"/>
    <w:rsid w:val="00441028"/>
    <w:rsid w:val="00444432"/>
    <w:rsid w:val="00445D0A"/>
    <w:rsid w:val="00450DBC"/>
    <w:rsid w:val="00451896"/>
    <w:rsid w:val="00451B7B"/>
    <w:rsid w:val="0045292A"/>
    <w:rsid w:val="004540ED"/>
    <w:rsid w:val="00454843"/>
    <w:rsid w:val="004564BC"/>
    <w:rsid w:val="004565C7"/>
    <w:rsid w:val="004627B9"/>
    <w:rsid w:val="00465E53"/>
    <w:rsid w:val="00466329"/>
    <w:rsid w:val="00473219"/>
    <w:rsid w:val="00477DCC"/>
    <w:rsid w:val="00477FFA"/>
    <w:rsid w:val="004813B2"/>
    <w:rsid w:val="00481D66"/>
    <w:rsid w:val="00483579"/>
    <w:rsid w:val="004835F4"/>
    <w:rsid w:val="00487B6B"/>
    <w:rsid w:val="004919CC"/>
    <w:rsid w:val="004928CB"/>
    <w:rsid w:val="00492941"/>
    <w:rsid w:val="00495AFF"/>
    <w:rsid w:val="00495E14"/>
    <w:rsid w:val="00496183"/>
    <w:rsid w:val="004A08FC"/>
    <w:rsid w:val="004A3439"/>
    <w:rsid w:val="004B1364"/>
    <w:rsid w:val="004B2C5B"/>
    <w:rsid w:val="004B5104"/>
    <w:rsid w:val="004B5797"/>
    <w:rsid w:val="004B5B94"/>
    <w:rsid w:val="004B6304"/>
    <w:rsid w:val="004B64B3"/>
    <w:rsid w:val="004B6AF3"/>
    <w:rsid w:val="004C0179"/>
    <w:rsid w:val="004C0CEF"/>
    <w:rsid w:val="004C0D41"/>
    <w:rsid w:val="004C3F71"/>
    <w:rsid w:val="004C61F5"/>
    <w:rsid w:val="004D14C1"/>
    <w:rsid w:val="004D2C46"/>
    <w:rsid w:val="004D3578"/>
    <w:rsid w:val="004D4D9F"/>
    <w:rsid w:val="004D6BA6"/>
    <w:rsid w:val="004E2983"/>
    <w:rsid w:val="004E3BA4"/>
    <w:rsid w:val="004E4E81"/>
    <w:rsid w:val="004E4E9F"/>
    <w:rsid w:val="004E67DB"/>
    <w:rsid w:val="004F1934"/>
    <w:rsid w:val="004F1E84"/>
    <w:rsid w:val="00500925"/>
    <w:rsid w:val="005042D1"/>
    <w:rsid w:val="00506098"/>
    <w:rsid w:val="00506161"/>
    <w:rsid w:val="0050659B"/>
    <w:rsid w:val="00506889"/>
    <w:rsid w:val="00510050"/>
    <w:rsid w:val="00512D6B"/>
    <w:rsid w:val="00512FF6"/>
    <w:rsid w:val="005153F7"/>
    <w:rsid w:val="0052216B"/>
    <w:rsid w:val="005224C1"/>
    <w:rsid w:val="0052338B"/>
    <w:rsid w:val="00523D4C"/>
    <w:rsid w:val="005275F9"/>
    <w:rsid w:val="0053153F"/>
    <w:rsid w:val="00532F2D"/>
    <w:rsid w:val="005339D0"/>
    <w:rsid w:val="00534E75"/>
    <w:rsid w:val="00536954"/>
    <w:rsid w:val="005379BC"/>
    <w:rsid w:val="00540606"/>
    <w:rsid w:val="00541870"/>
    <w:rsid w:val="0054297E"/>
    <w:rsid w:val="005436EC"/>
    <w:rsid w:val="005447C5"/>
    <w:rsid w:val="00544A37"/>
    <w:rsid w:val="005455B0"/>
    <w:rsid w:val="0055263D"/>
    <w:rsid w:val="00552E2B"/>
    <w:rsid w:val="0055303C"/>
    <w:rsid w:val="00553369"/>
    <w:rsid w:val="00554574"/>
    <w:rsid w:val="0055553F"/>
    <w:rsid w:val="0056150F"/>
    <w:rsid w:val="005678E0"/>
    <w:rsid w:val="005729F4"/>
    <w:rsid w:val="00576F58"/>
    <w:rsid w:val="005773B2"/>
    <w:rsid w:val="00577D19"/>
    <w:rsid w:val="0058062A"/>
    <w:rsid w:val="005834AE"/>
    <w:rsid w:val="0058666A"/>
    <w:rsid w:val="00586BEF"/>
    <w:rsid w:val="005875EC"/>
    <w:rsid w:val="00590434"/>
    <w:rsid w:val="00594050"/>
    <w:rsid w:val="0059432A"/>
    <w:rsid w:val="0059452A"/>
    <w:rsid w:val="005956E9"/>
    <w:rsid w:val="005A0ABD"/>
    <w:rsid w:val="005A2637"/>
    <w:rsid w:val="005A37E5"/>
    <w:rsid w:val="005A4497"/>
    <w:rsid w:val="005A5BBA"/>
    <w:rsid w:val="005A5F08"/>
    <w:rsid w:val="005A60B4"/>
    <w:rsid w:val="005A6BA3"/>
    <w:rsid w:val="005A7A64"/>
    <w:rsid w:val="005B0719"/>
    <w:rsid w:val="005B0E8E"/>
    <w:rsid w:val="005B31D7"/>
    <w:rsid w:val="005B4E77"/>
    <w:rsid w:val="005B5427"/>
    <w:rsid w:val="005B5CA8"/>
    <w:rsid w:val="005B680B"/>
    <w:rsid w:val="005B6889"/>
    <w:rsid w:val="005B68FA"/>
    <w:rsid w:val="005B7492"/>
    <w:rsid w:val="005B7E46"/>
    <w:rsid w:val="005C0D63"/>
    <w:rsid w:val="005C41F6"/>
    <w:rsid w:val="005C48C1"/>
    <w:rsid w:val="005C7059"/>
    <w:rsid w:val="005D189A"/>
    <w:rsid w:val="005D4DA7"/>
    <w:rsid w:val="005D66E7"/>
    <w:rsid w:val="005D6963"/>
    <w:rsid w:val="005E3212"/>
    <w:rsid w:val="005E45D8"/>
    <w:rsid w:val="005E4855"/>
    <w:rsid w:val="005E7AEF"/>
    <w:rsid w:val="005F18D4"/>
    <w:rsid w:val="005F2383"/>
    <w:rsid w:val="005F57A1"/>
    <w:rsid w:val="005F65A1"/>
    <w:rsid w:val="005F7741"/>
    <w:rsid w:val="00600788"/>
    <w:rsid w:val="00600BA3"/>
    <w:rsid w:val="00605C5D"/>
    <w:rsid w:val="006106F0"/>
    <w:rsid w:val="006110E7"/>
    <w:rsid w:val="00612DC2"/>
    <w:rsid w:val="006135FD"/>
    <w:rsid w:val="00613A8D"/>
    <w:rsid w:val="006212F9"/>
    <w:rsid w:val="00622494"/>
    <w:rsid w:val="00624A82"/>
    <w:rsid w:val="0062747C"/>
    <w:rsid w:val="0062751F"/>
    <w:rsid w:val="00633136"/>
    <w:rsid w:val="00636E70"/>
    <w:rsid w:val="0064020E"/>
    <w:rsid w:val="0064160C"/>
    <w:rsid w:val="0064209A"/>
    <w:rsid w:val="006429DE"/>
    <w:rsid w:val="00645BA9"/>
    <w:rsid w:val="00646B73"/>
    <w:rsid w:val="006501CB"/>
    <w:rsid w:val="00650A3C"/>
    <w:rsid w:val="00651415"/>
    <w:rsid w:val="00651B66"/>
    <w:rsid w:val="00651B79"/>
    <w:rsid w:val="00652695"/>
    <w:rsid w:val="006529D7"/>
    <w:rsid w:val="00652DCE"/>
    <w:rsid w:val="006545F8"/>
    <w:rsid w:val="00654F8C"/>
    <w:rsid w:val="00656312"/>
    <w:rsid w:val="0066135D"/>
    <w:rsid w:val="00661A5F"/>
    <w:rsid w:val="00663C36"/>
    <w:rsid w:val="00667012"/>
    <w:rsid w:val="00673DDB"/>
    <w:rsid w:val="00675F3B"/>
    <w:rsid w:val="006768F0"/>
    <w:rsid w:val="00676C10"/>
    <w:rsid w:val="00677078"/>
    <w:rsid w:val="006775B7"/>
    <w:rsid w:val="00677C07"/>
    <w:rsid w:val="006831FB"/>
    <w:rsid w:val="00684F62"/>
    <w:rsid w:val="0068617E"/>
    <w:rsid w:val="00686E01"/>
    <w:rsid w:val="00687107"/>
    <w:rsid w:val="00692610"/>
    <w:rsid w:val="006939E4"/>
    <w:rsid w:val="00693A07"/>
    <w:rsid w:val="00695DE8"/>
    <w:rsid w:val="006978DE"/>
    <w:rsid w:val="00697A40"/>
    <w:rsid w:val="00697F28"/>
    <w:rsid w:val="006A0BD0"/>
    <w:rsid w:val="006A150C"/>
    <w:rsid w:val="006A2F6C"/>
    <w:rsid w:val="006A3BE2"/>
    <w:rsid w:val="006A6601"/>
    <w:rsid w:val="006B2EA9"/>
    <w:rsid w:val="006B3A13"/>
    <w:rsid w:val="006B3CB5"/>
    <w:rsid w:val="006C0A70"/>
    <w:rsid w:val="006C2008"/>
    <w:rsid w:val="006C2696"/>
    <w:rsid w:val="006C4076"/>
    <w:rsid w:val="006C4193"/>
    <w:rsid w:val="006C61E8"/>
    <w:rsid w:val="006D01AF"/>
    <w:rsid w:val="006D1884"/>
    <w:rsid w:val="006D65EC"/>
    <w:rsid w:val="006E074A"/>
    <w:rsid w:val="006E1C67"/>
    <w:rsid w:val="006E26DC"/>
    <w:rsid w:val="006E52B8"/>
    <w:rsid w:val="006E675F"/>
    <w:rsid w:val="006E68CA"/>
    <w:rsid w:val="006F32FB"/>
    <w:rsid w:val="00700FD6"/>
    <w:rsid w:val="00705D83"/>
    <w:rsid w:val="0071201C"/>
    <w:rsid w:val="00712177"/>
    <w:rsid w:val="00713CD7"/>
    <w:rsid w:val="00714847"/>
    <w:rsid w:val="0072112F"/>
    <w:rsid w:val="007253C3"/>
    <w:rsid w:val="00730047"/>
    <w:rsid w:val="0073009C"/>
    <w:rsid w:val="007316BB"/>
    <w:rsid w:val="00731B6F"/>
    <w:rsid w:val="00731E05"/>
    <w:rsid w:val="00736FB9"/>
    <w:rsid w:val="00737562"/>
    <w:rsid w:val="007424FC"/>
    <w:rsid w:val="007443AD"/>
    <w:rsid w:val="007540ED"/>
    <w:rsid w:val="00756671"/>
    <w:rsid w:val="00762254"/>
    <w:rsid w:val="0076333E"/>
    <w:rsid w:val="00764BFF"/>
    <w:rsid w:val="00767284"/>
    <w:rsid w:val="00771B91"/>
    <w:rsid w:val="007737E3"/>
    <w:rsid w:val="007748DA"/>
    <w:rsid w:val="0077685A"/>
    <w:rsid w:val="0078013F"/>
    <w:rsid w:val="007824F4"/>
    <w:rsid w:val="0078345F"/>
    <w:rsid w:val="00783AB1"/>
    <w:rsid w:val="00784109"/>
    <w:rsid w:val="00785FC5"/>
    <w:rsid w:val="0078631B"/>
    <w:rsid w:val="00786A1E"/>
    <w:rsid w:val="0078760B"/>
    <w:rsid w:val="00791A2B"/>
    <w:rsid w:val="00792EE9"/>
    <w:rsid w:val="00794BD8"/>
    <w:rsid w:val="00795445"/>
    <w:rsid w:val="0079572A"/>
    <w:rsid w:val="00795D79"/>
    <w:rsid w:val="0079732B"/>
    <w:rsid w:val="007A1121"/>
    <w:rsid w:val="007A1122"/>
    <w:rsid w:val="007A15A6"/>
    <w:rsid w:val="007A2531"/>
    <w:rsid w:val="007A278E"/>
    <w:rsid w:val="007B11F2"/>
    <w:rsid w:val="007B1851"/>
    <w:rsid w:val="007B232E"/>
    <w:rsid w:val="007B358E"/>
    <w:rsid w:val="007B3C38"/>
    <w:rsid w:val="007B5E2F"/>
    <w:rsid w:val="007C37DF"/>
    <w:rsid w:val="007C6288"/>
    <w:rsid w:val="007C6507"/>
    <w:rsid w:val="007D05D4"/>
    <w:rsid w:val="007D06A5"/>
    <w:rsid w:val="007D085C"/>
    <w:rsid w:val="007D1100"/>
    <w:rsid w:val="007D2280"/>
    <w:rsid w:val="007D3EF7"/>
    <w:rsid w:val="007E1111"/>
    <w:rsid w:val="007E1865"/>
    <w:rsid w:val="007E5614"/>
    <w:rsid w:val="007F0378"/>
    <w:rsid w:val="007F0754"/>
    <w:rsid w:val="007F3198"/>
    <w:rsid w:val="007F36AF"/>
    <w:rsid w:val="007F515C"/>
    <w:rsid w:val="007F5D81"/>
    <w:rsid w:val="008009B8"/>
    <w:rsid w:val="00800CEA"/>
    <w:rsid w:val="00807AD4"/>
    <w:rsid w:val="008104E0"/>
    <w:rsid w:val="00812DCE"/>
    <w:rsid w:val="0081387C"/>
    <w:rsid w:val="00817512"/>
    <w:rsid w:val="00822194"/>
    <w:rsid w:val="00822D26"/>
    <w:rsid w:val="008245C1"/>
    <w:rsid w:val="008269F5"/>
    <w:rsid w:val="00830105"/>
    <w:rsid w:val="0083053E"/>
    <w:rsid w:val="00830CE8"/>
    <w:rsid w:val="008317F6"/>
    <w:rsid w:val="00831B5E"/>
    <w:rsid w:val="00831F36"/>
    <w:rsid w:val="0083256C"/>
    <w:rsid w:val="0083338E"/>
    <w:rsid w:val="00833A44"/>
    <w:rsid w:val="0083519D"/>
    <w:rsid w:val="00843016"/>
    <w:rsid w:val="00844420"/>
    <w:rsid w:val="00845A34"/>
    <w:rsid w:val="00846E1E"/>
    <w:rsid w:val="00850445"/>
    <w:rsid w:val="0085594F"/>
    <w:rsid w:val="0085766D"/>
    <w:rsid w:val="008630EC"/>
    <w:rsid w:val="00866791"/>
    <w:rsid w:val="00870EAA"/>
    <w:rsid w:val="00874FE0"/>
    <w:rsid w:val="008769D5"/>
    <w:rsid w:val="00882EE9"/>
    <w:rsid w:val="00883131"/>
    <w:rsid w:val="008834B2"/>
    <w:rsid w:val="00883A3E"/>
    <w:rsid w:val="008848CF"/>
    <w:rsid w:val="00885B2F"/>
    <w:rsid w:val="008866ED"/>
    <w:rsid w:val="008868A5"/>
    <w:rsid w:val="0089080A"/>
    <w:rsid w:val="00890A80"/>
    <w:rsid w:val="008926E5"/>
    <w:rsid w:val="008926F3"/>
    <w:rsid w:val="00892DB3"/>
    <w:rsid w:val="00893533"/>
    <w:rsid w:val="00894FAD"/>
    <w:rsid w:val="008957C5"/>
    <w:rsid w:val="00896014"/>
    <w:rsid w:val="0089614B"/>
    <w:rsid w:val="00896556"/>
    <w:rsid w:val="00896BE6"/>
    <w:rsid w:val="00896FD6"/>
    <w:rsid w:val="00897BD9"/>
    <w:rsid w:val="008A04D3"/>
    <w:rsid w:val="008A0C76"/>
    <w:rsid w:val="008A618B"/>
    <w:rsid w:val="008A663F"/>
    <w:rsid w:val="008B05F2"/>
    <w:rsid w:val="008B0636"/>
    <w:rsid w:val="008B1531"/>
    <w:rsid w:val="008B2EE5"/>
    <w:rsid w:val="008B3C82"/>
    <w:rsid w:val="008B41E0"/>
    <w:rsid w:val="008B5C5C"/>
    <w:rsid w:val="008B64C9"/>
    <w:rsid w:val="008C1795"/>
    <w:rsid w:val="008C4597"/>
    <w:rsid w:val="008C4B0D"/>
    <w:rsid w:val="008C7511"/>
    <w:rsid w:val="008C75D3"/>
    <w:rsid w:val="008C79A2"/>
    <w:rsid w:val="008D01F6"/>
    <w:rsid w:val="008D1E94"/>
    <w:rsid w:val="008D373A"/>
    <w:rsid w:val="008D484C"/>
    <w:rsid w:val="008D68A5"/>
    <w:rsid w:val="008E19F3"/>
    <w:rsid w:val="008E3B44"/>
    <w:rsid w:val="008E58ED"/>
    <w:rsid w:val="008E6712"/>
    <w:rsid w:val="008F0A7A"/>
    <w:rsid w:val="008F2226"/>
    <w:rsid w:val="008F25C5"/>
    <w:rsid w:val="008F4980"/>
    <w:rsid w:val="008F6707"/>
    <w:rsid w:val="008F6AAF"/>
    <w:rsid w:val="008F715C"/>
    <w:rsid w:val="008F7A61"/>
    <w:rsid w:val="00900951"/>
    <w:rsid w:val="00901813"/>
    <w:rsid w:val="00903020"/>
    <w:rsid w:val="00906176"/>
    <w:rsid w:val="0090637E"/>
    <w:rsid w:val="00906E67"/>
    <w:rsid w:val="00914002"/>
    <w:rsid w:val="00915ADA"/>
    <w:rsid w:val="009161BE"/>
    <w:rsid w:val="00917F21"/>
    <w:rsid w:val="009213AE"/>
    <w:rsid w:val="009222C9"/>
    <w:rsid w:val="00922BC9"/>
    <w:rsid w:val="00926825"/>
    <w:rsid w:val="009268FC"/>
    <w:rsid w:val="00926A98"/>
    <w:rsid w:val="00932625"/>
    <w:rsid w:val="00932ACD"/>
    <w:rsid w:val="009340FD"/>
    <w:rsid w:val="00934141"/>
    <w:rsid w:val="009344C2"/>
    <w:rsid w:val="009345C9"/>
    <w:rsid w:val="0093538A"/>
    <w:rsid w:val="00941295"/>
    <w:rsid w:val="009434D0"/>
    <w:rsid w:val="0094705C"/>
    <w:rsid w:val="009514FE"/>
    <w:rsid w:val="00952F66"/>
    <w:rsid w:val="00957B41"/>
    <w:rsid w:val="00961519"/>
    <w:rsid w:val="00962A34"/>
    <w:rsid w:val="00962FD2"/>
    <w:rsid w:val="009644A2"/>
    <w:rsid w:val="00967162"/>
    <w:rsid w:val="00971DE7"/>
    <w:rsid w:val="00973C62"/>
    <w:rsid w:val="0097419E"/>
    <w:rsid w:val="00974A97"/>
    <w:rsid w:val="0097696C"/>
    <w:rsid w:val="00977B41"/>
    <w:rsid w:val="009808FE"/>
    <w:rsid w:val="00982987"/>
    <w:rsid w:val="00985386"/>
    <w:rsid w:val="00990318"/>
    <w:rsid w:val="0099489F"/>
    <w:rsid w:val="00994B64"/>
    <w:rsid w:val="009955B3"/>
    <w:rsid w:val="00996D72"/>
    <w:rsid w:val="009A4D99"/>
    <w:rsid w:val="009A53B7"/>
    <w:rsid w:val="009A544A"/>
    <w:rsid w:val="009A69B1"/>
    <w:rsid w:val="009A6CDB"/>
    <w:rsid w:val="009B0A81"/>
    <w:rsid w:val="009B0CA9"/>
    <w:rsid w:val="009B301F"/>
    <w:rsid w:val="009B52C2"/>
    <w:rsid w:val="009C0ECA"/>
    <w:rsid w:val="009C283B"/>
    <w:rsid w:val="009C2B04"/>
    <w:rsid w:val="009C3544"/>
    <w:rsid w:val="009C45BA"/>
    <w:rsid w:val="009D2D28"/>
    <w:rsid w:val="009D7AFB"/>
    <w:rsid w:val="009E055E"/>
    <w:rsid w:val="009E0C76"/>
    <w:rsid w:val="009E22C3"/>
    <w:rsid w:val="009E2833"/>
    <w:rsid w:val="009E317D"/>
    <w:rsid w:val="009E3B52"/>
    <w:rsid w:val="009E3D89"/>
    <w:rsid w:val="009E5B43"/>
    <w:rsid w:val="009E6B59"/>
    <w:rsid w:val="009E724D"/>
    <w:rsid w:val="009F097B"/>
    <w:rsid w:val="009F0DD5"/>
    <w:rsid w:val="009F2CB2"/>
    <w:rsid w:val="009F2CEE"/>
    <w:rsid w:val="009F3A56"/>
    <w:rsid w:val="009F59EE"/>
    <w:rsid w:val="009F5CD5"/>
    <w:rsid w:val="009F66D0"/>
    <w:rsid w:val="00A02D45"/>
    <w:rsid w:val="00A0581C"/>
    <w:rsid w:val="00A069E2"/>
    <w:rsid w:val="00A073C7"/>
    <w:rsid w:val="00A07431"/>
    <w:rsid w:val="00A07A9F"/>
    <w:rsid w:val="00A11B93"/>
    <w:rsid w:val="00A11C90"/>
    <w:rsid w:val="00A12821"/>
    <w:rsid w:val="00A12DE6"/>
    <w:rsid w:val="00A14FC9"/>
    <w:rsid w:val="00A2066F"/>
    <w:rsid w:val="00A23C45"/>
    <w:rsid w:val="00A25B10"/>
    <w:rsid w:val="00A33653"/>
    <w:rsid w:val="00A36D79"/>
    <w:rsid w:val="00A37A20"/>
    <w:rsid w:val="00A37AD0"/>
    <w:rsid w:val="00A4508B"/>
    <w:rsid w:val="00A4618A"/>
    <w:rsid w:val="00A53205"/>
    <w:rsid w:val="00A5429B"/>
    <w:rsid w:val="00A553A9"/>
    <w:rsid w:val="00A61F80"/>
    <w:rsid w:val="00A62566"/>
    <w:rsid w:val="00A62CCA"/>
    <w:rsid w:val="00A641DB"/>
    <w:rsid w:val="00A65882"/>
    <w:rsid w:val="00A65B9D"/>
    <w:rsid w:val="00A70932"/>
    <w:rsid w:val="00A719A5"/>
    <w:rsid w:val="00A72A74"/>
    <w:rsid w:val="00A72F83"/>
    <w:rsid w:val="00A7372B"/>
    <w:rsid w:val="00A74A1E"/>
    <w:rsid w:val="00A7509B"/>
    <w:rsid w:val="00A7796E"/>
    <w:rsid w:val="00A77F44"/>
    <w:rsid w:val="00A803EF"/>
    <w:rsid w:val="00A86656"/>
    <w:rsid w:val="00A87B14"/>
    <w:rsid w:val="00A93638"/>
    <w:rsid w:val="00A95DA9"/>
    <w:rsid w:val="00A97D07"/>
    <w:rsid w:val="00AA0737"/>
    <w:rsid w:val="00AA218A"/>
    <w:rsid w:val="00AA48E7"/>
    <w:rsid w:val="00AB3D30"/>
    <w:rsid w:val="00AB4794"/>
    <w:rsid w:val="00AB4842"/>
    <w:rsid w:val="00AB7BAF"/>
    <w:rsid w:val="00AB7CCF"/>
    <w:rsid w:val="00AC614D"/>
    <w:rsid w:val="00AC7F1C"/>
    <w:rsid w:val="00AD0F3F"/>
    <w:rsid w:val="00AD4EA3"/>
    <w:rsid w:val="00AE05ED"/>
    <w:rsid w:val="00AE44CB"/>
    <w:rsid w:val="00AE55D4"/>
    <w:rsid w:val="00AE72D7"/>
    <w:rsid w:val="00AF05BB"/>
    <w:rsid w:val="00AF1038"/>
    <w:rsid w:val="00AF113B"/>
    <w:rsid w:val="00AF2633"/>
    <w:rsid w:val="00AF74AF"/>
    <w:rsid w:val="00B01F39"/>
    <w:rsid w:val="00B05862"/>
    <w:rsid w:val="00B07D3B"/>
    <w:rsid w:val="00B11974"/>
    <w:rsid w:val="00B1264B"/>
    <w:rsid w:val="00B12CF8"/>
    <w:rsid w:val="00B15519"/>
    <w:rsid w:val="00B15922"/>
    <w:rsid w:val="00B2198E"/>
    <w:rsid w:val="00B244B9"/>
    <w:rsid w:val="00B24985"/>
    <w:rsid w:val="00B27178"/>
    <w:rsid w:val="00B277DA"/>
    <w:rsid w:val="00B30A9E"/>
    <w:rsid w:val="00B3265A"/>
    <w:rsid w:val="00B32817"/>
    <w:rsid w:val="00B33E8E"/>
    <w:rsid w:val="00B346ED"/>
    <w:rsid w:val="00B36901"/>
    <w:rsid w:val="00B37F41"/>
    <w:rsid w:val="00B4245F"/>
    <w:rsid w:val="00B43ABC"/>
    <w:rsid w:val="00B470FB"/>
    <w:rsid w:val="00B479EB"/>
    <w:rsid w:val="00B507D2"/>
    <w:rsid w:val="00B51125"/>
    <w:rsid w:val="00B52CDF"/>
    <w:rsid w:val="00B65A3B"/>
    <w:rsid w:val="00B66DE0"/>
    <w:rsid w:val="00B72652"/>
    <w:rsid w:val="00B8133C"/>
    <w:rsid w:val="00B815A3"/>
    <w:rsid w:val="00B85C55"/>
    <w:rsid w:val="00B85CBF"/>
    <w:rsid w:val="00B90B23"/>
    <w:rsid w:val="00B91CEE"/>
    <w:rsid w:val="00B94777"/>
    <w:rsid w:val="00B95BB2"/>
    <w:rsid w:val="00B95EBA"/>
    <w:rsid w:val="00B96E03"/>
    <w:rsid w:val="00BA0BC1"/>
    <w:rsid w:val="00BA1D82"/>
    <w:rsid w:val="00BA1FA3"/>
    <w:rsid w:val="00BA23D8"/>
    <w:rsid w:val="00BA27DA"/>
    <w:rsid w:val="00BA4230"/>
    <w:rsid w:val="00BA45FD"/>
    <w:rsid w:val="00BA5B9C"/>
    <w:rsid w:val="00BA7722"/>
    <w:rsid w:val="00BB4512"/>
    <w:rsid w:val="00BB4D49"/>
    <w:rsid w:val="00BB51F4"/>
    <w:rsid w:val="00BB58F0"/>
    <w:rsid w:val="00BB6439"/>
    <w:rsid w:val="00BB675F"/>
    <w:rsid w:val="00BC133F"/>
    <w:rsid w:val="00BC1D75"/>
    <w:rsid w:val="00BD05E4"/>
    <w:rsid w:val="00BD0936"/>
    <w:rsid w:val="00BD11E2"/>
    <w:rsid w:val="00BD17B0"/>
    <w:rsid w:val="00BD3267"/>
    <w:rsid w:val="00BD3715"/>
    <w:rsid w:val="00BD4630"/>
    <w:rsid w:val="00BD4EBD"/>
    <w:rsid w:val="00BD5A47"/>
    <w:rsid w:val="00BD6E76"/>
    <w:rsid w:val="00BD702E"/>
    <w:rsid w:val="00BE07F9"/>
    <w:rsid w:val="00BE6717"/>
    <w:rsid w:val="00BF1811"/>
    <w:rsid w:val="00BF36AE"/>
    <w:rsid w:val="00BF4092"/>
    <w:rsid w:val="00BF44F1"/>
    <w:rsid w:val="00BF4CD9"/>
    <w:rsid w:val="00C00EEF"/>
    <w:rsid w:val="00C02E39"/>
    <w:rsid w:val="00C0301A"/>
    <w:rsid w:val="00C04F1A"/>
    <w:rsid w:val="00C05CCC"/>
    <w:rsid w:val="00C07088"/>
    <w:rsid w:val="00C07D5F"/>
    <w:rsid w:val="00C07F35"/>
    <w:rsid w:val="00C15993"/>
    <w:rsid w:val="00C17C49"/>
    <w:rsid w:val="00C21F84"/>
    <w:rsid w:val="00C22B1C"/>
    <w:rsid w:val="00C23E32"/>
    <w:rsid w:val="00C24B73"/>
    <w:rsid w:val="00C2555B"/>
    <w:rsid w:val="00C26D3E"/>
    <w:rsid w:val="00C30EA3"/>
    <w:rsid w:val="00C31E67"/>
    <w:rsid w:val="00C325BB"/>
    <w:rsid w:val="00C33A4A"/>
    <w:rsid w:val="00C36E55"/>
    <w:rsid w:val="00C4086A"/>
    <w:rsid w:val="00C42CA5"/>
    <w:rsid w:val="00C42FAF"/>
    <w:rsid w:val="00C456DD"/>
    <w:rsid w:val="00C47E7D"/>
    <w:rsid w:val="00C52DA0"/>
    <w:rsid w:val="00C53031"/>
    <w:rsid w:val="00C568D7"/>
    <w:rsid w:val="00C56AD1"/>
    <w:rsid w:val="00C60BBC"/>
    <w:rsid w:val="00C6365D"/>
    <w:rsid w:val="00C6644B"/>
    <w:rsid w:val="00C668FF"/>
    <w:rsid w:val="00C67861"/>
    <w:rsid w:val="00C7532A"/>
    <w:rsid w:val="00C7663D"/>
    <w:rsid w:val="00C779DC"/>
    <w:rsid w:val="00C80ADA"/>
    <w:rsid w:val="00C81DF4"/>
    <w:rsid w:val="00C83132"/>
    <w:rsid w:val="00C864DC"/>
    <w:rsid w:val="00C908E5"/>
    <w:rsid w:val="00C9156E"/>
    <w:rsid w:val="00C947C0"/>
    <w:rsid w:val="00C947CE"/>
    <w:rsid w:val="00C95072"/>
    <w:rsid w:val="00C95F04"/>
    <w:rsid w:val="00C97E6F"/>
    <w:rsid w:val="00CA079E"/>
    <w:rsid w:val="00CA135D"/>
    <w:rsid w:val="00CA1722"/>
    <w:rsid w:val="00CA1806"/>
    <w:rsid w:val="00CA22D8"/>
    <w:rsid w:val="00CA5872"/>
    <w:rsid w:val="00CA78F9"/>
    <w:rsid w:val="00CA7CAF"/>
    <w:rsid w:val="00CB0499"/>
    <w:rsid w:val="00CB06F8"/>
    <w:rsid w:val="00CB08B5"/>
    <w:rsid w:val="00CB18B1"/>
    <w:rsid w:val="00CB2736"/>
    <w:rsid w:val="00CB38CA"/>
    <w:rsid w:val="00CB5712"/>
    <w:rsid w:val="00CB6969"/>
    <w:rsid w:val="00CB6F2B"/>
    <w:rsid w:val="00CB7254"/>
    <w:rsid w:val="00CC0CB0"/>
    <w:rsid w:val="00CC1067"/>
    <w:rsid w:val="00CC3D3D"/>
    <w:rsid w:val="00CC3DF9"/>
    <w:rsid w:val="00CC65C5"/>
    <w:rsid w:val="00CC73AB"/>
    <w:rsid w:val="00CD12BC"/>
    <w:rsid w:val="00CD3324"/>
    <w:rsid w:val="00CD46EA"/>
    <w:rsid w:val="00CD4A18"/>
    <w:rsid w:val="00CD575C"/>
    <w:rsid w:val="00CD6257"/>
    <w:rsid w:val="00CD6E1E"/>
    <w:rsid w:val="00CD7A9C"/>
    <w:rsid w:val="00CE0770"/>
    <w:rsid w:val="00CE0BEA"/>
    <w:rsid w:val="00CE37D5"/>
    <w:rsid w:val="00CE5086"/>
    <w:rsid w:val="00CE6C6E"/>
    <w:rsid w:val="00CE76FD"/>
    <w:rsid w:val="00CE7991"/>
    <w:rsid w:val="00CF177F"/>
    <w:rsid w:val="00CF2033"/>
    <w:rsid w:val="00CF5DF2"/>
    <w:rsid w:val="00CF6C98"/>
    <w:rsid w:val="00D0061B"/>
    <w:rsid w:val="00D012CF"/>
    <w:rsid w:val="00D016C3"/>
    <w:rsid w:val="00D01832"/>
    <w:rsid w:val="00D01DC0"/>
    <w:rsid w:val="00D02C28"/>
    <w:rsid w:val="00D02E81"/>
    <w:rsid w:val="00D0526B"/>
    <w:rsid w:val="00D07AA2"/>
    <w:rsid w:val="00D1081A"/>
    <w:rsid w:val="00D15569"/>
    <w:rsid w:val="00D15619"/>
    <w:rsid w:val="00D15A44"/>
    <w:rsid w:val="00D160DE"/>
    <w:rsid w:val="00D21C96"/>
    <w:rsid w:val="00D30074"/>
    <w:rsid w:val="00D30854"/>
    <w:rsid w:val="00D31127"/>
    <w:rsid w:val="00D320FC"/>
    <w:rsid w:val="00D333B4"/>
    <w:rsid w:val="00D3359F"/>
    <w:rsid w:val="00D35FF4"/>
    <w:rsid w:val="00D40C89"/>
    <w:rsid w:val="00D41337"/>
    <w:rsid w:val="00D422E9"/>
    <w:rsid w:val="00D47B55"/>
    <w:rsid w:val="00D47B8A"/>
    <w:rsid w:val="00D50703"/>
    <w:rsid w:val="00D531E4"/>
    <w:rsid w:val="00D53C47"/>
    <w:rsid w:val="00D53E59"/>
    <w:rsid w:val="00D60057"/>
    <w:rsid w:val="00D60444"/>
    <w:rsid w:val="00D605B1"/>
    <w:rsid w:val="00D60D98"/>
    <w:rsid w:val="00D6181D"/>
    <w:rsid w:val="00D61D5F"/>
    <w:rsid w:val="00D61FAA"/>
    <w:rsid w:val="00D62038"/>
    <w:rsid w:val="00D628D2"/>
    <w:rsid w:val="00D62FEC"/>
    <w:rsid w:val="00D65C4E"/>
    <w:rsid w:val="00D67EA6"/>
    <w:rsid w:val="00D71C06"/>
    <w:rsid w:val="00D71EA0"/>
    <w:rsid w:val="00D72157"/>
    <w:rsid w:val="00D721F1"/>
    <w:rsid w:val="00D73F33"/>
    <w:rsid w:val="00D74A93"/>
    <w:rsid w:val="00D76337"/>
    <w:rsid w:val="00D77A56"/>
    <w:rsid w:val="00D80B6D"/>
    <w:rsid w:val="00D80C55"/>
    <w:rsid w:val="00D80F78"/>
    <w:rsid w:val="00D8120C"/>
    <w:rsid w:val="00D84488"/>
    <w:rsid w:val="00D844C8"/>
    <w:rsid w:val="00D84B7D"/>
    <w:rsid w:val="00D84F78"/>
    <w:rsid w:val="00D8513A"/>
    <w:rsid w:val="00D85BBB"/>
    <w:rsid w:val="00D85FB4"/>
    <w:rsid w:val="00D879CA"/>
    <w:rsid w:val="00D906BE"/>
    <w:rsid w:val="00D943AD"/>
    <w:rsid w:val="00D94687"/>
    <w:rsid w:val="00D9690A"/>
    <w:rsid w:val="00DA2C91"/>
    <w:rsid w:val="00DA5316"/>
    <w:rsid w:val="00DA7B87"/>
    <w:rsid w:val="00DB0343"/>
    <w:rsid w:val="00DB1954"/>
    <w:rsid w:val="00DB342A"/>
    <w:rsid w:val="00DB3E19"/>
    <w:rsid w:val="00DB63D9"/>
    <w:rsid w:val="00DB7121"/>
    <w:rsid w:val="00DB7E77"/>
    <w:rsid w:val="00DC0BD6"/>
    <w:rsid w:val="00DC0F17"/>
    <w:rsid w:val="00DC30D0"/>
    <w:rsid w:val="00DC37CE"/>
    <w:rsid w:val="00DC422E"/>
    <w:rsid w:val="00DD1F5E"/>
    <w:rsid w:val="00DD2DD1"/>
    <w:rsid w:val="00DD4803"/>
    <w:rsid w:val="00DD639C"/>
    <w:rsid w:val="00DD67DA"/>
    <w:rsid w:val="00DD7940"/>
    <w:rsid w:val="00DE1840"/>
    <w:rsid w:val="00DE1B89"/>
    <w:rsid w:val="00DE476A"/>
    <w:rsid w:val="00DE5007"/>
    <w:rsid w:val="00DE59C6"/>
    <w:rsid w:val="00DE6EEA"/>
    <w:rsid w:val="00DF2E5A"/>
    <w:rsid w:val="00DF3A69"/>
    <w:rsid w:val="00DF4305"/>
    <w:rsid w:val="00DF4D81"/>
    <w:rsid w:val="00DF658B"/>
    <w:rsid w:val="00E00DC6"/>
    <w:rsid w:val="00E04B02"/>
    <w:rsid w:val="00E058A3"/>
    <w:rsid w:val="00E10ABF"/>
    <w:rsid w:val="00E130CB"/>
    <w:rsid w:val="00E151F3"/>
    <w:rsid w:val="00E1723B"/>
    <w:rsid w:val="00E17539"/>
    <w:rsid w:val="00E23A7D"/>
    <w:rsid w:val="00E244E6"/>
    <w:rsid w:val="00E27028"/>
    <w:rsid w:val="00E32995"/>
    <w:rsid w:val="00E32C50"/>
    <w:rsid w:val="00E3404F"/>
    <w:rsid w:val="00E41A6D"/>
    <w:rsid w:val="00E41E9C"/>
    <w:rsid w:val="00E423C3"/>
    <w:rsid w:val="00E4323F"/>
    <w:rsid w:val="00E4469C"/>
    <w:rsid w:val="00E450AB"/>
    <w:rsid w:val="00E47059"/>
    <w:rsid w:val="00E5280E"/>
    <w:rsid w:val="00E52CEE"/>
    <w:rsid w:val="00E53A7F"/>
    <w:rsid w:val="00E54A8E"/>
    <w:rsid w:val="00E563FC"/>
    <w:rsid w:val="00E569BC"/>
    <w:rsid w:val="00E57F9B"/>
    <w:rsid w:val="00E60634"/>
    <w:rsid w:val="00E607C0"/>
    <w:rsid w:val="00E61348"/>
    <w:rsid w:val="00E6319B"/>
    <w:rsid w:val="00E6550B"/>
    <w:rsid w:val="00E65551"/>
    <w:rsid w:val="00E6726D"/>
    <w:rsid w:val="00E70FBC"/>
    <w:rsid w:val="00E74000"/>
    <w:rsid w:val="00E7623C"/>
    <w:rsid w:val="00E80764"/>
    <w:rsid w:val="00E80FCB"/>
    <w:rsid w:val="00E81433"/>
    <w:rsid w:val="00E81C95"/>
    <w:rsid w:val="00E845C0"/>
    <w:rsid w:val="00E852A3"/>
    <w:rsid w:val="00E86628"/>
    <w:rsid w:val="00E914B7"/>
    <w:rsid w:val="00E92775"/>
    <w:rsid w:val="00E93103"/>
    <w:rsid w:val="00EA0295"/>
    <w:rsid w:val="00EA0C1C"/>
    <w:rsid w:val="00EA477A"/>
    <w:rsid w:val="00EA5CA0"/>
    <w:rsid w:val="00EA5D92"/>
    <w:rsid w:val="00EB083E"/>
    <w:rsid w:val="00EB307B"/>
    <w:rsid w:val="00EB5354"/>
    <w:rsid w:val="00EB7780"/>
    <w:rsid w:val="00EC2DC7"/>
    <w:rsid w:val="00EC3779"/>
    <w:rsid w:val="00EC65E8"/>
    <w:rsid w:val="00EC71DE"/>
    <w:rsid w:val="00EC7F0E"/>
    <w:rsid w:val="00ED2D1F"/>
    <w:rsid w:val="00ED58E9"/>
    <w:rsid w:val="00ED700E"/>
    <w:rsid w:val="00ED79D6"/>
    <w:rsid w:val="00EE1831"/>
    <w:rsid w:val="00EE3DAD"/>
    <w:rsid w:val="00EF2F7C"/>
    <w:rsid w:val="00EF3FC0"/>
    <w:rsid w:val="00EF61B5"/>
    <w:rsid w:val="00F009B3"/>
    <w:rsid w:val="00F00A40"/>
    <w:rsid w:val="00F00A6E"/>
    <w:rsid w:val="00F05773"/>
    <w:rsid w:val="00F0773E"/>
    <w:rsid w:val="00F115D1"/>
    <w:rsid w:val="00F12CED"/>
    <w:rsid w:val="00F12DCE"/>
    <w:rsid w:val="00F13496"/>
    <w:rsid w:val="00F14346"/>
    <w:rsid w:val="00F14982"/>
    <w:rsid w:val="00F22A26"/>
    <w:rsid w:val="00F23C0F"/>
    <w:rsid w:val="00F2598D"/>
    <w:rsid w:val="00F26166"/>
    <w:rsid w:val="00F26D3E"/>
    <w:rsid w:val="00F32739"/>
    <w:rsid w:val="00F32845"/>
    <w:rsid w:val="00F336A2"/>
    <w:rsid w:val="00F36BA0"/>
    <w:rsid w:val="00F411C5"/>
    <w:rsid w:val="00F44AEB"/>
    <w:rsid w:val="00F45620"/>
    <w:rsid w:val="00F5304D"/>
    <w:rsid w:val="00F532E2"/>
    <w:rsid w:val="00F5470D"/>
    <w:rsid w:val="00F555FB"/>
    <w:rsid w:val="00F5638B"/>
    <w:rsid w:val="00F56493"/>
    <w:rsid w:val="00F60301"/>
    <w:rsid w:val="00F628BC"/>
    <w:rsid w:val="00F628FC"/>
    <w:rsid w:val="00F7033F"/>
    <w:rsid w:val="00F70DD4"/>
    <w:rsid w:val="00F7277F"/>
    <w:rsid w:val="00F72E32"/>
    <w:rsid w:val="00F73B85"/>
    <w:rsid w:val="00F747EC"/>
    <w:rsid w:val="00F76218"/>
    <w:rsid w:val="00F829B7"/>
    <w:rsid w:val="00F82DF0"/>
    <w:rsid w:val="00F84A4F"/>
    <w:rsid w:val="00F84ACE"/>
    <w:rsid w:val="00F8617B"/>
    <w:rsid w:val="00F863D7"/>
    <w:rsid w:val="00F9173C"/>
    <w:rsid w:val="00F94474"/>
    <w:rsid w:val="00F975AD"/>
    <w:rsid w:val="00FA05C2"/>
    <w:rsid w:val="00FA2D1E"/>
    <w:rsid w:val="00FA35EB"/>
    <w:rsid w:val="00FA6EE9"/>
    <w:rsid w:val="00FB18D0"/>
    <w:rsid w:val="00FB2241"/>
    <w:rsid w:val="00FB2315"/>
    <w:rsid w:val="00FB2ED6"/>
    <w:rsid w:val="00FB412B"/>
    <w:rsid w:val="00FB42E5"/>
    <w:rsid w:val="00FB58C3"/>
    <w:rsid w:val="00FB59EE"/>
    <w:rsid w:val="00FB6B8F"/>
    <w:rsid w:val="00FC2522"/>
    <w:rsid w:val="00FC3C77"/>
    <w:rsid w:val="00FC5B56"/>
    <w:rsid w:val="00FD181C"/>
    <w:rsid w:val="00FD4B12"/>
    <w:rsid w:val="00FD5009"/>
    <w:rsid w:val="00FD55C9"/>
    <w:rsid w:val="00FD62DC"/>
    <w:rsid w:val="00FD65D3"/>
    <w:rsid w:val="00FD6A70"/>
    <w:rsid w:val="00FE1D87"/>
    <w:rsid w:val="00FE1EC8"/>
    <w:rsid w:val="00FE3560"/>
    <w:rsid w:val="00FE3E09"/>
    <w:rsid w:val="00FE4FBF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header" Target="header2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footer" Target="footer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footer" Target="footer2.xm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header" Target="header5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hyperlink" Target="http://okpointy.cz" TargetMode="External"/><Relationship Id="rId19" Type="http://schemas.openxmlformats.org/officeDocument/2006/relationships/footer" Target="footer1.xml"/><Relationship Id="rId31" Type="http://schemas.openxmlformats.org/officeDocument/2006/relationships/hyperlink" Target="mailto:lenka.kuzelova@bcas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header" Target="header6.xml"/><Relationship Id="rId30" Type="http://schemas.openxmlformats.org/officeDocument/2006/relationships/hyperlink" Target="https://www.bcas.cz/o-nas/broker-consulting-index-hypotecnich-uveru/" TargetMode="Externa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BE714-0C42-4885-A9A2-F9BB4A813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978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7</cp:revision>
  <cp:lastPrinted>2023-03-06T11:31:00Z</cp:lastPrinted>
  <dcterms:created xsi:type="dcterms:W3CDTF">2024-04-04T20:31:00Z</dcterms:created>
  <dcterms:modified xsi:type="dcterms:W3CDTF">2024-04-05T12:41:00Z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