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4F70154B" w14:textId="723F4AA0" w:rsidR="008D0D1C" w:rsidRPr="00EE5F0F" w:rsidRDefault="00F63179" w:rsidP="00EE5F0F">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proofErr w:type="spellStart"/>
      <w:r w:rsidRPr="00A0680F">
        <w:rPr>
          <w:rFonts w:asciiTheme="minorHAnsi" w:hAnsiTheme="minorHAnsi" w:cstheme="minorHAnsi"/>
          <w:b/>
          <w:color w:val="FF0000"/>
          <w:sz w:val="20"/>
          <w:szCs w:val="20"/>
        </w:rPr>
        <w:t>Franchisor</w:t>
      </w:r>
      <w:proofErr w:type="spellEnd"/>
      <w:r w:rsidRPr="00A0680F">
        <w:rPr>
          <w:rFonts w:asciiTheme="minorHAnsi" w:hAnsiTheme="minorHAnsi" w:cstheme="minorHAnsi"/>
          <w:b/>
          <w:color w:val="FF0000"/>
          <w:sz w:val="20"/>
          <w:szCs w:val="20"/>
        </w:rPr>
        <w:t xml:space="preserve">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sidRPr="005B7E46">
        <w:rPr>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w:t>
      </w:r>
      <w:proofErr w:type="spellStart"/>
      <w:r w:rsidRPr="005B7E46">
        <w:rPr>
          <w:rFonts w:asciiTheme="minorHAnsi" w:hAnsiTheme="minorHAnsi" w:cstheme="minorHAnsi"/>
          <w:sz w:val="20"/>
          <w:szCs w:val="20"/>
          <w:shd w:val="clear" w:color="auto" w:fill="FFFFFF"/>
        </w:rPr>
        <w:t>BC_oficialni</w:t>
      </w:r>
      <w:proofErr w:type="spellEnd"/>
      <w:r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Pr>
          <w:rStyle w:val="dn"/>
          <w:rFonts w:asciiTheme="minorHAnsi" w:hAnsiTheme="minorHAnsi" w:cstheme="minorHAnsi"/>
          <w:sz w:val="20"/>
          <w:szCs w:val="20"/>
        </w:rPr>
        <w:t xml:space="preserve"> Broker Point Premium</w:t>
      </w:r>
      <w:r w:rsidR="00EE5F0F">
        <w:rPr>
          <w:rStyle w:val="dn"/>
          <w:rFonts w:asciiTheme="minorHAnsi" w:hAnsiTheme="minorHAnsi" w:cstheme="minorHAnsi"/>
          <w:sz w:val="20"/>
          <w:szCs w:val="20"/>
        </w:rPr>
        <w:t>.</w:t>
      </w:r>
    </w:p>
    <w:p w14:paraId="3A952067" w14:textId="77777777" w:rsidR="00BC7898" w:rsidRPr="00426D92" w:rsidRDefault="00BC7898" w:rsidP="00426D92">
      <w:pPr>
        <w:pStyle w:val="Odstavecseseznamem"/>
        <w:spacing w:after="120"/>
        <w:ind w:left="0" w:right="0" w:firstLine="0"/>
        <w:jc w:val="center"/>
        <w:rPr>
          <w:rFonts w:asciiTheme="minorHAnsi" w:hAnsiTheme="minorHAnsi" w:cstheme="minorHAnsi"/>
          <w:b/>
          <w:sz w:val="26"/>
          <w:szCs w:val="26"/>
        </w:rPr>
      </w:pPr>
      <w:r w:rsidRPr="00426D92">
        <w:rPr>
          <w:rFonts w:asciiTheme="minorHAnsi" w:hAnsiTheme="minorHAnsi" w:cstheme="minorHAnsi"/>
          <w:b/>
          <w:sz w:val="26"/>
          <w:szCs w:val="26"/>
        </w:rPr>
        <w:lastRenderedPageBreak/>
        <w:t>Průměrná cena pojištění typického vozu se v únoru nepatrně snížila</w:t>
      </w:r>
    </w:p>
    <w:p w14:paraId="0608F15A" w14:textId="0E474C1B" w:rsidR="00BC7898" w:rsidRPr="00426D92" w:rsidRDefault="00BC7898" w:rsidP="00BC7898">
      <w:pPr>
        <w:pStyle w:val="Odstavecseseznamem"/>
        <w:numPr>
          <w:ilvl w:val="0"/>
          <w:numId w:val="24"/>
        </w:numPr>
        <w:ind w:left="357" w:right="40" w:hanging="357"/>
        <w:rPr>
          <w:rFonts w:asciiTheme="minorHAnsi" w:hAnsiTheme="minorHAnsi" w:cstheme="minorHAnsi"/>
          <w:b/>
          <w:sz w:val="21"/>
          <w:szCs w:val="21"/>
        </w:rPr>
      </w:pPr>
      <w:r w:rsidRPr="00426D92">
        <w:rPr>
          <w:rFonts w:asciiTheme="minorHAnsi" w:hAnsiTheme="minorHAnsi" w:cstheme="minorHAnsi"/>
          <w:b/>
          <w:sz w:val="21"/>
          <w:szCs w:val="21"/>
        </w:rPr>
        <w:t xml:space="preserve">Průměrná cena </w:t>
      </w:r>
      <w:r w:rsidR="00AC6F8E" w:rsidRPr="00426D92">
        <w:rPr>
          <w:rFonts w:asciiTheme="minorHAnsi" w:hAnsiTheme="minorHAnsi" w:cstheme="minorHAnsi"/>
          <w:b/>
          <w:sz w:val="21"/>
          <w:szCs w:val="21"/>
        </w:rPr>
        <w:t>povinného ručení se snížila o 17</w:t>
      </w:r>
      <w:r w:rsidRPr="00426D92">
        <w:rPr>
          <w:rFonts w:asciiTheme="minorHAnsi" w:hAnsiTheme="minorHAnsi" w:cstheme="minorHAnsi"/>
          <w:b/>
          <w:sz w:val="21"/>
          <w:szCs w:val="21"/>
        </w:rPr>
        <w:t xml:space="preserve"> korun.</w:t>
      </w:r>
    </w:p>
    <w:p w14:paraId="201FCCAF" w14:textId="354F3248" w:rsidR="00BC7898" w:rsidRPr="00426D92" w:rsidRDefault="00BC7898" w:rsidP="00BC7898">
      <w:pPr>
        <w:pStyle w:val="Odstavecseseznamem"/>
        <w:numPr>
          <w:ilvl w:val="0"/>
          <w:numId w:val="24"/>
        </w:numPr>
        <w:ind w:left="357" w:right="40" w:hanging="357"/>
        <w:rPr>
          <w:rFonts w:asciiTheme="minorHAnsi" w:hAnsiTheme="minorHAnsi" w:cstheme="minorHAnsi"/>
          <w:b/>
          <w:sz w:val="21"/>
          <w:szCs w:val="21"/>
        </w:rPr>
      </w:pPr>
      <w:r w:rsidRPr="00426D92">
        <w:rPr>
          <w:rFonts w:asciiTheme="minorHAnsi" w:hAnsiTheme="minorHAnsi" w:cstheme="minorHAnsi"/>
          <w:b/>
          <w:sz w:val="21"/>
          <w:szCs w:val="21"/>
        </w:rPr>
        <w:t xml:space="preserve">Celorepublikový průměr naměřené hodnoty </w:t>
      </w:r>
      <w:proofErr w:type="spellStart"/>
      <w:r w:rsidRPr="00426D92">
        <w:rPr>
          <w:rFonts w:asciiTheme="minorHAnsi" w:hAnsiTheme="minorHAnsi" w:cstheme="minorHAnsi"/>
          <w:b/>
          <w:sz w:val="21"/>
          <w:szCs w:val="21"/>
        </w:rPr>
        <w:t>POVIndexu</w:t>
      </w:r>
      <w:proofErr w:type="spellEnd"/>
      <w:r w:rsidRPr="00426D92">
        <w:rPr>
          <w:rFonts w:asciiTheme="minorHAnsi" w:hAnsiTheme="minorHAnsi" w:cstheme="minorHAnsi"/>
          <w:b/>
          <w:sz w:val="21"/>
          <w:szCs w:val="21"/>
        </w:rPr>
        <w:t xml:space="preserve"> dosáhl </w:t>
      </w:r>
      <w:r w:rsidR="00AC6F8E" w:rsidRPr="00426D92">
        <w:rPr>
          <w:rFonts w:asciiTheme="minorHAnsi" w:hAnsiTheme="minorHAnsi" w:cstheme="minorHAnsi"/>
          <w:b/>
          <w:sz w:val="21"/>
          <w:szCs w:val="21"/>
        </w:rPr>
        <w:t xml:space="preserve">v únoru </w:t>
      </w:r>
      <w:r w:rsidRPr="00426D92">
        <w:rPr>
          <w:rFonts w:asciiTheme="minorHAnsi" w:hAnsiTheme="minorHAnsi" w:cstheme="minorHAnsi"/>
          <w:b/>
          <w:sz w:val="21"/>
          <w:szCs w:val="21"/>
        </w:rPr>
        <w:t>7 006 korun.</w:t>
      </w:r>
    </w:p>
    <w:p w14:paraId="7EFC17E2" w14:textId="4FE90285" w:rsidR="00BC7898" w:rsidRPr="00426D92" w:rsidRDefault="00BC7898" w:rsidP="00426D92">
      <w:pPr>
        <w:pStyle w:val="Odstavecseseznamem"/>
        <w:numPr>
          <w:ilvl w:val="0"/>
          <w:numId w:val="24"/>
        </w:numPr>
        <w:spacing w:after="120"/>
        <w:ind w:left="357" w:right="40" w:hanging="357"/>
        <w:rPr>
          <w:rFonts w:asciiTheme="minorHAnsi" w:hAnsiTheme="minorHAnsi" w:cstheme="minorHAnsi"/>
          <w:b/>
          <w:sz w:val="21"/>
          <w:szCs w:val="21"/>
        </w:rPr>
      </w:pPr>
      <w:r w:rsidRPr="00426D92">
        <w:rPr>
          <w:rFonts w:asciiTheme="minorHAnsi" w:hAnsiTheme="minorHAnsi" w:cstheme="minorHAnsi"/>
          <w:b/>
          <w:sz w:val="21"/>
          <w:szCs w:val="21"/>
        </w:rPr>
        <w:t>Novela zákona o silničním provozu přinese změny v pojištění.</w:t>
      </w:r>
    </w:p>
    <w:p w14:paraId="31E05434" w14:textId="39CA01D8" w:rsidR="00BC7898" w:rsidRPr="00426D92" w:rsidRDefault="00825B44" w:rsidP="006C0867">
      <w:pPr>
        <w:spacing w:after="120"/>
        <w:ind w:right="40"/>
        <w:jc w:val="both"/>
        <w:rPr>
          <w:rFonts w:asciiTheme="minorHAnsi" w:hAnsiTheme="minorHAnsi" w:cstheme="minorHAnsi"/>
          <w:b/>
          <w:sz w:val="21"/>
          <w:szCs w:val="21"/>
        </w:rPr>
      </w:pPr>
      <w:r w:rsidRPr="00426D92">
        <w:rPr>
          <w:rFonts w:asciiTheme="minorHAnsi" w:hAnsiTheme="minorHAnsi" w:cstheme="minorHAnsi"/>
          <w:i/>
          <w:sz w:val="21"/>
          <w:szCs w:val="21"/>
        </w:rPr>
        <w:t>Praha</w:t>
      </w:r>
      <w:r w:rsidR="004211E8">
        <w:rPr>
          <w:rFonts w:asciiTheme="minorHAnsi" w:hAnsiTheme="minorHAnsi" w:cstheme="minorHAnsi"/>
          <w:i/>
          <w:sz w:val="21"/>
          <w:szCs w:val="21"/>
        </w:rPr>
        <w:t>, 19</w:t>
      </w:r>
      <w:bookmarkStart w:id="0" w:name="_GoBack"/>
      <w:bookmarkEnd w:id="0"/>
      <w:r w:rsidR="00BC7898" w:rsidRPr="00426D92">
        <w:rPr>
          <w:rFonts w:asciiTheme="minorHAnsi" w:hAnsiTheme="minorHAnsi" w:cstheme="minorHAnsi"/>
          <w:i/>
          <w:sz w:val="21"/>
          <w:szCs w:val="21"/>
        </w:rPr>
        <w:t>. března</w:t>
      </w:r>
      <w:r w:rsidR="00AD3D91" w:rsidRPr="00426D92">
        <w:rPr>
          <w:rFonts w:asciiTheme="minorHAnsi" w:hAnsiTheme="minorHAnsi" w:cstheme="minorHAnsi"/>
          <w:i/>
          <w:sz w:val="21"/>
          <w:szCs w:val="21"/>
        </w:rPr>
        <w:t xml:space="preserve"> 2024 </w:t>
      </w:r>
      <w:r w:rsidR="00B20F7B" w:rsidRPr="00426D92">
        <w:rPr>
          <w:rFonts w:asciiTheme="minorHAnsi" w:hAnsiTheme="minorHAnsi" w:cstheme="minorHAnsi"/>
          <w:b/>
          <w:sz w:val="21"/>
          <w:szCs w:val="21"/>
        </w:rPr>
        <w:t xml:space="preserve">– </w:t>
      </w:r>
      <w:r w:rsidR="00BC7898" w:rsidRPr="00426D92">
        <w:rPr>
          <w:rFonts w:asciiTheme="minorHAnsi" w:hAnsiTheme="minorHAnsi" w:cstheme="minorHAnsi"/>
          <w:b/>
          <w:sz w:val="21"/>
          <w:szCs w:val="21"/>
        </w:rPr>
        <w:t xml:space="preserve">Průměrná cena pojištění typického vozu se oproti lednu </w:t>
      </w:r>
      <w:r w:rsidR="00AC6F8E" w:rsidRPr="00426D92">
        <w:rPr>
          <w:rFonts w:asciiTheme="minorHAnsi" w:hAnsiTheme="minorHAnsi" w:cstheme="minorHAnsi"/>
          <w:b/>
          <w:sz w:val="21"/>
          <w:szCs w:val="21"/>
        </w:rPr>
        <w:t>v minulém měsíci mírně</w:t>
      </w:r>
      <w:r w:rsidR="00BC7898" w:rsidRPr="00426D92">
        <w:rPr>
          <w:rFonts w:asciiTheme="minorHAnsi" w:hAnsiTheme="minorHAnsi" w:cstheme="minorHAnsi"/>
          <w:b/>
          <w:sz w:val="21"/>
          <w:szCs w:val="21"/>
        </w:rPr>
        <w:t xml:space="preserve"> snížila</w:t>
      </w:r>
      <w:r w:rsidR="00AC6F8E" w:rsidRPr="00426D92">
        <w:rPr>
          <w:rFonts w:asciiTheme="minorHAnsi" w:hAnsiTheme="minorHAnsi" w:cstheme="minorHAnsi"/>
          <w:b/>
          <w:sz w:val="21"/>
          <w:szCs w:val="21"/>
        </w:rPr>
        <w:t xml:space="preserve">. </w:t>
      </w:r>
      <w:r w:rsidR="00384B32" w:rsidRPr="00426D92">
        <w:rPr>
          <w:rFonts w:asciiTheme="minorHAnsi" w:hAnsiTheme="minorHAnsi" w:cstheme="minorHAnsi"/>
          <w:b/>
          <w:sz w:val="21"/>
          <w:szCs w:val="21"/>
        </w:rPr>
        <w:t xml:space="preserve">Celorepublikový průměr naměřené hodnoty </w:t>
      </w:r>
      <w:proofErr w:type="spellStart"/>
      <w:r w:rsidR="00384B32" w:rsidRPr="00426D92">
        <w:rPr>
          <w:rFonts w:asciiTheme="minorHAnsi" w:hAnsiTheme="minorHAnsi" w:cstheme="minorHAnsi"/>
          <w:b/>
          <w:sz w:val="21"/>
          <w:szCs w:val="21"/>
        </w:rPr>
        <w:t>POVIndexu</w:t>
      </w:r>
      <w:proofErr w:type="spellEnd"/>
      <w:r w:rsidR="00AC6F8E" w:rsidRPr="00426D92">
        <w:rPr>
          <w:rFonts w:asciiTheme="minorHAnsi" w:hAnsiTheme="minorHAnsi" w:cstheme="minorHAnsi"/>
          <w:b/>
          <w:sz w:val="21"/>
          <w:szCs w:val="21"/>
        </w:rPr>
        <w:t xml:space="preserve"> dosáhl hodnoty 7 006 korun, zatímco </w:t>
      </w:r>
      <w:r w:rsidR="00384B32" w:rsidRPr="00426D92">
        <w:rPr>
          <w:rFonts w:asciiTheme="minorHAnsi" w:hAnsiTheme="minorHAnsi" w:cstheme="minorHAnsi"/>
          <w:b/>
          <w:sz w:val="21"/>
          <w:szCs w:val="21"/>
        </w:rPr>
        <w:t xml:space="preserve">v lednu </w:t>
      </w:r>
      <w:r w:rsidR="00AC6F8E" w:rsidRPr="00426D92">
        <w:rPr>
          <w:rFonts w:asciiTheme="minorHAnsi" w:hAnsiTheme="minorHAnsi" w:cstheme="minorHAnsi"/>
          <w:b/>
          <w:sz w:val="21"/>
          <w:szCs w:val="21"/>
        </w:rPr>
        <w:t xml:space="preserve">byl </w:t>
      </w:r>
      <w:r w:rsidR="006C0867" w:rsidRPr="00426D92">
        <w:rPr>
          <w:rFonts w:asciiTheme="minorHAnsi" w:hAnsiTheme="minorHAnsi" w:cstheme="minorHAnsi"/>
          <w:b/>
          <w:sz w:val="21"/>
          <w:szCs w:val="21"/>
        </w:rPr>
        <w:br/>
      </w:r>
      <w:r w:rsidR="00AC6F8E" w:rsidRPr="00426D92">
        <w:rPr>
          <w:rFonts w:asciiTheme="minorHAnsi" w:hAnsiTheme="minorHAnsi" w:cstheme="minorHAnsi"/>
          <w:b/>
          <w:sz w:val="21"/>
          <w:szCs w:val="21"/>
        </w:rPr>
        <w:t>o sedmnáct korun vyšší</w:t>
      </w:r>
      <w:r w:rsidR="00384B32" w:rsidRPr="00426D92">
        <w:rPr>
          <w:rFonts w:asciiTheme="minorHAnsi" w:hAnsiTheme="minorHAnsi" w:cstheme="minorHAnsi"/>
          <w:b/>
          <w:sz w:val="21"/>
          <w:szCs w:val="21"/>
        </w:rPr>
        <w:t xml:space="preserve">. </w:t>
      </w:r>
      <w:r w:rsidR="006C0867" w:rsidRPr="00426D92">
        <w:rPr>
          <w:rFonts w:asciiTheme="minorHAnsi" w:hAnsiTheme="minorHAnsi" w:cstheme="minorHAnsi"/>
          <w:b/>
          <w:sz w:val="21"/>
          <w:szCs w:val="21"/>
        </w:rPr>
        <w:t xml:space="preserve">K mírnému meziměsíčnímu poklesu </w:t>
      </w:r>
      <w:r w:rsidR="008C55F1" w:rsidRPr="00426D92">
        <w:rPr>
          <w:rFonts w:asciiTheme="minorHAnsi" w:hAnsiTheme="minorHAnsi" w:cstheme="minorHAnsi"/>
          <w:b/>
          <w:sz w:val="21"/>
          <w:szCs w:val="21"/>
        </w:rPr>
        <w:t xml:space="preserve">ceny </w:t>
      </w:r>
      <w:r w:rsidR="006C0867" w:rsidRPr="00426D92">
        <w:rPr>
          <w:rFonts w:asciiTheme="minorHAnsi" w:hAnsiTheme="minorHAnsi" w:cstheme="minorHAnsi"/>
          <w:b/>
          <w:sz w:val="21"/>
          <w:szCs w:val="21"/>
        </w:rPr>
        <w:t>za POV došlo také v Praze, a to z</w:t>
      </w:r>
      <w:r w:rsidR="008C55F1" w:rsidRPr="00426D92">
        <w:rPr>
          <w:rFonts w:asciiTheme="minorHAnsi" w:hAnsiTheme="minorHAnsi" w:cstheme="minorHAnsi"/>
          <w:b/>
          <w:sz w:val="21"/>
          <w:szCs w:val="21"/>
        </w:rPr>
        <w:t xml:space="preserve"> hodnoty 7 779 korun na 7</w:t>
      </w:r>
      <w:r w:rsidR="00A84D63" w:rsidRPr="00426D92">
        <w:rPr>
          <w:rFonts w:asciiTheme="minorHAnsi" w:hAnsiTheme="minorHAnsi" w:cstheme="minorHAnsi"/>
          <w:b/>
          <w:sz w:val="21"/>
          <w:szCs w:val="21"/>
        </w:rPr>
        <w:t> </w:t>
      </w:r>
      <w:r w:rsidR="008C55F1" w:rsidRPr="00426D92">
        <w:rPr>
          <w:rFonts w:asciiTheme="minorHAnsi" w:hAnsiTheme="minorHAnsi" w:cstheme="minorHAnsi"/>
          <w:b/>
          <w:sz w:val="21"/>
          <w:szCs w:val="21"/>
        </w:rPr>
        <w:t>738</w:t>
      </w:r>
      <w:r w:rsidR="00A84D63" w:rsidRPr="00426D92">
        <w:rPr>
          <w:rFonts w:asciiTheme="minorHAnsi" w:hAnsiTheme="minorHAnsi" w:cstheme="minorHAnsi"/>
          <w:b/>
          <w:sz w:val="21"/>
          <w:szCs w:val="21"/>
        </w:rPr>
        <w:t> </w:t>
      </w:r>
      <w:r w:rsidR="006C0867" w:rsidRPr="00426D92">
        <w:rPr>
          <w:rFonts w:asciiTheme="minorHAnsi" w:hAnsiTheme="minorHAnsi" w:cstheme="minorHAnsi"/>
          <w:b/>
          <w:sz w:val="21"/>
          <w:szCs w:val="21"/>
        </w:rPr>
        <w:t>korun. V Benešově u Prahy oproti tomu cena naopak vzrostla o sedm korun. Od nového roku platí pro řidiče řada změn, například penalizace přestupků se řeší novým bodovým systémem</w:t>
      </w:r>
      <w:r w:rsidR="008C55F1" w:rsidRPr="00426D92">
        <w:rPr>
          <w:rFonts w:asciiTheme="minorHAnsi" w:hAnsiTheme="minorHAnsi" w:cstheme="minorHAnsi"/>
          <w:b/>
          <w:sz w:val="21"/>
          <w:szCs w:val="21"/>
        </w:rPr>
        <w:t>.</w:t>
      </w:r>
    </w:p>
    <w:p w14:paraId="2063A3E4" w14:textId="0DCC5FD6" w:rsidR="00A3558D" w:rsidRPr="00A3558D" w:rsidRDefault="00120E75" w:rsidP="006C0867">
      <w:pPr>
        <w:spacing w:after="120"/>
        <w:ind w:right="40"/>
        <w:jc w:val="both"/>
        <w:rPr>
          <w:rFonts w:asciiTheme="minorHAnsi" w:hAnsiTheme="minorHAnsi" w:cstheme="minorHAnsi"/>
          <w:sz w:val="21"/>
          <w:szCs w:val="21"/>
        </w:rPr>
      </w:pPr>
      <w:r>
        <w:rPr>
          <w:rFonts w:asciiTheme="minorHAnsi" w:hAnsiTheme="minorHAnsi" w:cstheme="minorHAnsi"/>
          <w:sz w:val="21"/>
          <w:szCs w:val="21"/>
        </w:rPr>
        <w:t>„</w:t>
      </w:r>
      <w:r w:rsidRPr="00120E75">
        <w:rPr>
          <w:rFonts w:asciiTheme="minorHAnsi" w:hAnsiTheme="minorHAnsi" w:cstheme="minorHAnsi"/>
          <w:i/>
          <w:sz w:val="21"/>
          <w:szCs w:val="21"/>
        </w:rPr>
        <w:t>O</w:t>
      </w:r>
      <w:r w:rsidR="00A3558D" w:rsidRPr="00120E75">
        <w:rPr>
          <w:rFonts w:asciiTheme="minorHAnsi" w:hAnsiTheme="minorHAnsi" w:cstheme="minorHAnsi"/>
          <w:i/>
          <w:sz w:val="21"/>
          <w:szCs w:val="21"/>
        </w:rPr>
        <w:t xml:space="preserve">d konce minulého roku dochází k velmi pozvolnému poklesu hodnot Broker Consulting </w:t>
      </w:r>
      <w:proofErr w:type="spellStart"/>
      <w:r w:rsidR="00A3558D" w:rsidRPr="00120E75">
        <w:rPr>
          <w:rFonts w:asciiTheme="minorHAnsi" w:hAnsiTheme="minorHAnsi" w:cstheme="minorHAnsi"/>
          <w:i/>
          <w:sz w:val="21"/>
          <w:szCs w:val="21"/>
        </w:rPr>
        <w:t>POVIndexu</w:t>
      </w:r>
      <w:proofErr w:type="spellEnd"/>
      <w:r w:rsidR="00A3558D" w:rsidRPr="00120E75">
        <w:rPr>
          <w:rFonts w:asciiTheme="minorHAnsi" w:hAnsiTheme="minorHAnsi" w:cstheme="minorHAnsi"/>
          <w:i/>
          <w:sz w:val="21"/>
          <w:szCs w:val="21"/>
        </w:rPr>
        <w:t>. Zatímco v prosinci byla hodnota na 7 137 korunách, letos v únoru poklesla k 7 006 korunám</w:t>
      </w:r>
      <w:r>
        <w:rPr>
          <w:rFonts w:asciiTheme="minorHAnsi" w:hAnsiTheme="minorHAnsi" w:cstheme="minorHAnsi"/>
          <w:sz w:val="21"/>
          <w:szCs w:val="21"/>
        </w:rPr>
        <w:t xml:space="preserve">,“ </w:t>
      </w:r>
      <w:r w:rsidRPr="00120E75">
        <w:rPr>
          <w:rFonts w:asciiTheme="minorHAnsi" w:hAnsiTheme="minorHAnsi" w:cstheme="minorHAnsi"/>
          <w:b/>
          <w:sz w:val="21"/>
          <w:szCs w:val="21"/>
        </w:rPr>
        <w:t>říká Jiří Váchal, analytik neživotního pojištění z </w:t>
      </w:r>
      <w:proofErr w:type="gramStart"/>
      <w:r w:rsidRPr="00120E75">
        <w:rPr>
          <w:rFonts w:asciiTheme="minorHAnsi" w:hAnsiTheme="minorHAnsi" w:cstheme="minorHAnsi"/>
          <w:b/>
          <w:sz w:val="21"/>
          <w:szCs w:val="21"/>
        </w:rPr>
        <w:t>Broker</w:t>
      </w:r>
      <w:proofErr w:type="gramEnd"/>
      <w:r w:rsidRPr="00120E75">
        <w:rPr>
          <w:rFonts w:asciiTheme="minorHAnsi" w:hAnsiTheme="minorHAnsi" w:cstheme="minorHAnsi"/>
          <w:b/>
          <w:sz w:val="21"/>
          <w:szCs w:val="21"/>
        </w:rPr>
        <w:t xml:space="preserve"> Consulting</w:t>
      </w:r>
      <w:r>
        <w:rPr>
          <w:rFonts w:asciiTheme="minorHAnsi" w:hAnsiTheme="minorHAnsi" w:cstheme="minorHAnsi"/>
          <w:sz w:val="21"/>
          <w:szCs w:val="21"/>
        </w:rPr>
        <w:t>.</w:t>
      </w:r>
      <w:r w:rsidR="00A3558D">
        <w:rPr>
          <w:rFonts w:asciiTheme="minorHAnsi" w:hAnsiTheme="minorHAnsi" w:cstheme="minorHAnsi"/>
          <w:sz w:val="21"/>
          <w:szCs w:val="21"/>
        </w:rPr>
        <w:t xml:space="preserve"> </w:t>
      </w:r>
      <w:r>
        <w:rPr>
          <w:rFonts w:asciiTheme="minorHAnsi" w:hAnsiTheme="minorHAnsi" w:cstheme="minorHAnsi"/>
          <w:sz w:val="21"/>
          <w:szCs w:val="21"/>
        </w:rPr>
        <w:t>V horizontu dvou měsíců jde tedy</w:t>
      </w:r>
      <w:r w:rsidR="00A3558D">
        <w:rPr>
          <w:rFonts w:asciiTheme="minorHAnsi" w:hAnsiTheme="minorHAnsi" w:cstheme="minorHAnsi"/>
          <w:sz w:val="21"/>
          <w:szCs w:val="21"/>
        </w:rPr>
        <w:t xml:space="preserve"> o více než 130</w:t>
      </w:r>
      <w:r>
        <w:rPr>
          <w:rFonts w:asciiTheme="minorHAnsi" w:hAnsiTheme="minorHAnsi" w:cstheme="minorHAnsi"/>
          <w:sz w:val="21"/>
          <w:szCs w:val="21"/>
        </w:rPr>
        <w:t xml:space="preserve"> </w:t>
      </w:r>
      <w:r w:rsidR="00A3558D">
        <w:rPr>
          <w:rFonts w:asciiTheme="minorHAnsi" w:hAnsiTheme="minorHAnsi" w:cstheme="minorHAnsi"/>
          <w:sz w:val="21"/>
          <w:szCs w:val="21"/>
        </w:rPr>
        <w:t>korun</w:t>
      </w:r>
      <w:r>
        <w:rPr>
          <w:rFonts w:asciiTheme="minorHAnsi" w:hAnsiTheme="minorHAnsi" w:cstheme="minorHAnsi"/>
          <w:sz w:val="21"/>
          <w:szCs w:val="21"/>
        </w:rPr>
        <w:t>ový pokles</w:t>
      </w:r>
      <w:r w:rsidR="00A3558D">
        <w:rPr>
          <w:rFonts w:asciiTheme="minorHAnsi" w:hAnsiTheme="minorHAnsi" w:cstheme="minorHAnsi"/>
          <w:sz w:val="21"/>
          <w:szCs w:val="21"/>
        </w:rPr>
        <w:t xml:space="preserve">. Oproti lednu </w:t>
      </w:r>
      <w:r>
        <w:rPr>
          <w:rFonts w:asciiTheme="minorHAnsi" w:hAnsiTheme="minorHAnsi" w:cstheme="minorHAnsi"/>
          <w:sz w:val="21"/>
          <w:szCs w:val="21"/>
        </w:rPr>
        <w:t xml:space="preserve">není změna hodnot tolik výrazná, v rámci celorepublikového průměru se cena povinného ručení snížila celých o sedmnáct korun. </w:t>
      </w:r>
    </w:p>
    <w:p w14:paraId="73B3A5C0" w14:textId="3B6BA47D" w:rsidR="00A83718" w:rsidRDefault="00A3558D" w:rsidP="00EE5F0F">
      <w:pPr>
        <w:spacing w:after="120"/>
        <w:ind w:right="40"/>
        <w:jc w:val="both"/>
        <w:rPr>
          <w:rFonts w:asciiTheme="minorHAnsi" w:hAnsiTheme="minorHAnsi" w:cstheme="minorHAnsi"/>
          <w:color w:val="000000"/>
          <w:sz w:val="21"/>
          <w:szCs w:val="21"/>
        </w:rPr>
      </w:pPr>
      <w:r>
        <w:rPr>
          <w:rFonts w:asciiTheme="minorHAnsi" w:hAnsiTheme="minorHAnsi" w:cstheme="minorHAnsi"/>
          <w:color w:val="000000"/>
          <w:sz w:val="21"/>
          <w:szCs w:val="21"/>
        </w:rPr>
        <w:t>Při pohledu na meziroční</w:t>
      </w:r>
      <w:r w:rsidR="00964DB6" w:rsidRPr="00EE5F0F">
        <w:rPr>
          <w:rFonts w:asciiTheme="minorHAnsi" w:hAnsiTheme="minorHAnsi" w:cstheme="minorHAnsi"/>
          <w:color w:val="000000"/>
          <w:sz w:val="21"/>
          <w:szCs w:val="21"/>
        </w:rPr>
        <w:t xml:space="preserve"> srovnání všech únorových hodnot Broker Consulting </w:t>
      </w:r>
      <w:proofErr w:type="spellStart"/>
      <w:r w:rsidR="00964DB6" w:rsidRPr="00EE5F0F">
        <w:rPr>
          <w:rFonts w:asciiTheme="minorHAnsi" w:hAnsiTheme="minorHAnsi" w:cstheme="minorHAnsi"/>
          <w:color w:val="000000"/>
          <w:sz w:val="21"/>
          <w:szCs w:val="21"/>
        </w:rPr>
        <w:t>POVIndexu</w:t>
      </w:r>
      <w:proofErr w:type="spellEnd"/>
      <w:r w:rsidR="00964DB6" w:rsidRPr="00EE5F0F">
        <w:rPr>
          <w:rFonts w:asciiTheme="minorHAnsi" w:hAnsiTheme="minorHAnsi" w:cstheme="minorHAnsi"/>
          <w:color w:val="000000"/>
          <w:sz w:val="21"/>
          <w:szCs w:val="21"/>
        </w:rPr>
        <w:t xml:space="preserve"> od počátku měření ukazuje, že doposud nejvyšší hodnotou byla hned ta vstupní, která v roce 2020 do</w:t>
      </w:r>
      <w:r w:rsidR="00A2161C" w:rsidRPr="00EE5F0F">
        <w:rPr>
          <w:rFonts w:asciiTheme="minorHAnsi" w:hAnsiTheme="minorHAnsi" w:cstheme="minorHAnsi"/>
          <w:color w:val="000000"/>
          <w:sz w:val="21"/>
          <w:szCs w:val="21"/>
        </w:rPr>
        <w:t>sáhla hodnoty</w:t>
      </w:r>
      <w:r w:rsidR="00964DB6" w:rsidRPr="00EE5F0F">
        <w:rPr>
          <w:rFonts w:asciiTheme="minorHAnsi" w:hAnsiTheme="minorHAnsi" w:cstheme="minorHAnsi"/>
          <w:color w:val="000000"/>
          <w:sz w:val="21"/>
          <w:szCs w:val="21"/>
        </w:rPr>
        <w:t xml:space="preserve"> 6 779 </w:t>
      </w:r>
      <w:r w:rsidR="00A2161C" w:rsidRPr="00EE5F0F">
        <w:rPr>
          <w:rFonts w:asciiTheme="minorHAnsi" w:hAnsiTheme="minorHAnsi" w:cstheme="minorHAnsi"/>
          <w:color w:val="000000"/>
          <w:sz w:val="21"/>
          <w:szCs w:val="21"/>
        </w:rPr>
        <w:t>korun. Letošní únor však tuto hodnotu překonal, cena povinného ručení se zastavila na 7 006 korunách. Následuje loňský únor s 6 744 korunami, poté únor 2021 s 6 682 korunami a nejlevnější cena povinného ručení byla evidována v roce 2021, a to 6 682 korun.</w:t>
      </w:r>
    </w:p>
    <w:p w14:paraId="50922E06" w14:textId="686EFA64" w:rsidR="00EE5F0F" w:rsidRPr="00EE5F0F" w:rsidRDefault="00EE5F0F" w:rsidP="00EE5F0F">
      <w:pPr>
        <w:spacing w:after="240"/>
        <w:ind w:right="130"/>
        <w:jc w:val="both"/>
        <w:rPr>
          <w:rFonts w:asciiTheme="minorHAnsi" w:hAnsiTheme="minorHAnsi" w:cstheme="minorHAnsi"/>
          <w:sz w:val="21"/>
          <w:szCs w:val="21"/>
        </w:rPr>
      </w:pPr>
      <w:r w:rsidRPr="00EE5F0F">
        <w:rPr>
          <w:rFonts w:asciiTheme="minorHAnsi" w:hAnsiTheme="minorHAnsi" w:cstheme="minorHAnsi"/>
          <w:i/>
          <w:sz w:val="21"/>
          <w:szCs w:val="21"/>
        </w:rPr>
        <w:t>„Průměrná cena povinného ručení se za poslední tři roky v Praze zvyšuje. Zatímco v roce 2022 zaplatili řidiči za pojištění 7 275 korun, o rok později, v roce 2023, to bylo 7 395 korun. Průměrnou cenu pojištění v </w:t>
      </w:r>
      <w:r w:rsidR="00120E75">
        <w:rPr>
          <w:rFonts w:asciiTheme="minorHAnsi" w:hAnsiTheme="minorHAnsi" w:cstheme="minorHAnsi"/>
          <w:i/>
          <w:sz w:val="21"/>
          <w:szCs w:val="21"/>
        </w:rPr>
        <w:t>Praze</w:t>
      </w:r>
      <w:r w:rsidRPr="00EE5F0F">
        <w:rPr>
          <w:rFonts w:asciiTheme="minorHAnsi" w:hAnsiTheme="minorHAnsi" w:cstheme="minorHAnsi"/>
          <w:i/>
          <w:sz w:val="21"/>
          <w:szCs w:val="21"/>
        </w:rPr>
        <w:t xml:space="preserve"> překonal pouze rok 2020 se svými 7 646 korunami, a také </w:t>
      </w:r>
      <w:r w:rsidR="00120E75">
        <w:rPr>
          <w:rFonts w:asciiTheme="minorHAnsi" w:hAnsiTheme="minorHAnsi" w:cstheme="minorHAnsi"/>
          <w:i/>
          <w:sz w:val="21"/>
          <w:szCs w:val="21"/>
        </w:rPr>
        <w:t>rok letošní</w:t>
      </w:r>
      <w:r w:rsidRPr="00EE5F0F">
        <w:rPr>
          <w:rFonts w:asciiTheme="minorHAnsi" w:hAnsiTheme="minorHAnsi" w:cstheme="minorHAnsi"/>
          <w:i/>
          <w:sz w:val="21"/>
          <w:szCs w:val="21"/>
        </w:rPr>
        <w:t xml:space="preserve"> se 7 738 korunami,“</w:t>
      </w:r>
      <w:r w:rsidRPr="00EE5F0F">
        <w:rPr>
          <w:rFonts w:asciiTheme="minorHAnsi" w:hAnsiTheme="minorHAnsi" w:cstheme="minorHAnsi"/>
          <w:sz w:val="21"/>
          <w:szCs w:val="21"/>
        </w:rPr>
        <w:t xml:space="preserve"> </w:t>
      </w:r>
      <w:r w:rsidR="00120E75">
        <w:rPr>
          <w:rFonts w:asciiTheme="minorHAnsi" w:hAnsiTheme="minorHAnsi" w:cstheme="minorHAnsi"/>
          <w:i/>
          <w:sz w:val="21"/>
          <w:szCs w:val="21"/>
        </w:rPr>
        <w:t>dodává</w:t>
      </w:r>
      <w:r w:rsidR="00120E75">
        <w:rPr>
          <w:rFonts w:asciiTheme="minorHAnsi" w:hAnsiTheme="minorHAnsi" w:cstheme="minorHAnsi"/>
          <w:b/>
          <w:bCs/>
          <w:i/>
          <w:sz w:val="21"/>
          <w:szCs w:val="21"/>
        </w:rPr>
        <w:t xml:space="preserve"> </w:t>
      </w:r>
      <w:r w:rsidRPr="00EE5F0F">
        <w:rPr>
          <w:rFonts w:asciiTheme="minorHAnsi" w:hAnsiTheme="minorHAnsi" w:cstheme="minorHAnsi"/>
          <w:b/>
          <w:bCs/>
          <w:i/>
          <w:sz w:val="21"/>
          <w:szCs w:val="21"/>
        </w:rPr>
        <w:t>Jiří Váchal.</w:t>
      </w:r>
    </w:p>
    <w:p w14:paraId="1AFC3326" w14:textId="78CD76DD" w:rsidR="00EE5F0F" w:rsidRPr="00EE5F0F" w:rsidRDefault="00EE5F0F" w:rsidP="00426D92">
      <w:pPr>
        <w:spacing w:after="120"/>
        <w:ind w:right="40"/>
        <w:jc w:val="center"/>
        <w:rPr>
          <w:rFonts w:asciiTheme="minorHAnsi" w:hAnsiTheme="minorHAnsi" w:cstheme="minorHAnsi"/>
          <w:sz w:val="21"/>
          <w:szCs w:val="21"/>
        </w:rPr>
      </w:pPr>
      <w:r>
        <w:rPr>
          <w:rFonts w:asciiTheme="minorHAnsi" w:hAnsiTheme="minorHAnsi" w:cstheme="minorHAnsi"/>
          <w:i/>
          <w:noProof/>
          <w:color w:val="FF0000"/>
          <w:sz w:val="21"/>
          <w:szCs w:val="21"/>
          <w:lang w:bidi="ar-SA"/>
        </w:rPr>
        <w:drawing>
          <wp:inline distT="0" distB="0" distL="0" distR="0" wp14:anchorId="3FA6E625" wp14:editId="4CCA4AEE">
            <wp:extent cx="6197600" cy="279036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_BC_POVIndex_-_únor_2024.jpg"/>
                    <pic:cNvPicPr/>
                  </pic:nvPicPr>
                  <pic:blipFill>
                    <a:blip r:embed="rId17">
                      <a:extLst>
                        <a:ext uri="{28A0092B-C50C-407E-A947-70E740481C1C}">
                          <a14:useLocalDpi xmlns:a14="http://schemas.microsoft.com/office/drawing/2010/main" val="0"/>
                        </a:ext>
                      </a:extLst>
                    </a:blip>
                    <a:stretch>
                      <a:fillRect/>
                    </a:stretch>
                  </pic:blipFill>
                  <pic:spPr>
                    <a:xfrm>
                      <a:off x="0" y="0"/>
                      <a:ext cx="6218515" cy="2799786"/>
                    </a:xfrm>
                    <a:prstGeom prst="rect">
                      <a:avLst/>
                    </a:prstGeom>
                  </pic:spPr>
                </pic:pic>
              </a:graphicData>
            </a:graphic>
          </wp:inline>
        </w:drawing>
      </w:r>
    </w:p>
    <w:p w14:paraId="0FB3253F" w14:textId="668704BB" w:rsidR="00540A5E" w:rsidRPr="00EE591F" w:rsidRDefault="006534D3" w:rsidP="00426D92">
      <w:pPr>
        <w:spacing w:after="120"/>
        <w:jc w:val="both"/>
        <w:rPr>
          <w:rFonts w:asciiTheme="minorHAnsi" w:hAnsiTheme="minorHAnsi" w:cstheme="minorHAnsi"/>
          <w:sz w:val="21"/>
          <w:szCs w:val="21"/>
        </w:rPr>
      </w:pPr>
      <w:r w:rsidRPr="00EE5F0F">
        <w:rPr>
          <w:rFonts w:asciiTheme="minorHAnsi" w:hAnsiTheme="minorHAnsi" w:cstheme="minorHAnsi"/>
          <w:sz w:val="21"/>
          <w:szCs w:val="21"/>
        </w:rPr>
        <w:t>Ve středočeském Benešově je situace obdobná. Za poslední tři roky je zaznamenán nárůst cen</w:t>
      </w:r>
      <w:r w:rsidR="00087ACF" w:rsidRPr="00EE5F0F">
        <w:rPr>
          <w:rFonts w:asciiTheme="minorHAnsi" w:hAnsiTheme="minorHAnsi" w:cstheme="minorHAnsi"/>
          <w:sz w:val="21"/>
          <w:szCs w:val="21"/>
        </w:rPr>
        <w:t xml:space="preserve"> povinného ručení</w:t>
      </w:r>
      <w:r w:rsidRPr="00EE5F0F">
        <w:rPr>
          <w:rFonts w:asciiTheme="minorHAnsi" w:hAnsiTheme="minorHAnsi" w:cstheme="minorHAnsi"/>
          <w:sz w:val="21"/>
          <w:szCs w:val="21"/>
        </w:rPr>
        <w:t xml:space="preserve">, a to z 5 656 korun v roce 2022, přes 6 093 korun v roce 2023, až po konečných 6 274 korun </w:t>
      </w:r>
      <w:r w:rsidR="00087ACF" w:rsidRPr="00EE5F0F">
        <w:rPr>
          <w:rFonts w:asciiTheme="minorHAnsi" w:hAnsiTheme="minorHAnsi" w:cstheme="minorHAnsi"/>
          <w:sz w:val="21"/>
          <w:szCs w:val="21"/>
        </w:rPr>
        <w:t>v letošním roce. V roce 2020 a 2021 se ceny pojištění pohybovaly po</w:t>
      </w:r>
      <w:r w:rsidR="00120E75">
        <w:rPr>
          <w:rFonts w:asciiTheme="minorHAnsi" w:hAnsiTheme="minorHAnsi" w:cstheme="minorHAnsi"/>
          <w:sz w:val="21"/>
          <w:szCs w:val="21"/>
        </w:rPr>
        <w:t>d pětiletým průměrem, který</w:t>
      </w:r>
      <w:r w:rsidR="00087ACF" w:rsidRPr="00EE5F0F">
        <w:rPr>
          <w:rFonts w:asciiTheme="minorHAnsi" w:hAnsiTheme="minorHAnsi" w:cstheme="minorHAnsi"/>
          <w:sz w:val="21"/>
          <w:szCs w:val="21"/>
        </w:rPr>
        <w:t xml:space="preserve"> po zaokrouhlení </w:t>
      </w:r>
      <w:r w:rsidR="00120E75">
        <w:rPr>
          <w:rFonts w:asciiTheme="minorHAnsi" w:hAnsiTheme="minorHAnsi" w:cstheme="minorHAnsi"/>
          <w:sz w:val="21"/>
          <w:szCs w:val="21"/>
        </w:rPr>
        <w:t xml:space="preserve">činí </w:t>
      </w:r>
      <w:r w:rsidR="00087ACF" w:rsidRPr="00EE5F0F">
        <w:rPr>
          <w:rFonts w:asciiTheme="minorHAnsi" w:hAnsiTheme="minorHAnsi" w:cstheme="minorHAnsi"/>
          <w:sz w:val="21"/>
          <w:szCs w:val="21"/>
        </w:rPr>
        <w:t>6 006 korun. Konkrétně to v roce 2020 bylo 5 911 korun a následující rok 5 </w:t>
      </w:r>
      <w:r w:rsidR="00A84D63" w:rsidRPr="00EE5F0F">
        <w:rPr>
          <w:rFonts w:asciiTheme="minorHAnsi" w:hAnsiTheme="minorHAnsi" w:cstheme="minorHAnsi"/>
          <w:sz w:val="21"/>
          <w:szCs w:val="21"/>
        </w:rPr>
        <w:t>972</w:t>
      </w:r>
      <w:r w:rsidR="00087ACF" w:rsidRPr="00EE5F0F">
        <w:rPr>
          <w:rFonts w:asciiTheme="minorHAnsi" w:hAnsiTheme="minorHAnsi" w:cstheme="minorHAnsi"/>
          <w:sz w:val="21"/>
          <w:szCs w:val="21"/>
        </w:rPr>
        <w:t xml:space="preserve"> korun.</w:t>
      </w:r>
    </w:p>
    <w:p w14:paraId="7B082D25" w14:textId="4FE05DFB" w:rsidR="00964DB6" w:rsidRPr="00E211E6" w:rsidRDefault="00426D92" w:rsidP="00426D92">
      <w:pPr>
        <w:spacing w:after="24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br/>
      </w:r>
      <w:r>
        <w:rPr>
          <w:rFonts w:asciiTheme="minorHAnsi" w:hAnsiTheme="minorHAnsi" w:cstheme="minorHAnsi"/>
          <w:b/>
          <w:bCs/>
          <w:color w:val="4F81BD" w:themeColor="accent1"/>
          <w:sz w:val="21"/>
          <w:szCs w:val="21"/>
        </w:rPr>
        <w:br/>
      </w:r>
      <w:r w:rsidR="00964DB6">
        <w:rPr>
          <w:rFonts w:asciiTheme="minorHAnsi" w:hAnsiTheme="minorHAnsi" w:cstheme="minorHAnsi"/>
          <w:b/>
          <w:bCs/>
          <w:color w:val="4F81BD" w:themeColor="accent1"/>
          <w:sz w:val="21"/>
          <w:szCs w:val="21"/>
        </w:rPr>
        <w:lastRenderedPageBreak/>
        <w:t>BOX: Únorové</w:t>
      </w:r>
      <w:r w:rsidR="00964DB6" w:rsidRPr="00E211E6">
        <w:rPr>
          <w:rFonts w:asciiTheme="minorHAnsi" w:hAnsiTheme="minorHAnsi" w:cstheme="minorHAnsi"/>
          <w:b/>
          <w:bCs/>
          <w:color w:val="4F81BD" w:themeColor="accent1"/>
          <w:sz w:val="21"/>
          <w:szCs w:val="21"/>
        </w:rPr>
        <w:t xml:space="preserve"> hodnoty Broker Consulting </w:t>
      </w:r>
      <w:proofErr w:type="spellStart"/>
      <w:r w:rsidR="00964DB6" w:rsidRPr="00E211E6">
        <w:rPr>
          <w:rFonts w:asciiTheme="minorHAnsi" w:hAnsiTheme="minorHAnsi" w:cstheme="minorHAnsi"/>
          <w:b/>
          <w:bCs/>
          <w:color w:val="4F81BD" w:themeColor="accent1"/>
          <w:sz w:val="21"/>
          <w:szCs w:val="21"/>
        </w:rPr>
        <w:t>POVIndexu</w:t>
      </w:r>
      <w:proofErr w:type="spellEnd"/>
      <w:r w:rsidR="00964DB6">
        <w:rPr>
          <w:rFonts w:asciiTheme="minorHAnsi" w:hAnsiTheme="minorHAnsi" w:cstheme="minorHAnsi"/>
          <w:b/>
          <w:bCs/>
          <w:color w:val="4F81BD" w:themeColor="accent1"/>
          <w:sz w:val="21"/>
          <w:szCs w:val="21"/>
        </w:rPr>
        <w:t xml:space="preserve"> (celorepublikový průměr)</w:t>
      </w:r>
    </w:p>
    <w:tbl>
      <w:tblPr>
        <w:tblStyle w:val="Mkatabulky"/>
        <w:tblW w:w="0" w:type="auto"/>
        <w:tblLook w:val="04A0" w:firstRow="1" w:lastRow="0" w:firstColumn="1" w:lastColumn="0" w:noHBand="0" w:noVBand="1"/>
      </w:tblPr>
      <w:tblGrid>
        <w:gridCol w:w="3172"/>
        <w:gridCol w:w="2675"/>
      </w:tblGrid>
      <w:tr w:rsidR="00964DB6" w:rsidRPr="00E211E6" w14:paraId="229F583C" w14:textId="77777777" w:rsidTr="00426D92">
        <w:trPr>
          <w:trHeight w:val="284"/>
        </w:trPr>
        <w:tc>
          <w:tcPr>
            <w:tcW w:w="3172" w:type="dxa"/>
          </w:tcPr>
          <w:p w14:paraId="03B8E6BF" w14:textId="77777777" w:rsidR="00964DB6" w:rsidRPr="00E211E6" w:rsidRDefault="00964DB6" w:rsidP="00426D92">
            <w:pPr>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2675" w:type="dxa"/>
          </w:tcPr>
          <w:p w14:paraId="6778DC11" w14:textId="77777777" w:rsidR="00964DB6" w:rsidRPr="00E211E6" w:rsidRDefault="00964DB6" w:rsidP="00426D92">
            <w:pPr>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964DB6" w:rsidRPr="00E211E6" w14:paraId="5666F682" w14:textId="77777777" w:rsidTr="00426D92">
        <w:trPr>
          <w:trHeight w:val="284"/>
        </w:trPr>
        <w:tc>
          <w:tcPr>
            <w:tcW w:w="3172" w:type="dxa"/>
          </w:tcPr>
          <w:p w14:paraId="5608CA64" w14:textId="77777777" w:rsidR="00964DB6" w:rsidRPr="00E211E6" w:rsidRDefault="00964DB6" w:rsidP="00426D92">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2020</w:t>
            </w:r>
          </w:p>
        </w:tc>
        <w:tc>
          <w:tcPr>
            <w:tcW w:w="2675" w:type="dxa"/>
          </w:tcPr>
          <w:p w14:paraId="2A493AF1" w14:textId="77777777" w:rsidR="00964DB6" w:rsidRPr="00E211E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6 779</w:t>
            </w:r>
            <w:r w:rsidRPr="00E211E6">
              <w:rPr>
                <w:rFonts w:asciiTheme="minorHAnsi" w:hAnsiTheme="minorHAnsi" w:cstheme="minorHAnsi"/>
                <w:color w:val="4F81BD" w:themeColor="accent1"/>
                <w:sz w:val="21"/>
                <w:szCs w:val="21"/>
              </w:rPr>
              <w:t xml:space="preserve"> Kč</w:t>
            </w:r>
          </w:p>
        </w:tc>
      </w:tr>
      <w:tr w:rsidR="00964DB6" w:rsidRPr="00E211E6" w14:paraId="33D39775" w14:textId="77777777" w:rsidTr="00426D92">
        <w:trPr>
          <w:trHeight w:val="284"/>
        </w:trPr>
        <w:tc>
          <w:tcPr>
            <w:tcW w:w="3172" w:type="dxa"/>
          </w:tcPr>
          <w:p w14:paraId="470BB397" w14:textId="77777777" w:rsidR="00964DB6" w:rsidRPr="00E211E6" w:rsidRDefault="00964DB6" w:rsidP="00426D92">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2021</w:t>
            </w:r>
          </w:p>
        </w:tc>
        <w:tc>
          <w:tcPr>
            <w:tcW w:w="2675" w:type="dxa"/>
          </w:tcPr>
          <w:p w14:paraId="26F583F2" w14:textId="77777777" w:rsidR="00964DB6" w:rsidRPr="00E211E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6 682 Kč</w:t>
            </w:r>
          </w:p>
        </w:tc>
      </w:tr>
      <w:tr w:rsidR="00964DB6" w:rsidRPr="00E211E6" w14:paraId="3C0B0C17" w14:textId="77777777" w:rsidTr="00426D92">
        <w:trPr>
          <w:trHeight w:val="284"/>
        </w:trPr>
        <w:tc>
          <w:tcPr>
            <w:tcW w:w="3172" w:type="dxa"/>
          </w:tcPr>
          <w:p w14:paraId="5766345A" w14:textId="77777777" w:rsidR="00964DB6" w:rsidRPr="00E211E6" w:rsidRDefault="00964DB6" w:rsidP="00426D92">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2675" w:type="dxa"/>
          </w:tcPr>
          <w:p w14:paraId="06F33A2A" w14:textId="77777777" w:rsidR="00964DB6" w:rsidRPr="00E211E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6 466 Kč</w:t>
            </w:r>
          </w:p>
        </w:tc>
      </w:tr>
      <w:tr w:rsidR="00964DB6" w:rsidRPr="00E211E6" w14:paraId="75F002B3" w14:textId="77777777" w:rsidTr="00426D92">
        <w:trPr>
          <w:trHeight w:val="284"/>
        </w:trPr>
        <w:tc>
          <w:tcPr>
            <w:tcW w:w="3172" w:type="dxa"/>
          </w:tcPr>
          <w:p w14:paraId="0EDB95FE" w14:textId="77777777" w:rsidR="00964DB6" w:rsidRPr="00E211E6" w:rsidRDefault="00964DB6" w:rsidP="00426D92">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2023</w:t>
            </w:r>
          </w:p>
        </w:tc>
        <w:tc>
          <w:tcPr>
            <w:tcW w:w="2675" w:type="dxa"/>
          </w:tcPr>
          <w:p w14:paraId="1915D744" w14:textId="77777777" w:rsidR="00964DB6" w:rsidRPr="00E211E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6 744</w:t>
            </w:r>
            <w:r w:rsidRPr="00E211E6">
              <w:rPr>
                <w:rFonts w:asciiTheme="minorHAnsi" w:hAnsiTheme="minorHAnsi" w:cstheme="minorHAnsi"/>
                <w:color w:val="4F81BD" w:themeColor="accent1"/>
                <w:sz w:val="21"/>
                <w:szCs w:val="21"/>
              </w:rPr>
              <w:t xml:space="preserve"> Kč</w:t>
            </w:r>
          </w:p>
        </w:tc>
      </w:tr>
      <w:tr w:rsidR="00964DB6" w:rsidRPr="00E211E6" w14:paraId="3928C0E6" w14:textId="77777777" w:rsidTr="00426D92">
        <w:trPr>
          <w:trHeight w:val="284"/>
        </w:trPr>
        <w:tc>
          <w:tcPr>
            <w:tcW w:w="3172" w:type="dxa"/>
          </w:tcPr>
          <w:p w14:paraId="13A4734F" w14:textId="77777777" w:rsidR="00964DB6" w:rsidRDefault="00964DB6" w:rsidP="00426D92">
            <w:pPr>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2024 </w:t>
            </w:r>
          </w:p>
        </w:tc>
        <w:tc>
          <w:tcPr>
            <w:tcW w:w="2675" w:type="dxa"/>
          </w:tcPr>
          <w:p w14:paraId="26E84EEE" w14:textId="77777777" w:rsidR="00964DB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7 006 Kč</w:t>
            </w:r>
          </w:p>
        </w:tc>
      </w:tr>
      <w:tr w:rsidR="00964DB6" w:rsidRPr="00E211E6" w14:paraId="09EE7285" w14:textId="77777777" w:rsidTr="00426D92">
        <w:trPr>
          <w:trHeight w:val="284"/>
        </w:trPr>
        <w:tc>
          <w:tcPr>
            <w:tcW w:w="3172" w:type="dxa"/>
          </w:tcPr>
          <w:p w14:paraId="6B7D197C" w14:textId="77777777" w:rsidR="00964DB6" w:rsidRPr="00E211E6" w:rsidRDefault="00964DB6" w:rsidP="00426D92">
            <w:pPr>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2675" w:type="dxa"/>
          </w:tcPr>
          <w:p w14:paraId="39479366" w14:textId="77777777" w:rsidR="00964DB6" w:rsidRPr="00E211E6" w:rsidRDefault="00964DB6" w:rsidP="00426D92">
            <w:pPr>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6 762,30</w:t>
            </w:r>
            <w:r w:rsidRPr="00E211E6">
              <w:rPr>
                <w:rFonts w:asciiTheme="minorHAnsi" w:hAnsiTheme="minorHAnsi" w:cstheme="minorHAnsi"/>
                <w:color w:val="4F81BD" w:themeColor="accent1"/>
                <w:sz w:val="21"/>
                <w:szCs w:val="21"/>
              </w:rPr>
              <w:t xml:space="preserve"> Kč</w:t>
            </w:r>
          </w:p>
        </w:tc>
      </w:tr>
    </w:tbl>
    <w:p w14:paraId="59215D3C" w14:textId="70F00E33" w:rsidR="002137BD" w:rsidRPr="00E211E6" w:rsidRDefault="002137BD" w:rsidP="00EE5F0F">
      <w:pPr>
        <w:spacing w:after="120"/>
        <w:ind w:right="130"/>
        <w:rPr>
          <w:rFonts w:asciiTheme="minorHAnsi" w:hAnsiTheme="minorHAnsi" w:cstheme="minorHAnsi"/>
          <w:b/>
          <w:bCs/>
          <w:color w:val="4F81BD" w:themeColor="accent1"/>
          <w:sz w:val="21"/>
          <w:szCs w:val="21"/>
        </w:rPr>
      </w:pPr>
    </w:p>
    <w:p w14:paraId="7A695FB3" w14:textId="6D90D804" w:rsidR="002137BD" w:rsidRPr="00E211E6" w:rsidRDefault="00EE5F0F" w:rsidP="002137BD">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BOX:</w:t>
      </w:r>
    </w:p>
    <w:tbl>
      <w:tblPr>
        <w:tblStyle w:val="Mkatabulky"/>
        <w:tblW w:w="0" w:type="auto"/>
        <w:tblLook w:val="04A0" w:firstRow="1" w:lastRow="0" w:firstColumn="1" w:lastColumn="0" w:noHBand="0" w:noVBand="1"/>
      </w:tblPr>
      <w:tblGrid>
        <w:gridCol w:w="1696"/>
        <w:gridCol w:w="1560"/>
        <w:gridCol w:w="1842"/>
        <w:gridCol w:w="1985"/>
      </w:tblGrid>
      <w:tr w:rsidR="00EE5F0F" w:rsidRPr="00EE5F0F" w14:paraId="739319F6" w14:textId="77777777" w:rsidTr="00EE5F0F">
        <w:trPr>
          <w:trHeight w:val="358"/>
        </w:trPr>
        <w:tc>
          <w:tcPr>
            <w:tcW w:w="3256" w:type="dxa"/>
            <w:gridSpan w:val="2"/>
          </w:tcPr>
          <w:p w14:paraId="0865939A" w14:textId="31C291A2" w:rsidR="00EE5F0F" w:rsidRPr="00EE5F0F" w:rsidRDefault="00EE5F0F"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 xml:space="preserve">Únorové hodnoty Broker Consulting </w:t>
            </w:r>
            <w:proofErr w:type="spellStart"/>
            <w:r w:rsidRPr="00EE5F0F">
              <w:rPr>
                <w:rFonts w:asciiTheme="minorHAnsi" w:hAnsiTheme="minorHAnsi" w:cstheme="minorHAnsi"/>
                <w:b/>
                <w:bCs/>
                <w:color w:val="4F81BD" w:themeColor="accent1"/>
                <w:sz w:val="20"/>
                <w:szCs w:val="20"/>
              </w:rPr>
              <w:t>POVIndexu</w:t>
            </w:r>
            <w:proofErr w:type="spellEnd"/>
            <w:r w:rsidRPr="00EE5F0F">
              <w:rPr>
                <w:rFonts w:asciiTheme="minorHAnsi" w:hAnsiTheme="minorHAnsi" w:cstheme="minorHAnsi"/>
                <w:b/>
                <w:bCs/>
                <w:color w:val="4F81BD" w:themeColor="accent1"/>
                <w:sz w:val="20"/>
                <w:szCs w:val="20"/>
              </w:rPr>
              <w:t xml:space="preserve">  - PRAHA</w:t>
            </w:r>
            <w:r w:rsidRPr="00EE5F0F">
              <w:rPr>
                <w:rFonts w:asciiTheme="minorHAnsi" w:hAnsiTheme="minorHAnsi" w:cstheme="minorHAnsi"/>
                <w:b/>
                <w:bCs/>
                <w:color w:val="4F81BD" w:themeColor="accent1"/>
                <w:sz w:val="20"/>
                <w:szCs w:val="20"/>
              </w:rPr>
              <w:tab/>
            </w:r>
          </w:p>
        </w:tc>
        <w:tc>
          <w:tcPr>
            <w:tcW w:w="3827" w:type="dxa"/>
            <w:gridSpan w:val="2"/>
          </w:tcPr>
          <w:p w14:paraId="07416A2E" w14:textId="09F05AC2" w:rsidR="00EE5F0F" w:rsidRPr="00EE5F0F" w:rsidRDefault="00EE5F0F"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 xml:space="preserve">Únorové hodnoty Broker Consulting </w:t>
            </w:r>
            <w:proofErr w:type="spellStart"/>
            <w:r w:rsidRPr="00EE5F0F">
              <w:rPr>
                <w:rFonts w:asciiTheme="minorHAnsi" w:hAnsiTheme="minorHAnsi" w:cstheme="minorHAnsi"/>
                <w:b/>
                <w:bCs/>
                <w:color w:val="4F81BD" w:themeColor="accent1"/>
                <w:sz w:val="20"/>
                <w:szCs w:val="20"/>
              </w:rPr>
              <w:t>POVIndexu</w:t>
            </w:r>
            <w:proofErr w:type="spellEnd"/>
            <w:r w:rsidRPr="00EE5F0F">
              <w:rPr>
                <w:rFonts w:asciiTheme="minorHAnsi" w:hAnsiTheme="minorHAnsi" w:cstheme="minorHAnsi"/>
                <w:b/>
                <w:bCs/>
                <w:color w:val="4F81BD" w:themeColor="accent1"/>
                <w:sz w:val="20"/>
                <w:szCs w:val="20"/>
              </w:rPr>
              <w:t xml:space="preserve"> - BENEŠOV u PRAHY</w:t>
            </w:r>
          </w:p>
        </w:tc>
      </w:tr>
      <w:tr w:rsidR="00964DB6" w:rsidRPr="00EE5F0F" w14:paraId="2B33A026" w14:textId="4E0667D8" w:rsidTr="00EE5F0F">
        <w:trPr>
          <w:trHeight w:val="358"/>
        </w:trPr>
        <w:tc>
          <w:tcPr>
            <w:tcW w:w="1696" w:type="dxa"/>
          </w:tcPr>
          <w:p w14:paraId="2BDFAE13" w14:textId="77777777" w:rsidR="00964DB6" w:rsidRPr="00EE5F0F" w:rsidRDefault="00964DB6"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Rok</w:t>
            </w:r>
          </w:p>
        </w:tc>
        <w:tc>
          <w:tcPr>
            <w:tcW w:w="1560" w:type="dxa"/>
          </w:tcPr>
          <w:p w14:paraId="7F030703" w14:textId="77777777" w:rsidR="00EE5F0F" w:rsidRPr="00EE5F0F" w:rsidRDefault="00EE5F0F"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 xml:space="preserve">Hodnota </w:t>
            </w:r>
          </w:p>
          <w:p w14:paraId="3F25E0F3" w14:textId="3A9B9DD7" w:rsidR="00964DB6" w:rsidRPr="00EE5F0F" w:rsidRDefault="00EE5F0F" w:rsidP="00426D92">
            <w:pPr>
              <w:ind w:right="130"/>
              <w:rPr>
                <w:rFonts w:asciiTheme="minorHAnsi" w:hAnsiTheme="minorHAnsi" w:cstheme="minorHAnsi"/>
                <w:b/>
                <w:bCs/>
                <w:color w:val="4F81BD" w:themeColor="accent1"/>
                <w:sz w:val="20"/>
                <w:szCs w:val="20"/>
              </w:rPr>
            </w:pPr>
            <w:proofErr w:type="spellStart"/>
            <w:r w:rsidRPr="00EE5F0F">
              <w:rPr>
                <w:rFonts w:asciiTheme="minorHAnsi" w:hAnsiTheme="minorHAnsi" w:cstheme="minorHAnsi"/>
                <w:b/>
                <w:bCs/>
                <w:color w:val="4F81BD" w:themeColor="accent1"/>
                <w:sz w:val="20"/>
                <w:szCs w:val="20"/>
              </w:rPr>
              <w:t>POV</w:t>
            </w:r>
            <w:r w:rsidR="00964DB6" w:rsidRPr="00EE5F0F">
              <w:rPr>
                <w:rFonts w:asciiTheme="minorHAnsi" w:hAnsiTheme="minorHAnsi" w:cstheme="minorHAnsi"/>
                <w:b/>
                <w:bCs/>
                <w:color w:val="4F81BD" w:themeColor="accent1"/>
                <w:sz w:val="20"/>
                <w:szCs w:val="20"/>
              </w:rPr>
              <w:t>Indexu</w:t>
            </w:r>
            <w:proofErr w:type="spellEnd"/>
          </w:p>
        </w:tc>
        <w:tc>
          <w:tcPr>
            <w:tcW w:w="1842" w:type="dxa"/>
          </w:tcPr>
          <w:p w14:paraId="66CAA089" w14:textId="6AC35728" w:rsidR="00964DB6" w:rsidRPr="00EE5F0F" w:rsidRDefault="00964DB6"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 xml:space="preserve"> Rok</w:t>
            </w:r>
          </w:p>
        </w:tc>
        <w:tc>
          <w:tcPr>
            <w:tcW w:w="1985" w:type="dxa"/>
          </w:tcPr>
          <w:p w14:paraId="067D8429" w14:textId="7759086C" w:rsidR="00964DB6" w:rsidRPr="00EE5F0F" w:rsidRDefault="00EE5F0F" w:rsidP="00426D92">
            <w:pPr>
              <w:ind w:right="130"/>
              <w:rPr>
                <w:rFonts w:asciiTheme="minorHAnsi" w:hAnsiTheme="minorHAnsi" w:cstheme="minorHAnsi"/>
                <w:b/>
                <w:bCs/>
                <w:color w:val="4F81BD" w:themeColor="accent1"/>
                <w:sz w:val="20"/>
                <w:szCs w:val="20"/>
              </w:rPr>
            </w:pPr>
            <w:r w:rsidRPr="00EE5F0F">
              <w:rPr>
                <w:rFonts w:asciiTheme="minorHAnsi" w:hAnsiTheme="minorHAnsi" w:cstheme="minorHAnsi"/>
                <w:b/>
                <w:bCs/>
                <w:color w:val="4F81BD" w:themeColor="accent1"/>
                <w:sz w:val="20"/>
                <w:szCs w:val="20"/>
              </w:rPr>
              <w:t xml:space="preserve">Hodnota </w:t>
            </w:r>
            <w:proofErr w:type="spellStart"/>
            <w:r w:rsidRPr="00EE5F0F">
              <w:rPr>
                <w:rFonts w:asciiTheme="minorHAnsi" w:hAnsiTheme="minorHAnsi" w:cstheme="minorHAnsi"/>
                <w:b/>
                <w:bCs/>
                <w:color w:val="4F81BD" w:themeColor="accent1"/>
                <w:sz w:val="20"/>
                <w:szCs w:val="20"/>
              </w:rPr>
              <w:t>POV</w:t>
            </w:r>
            <w:r w:rsidR="00964DB6" w:rsidRPr="00EE5F0F">
              <w:rPr>
                <w:rFonts w:asciiTheme="minorHAnsi" w:hAnsiTheme="minorHAnsi" w:cstheme="minorHAnsi"/>
                <w:b/>
                <w:bCs/>
                <w:color w:val="4F81BD" w:themeColor="accent1"/>
                <w:sz w:val="20"/>
                <w:szCs w:val="20"/>
              </w:rPr>
              <w:t>Indexu</w:t>
            </w:r>
            <w:proofErr w:type="spellEnd"/>
          </w:p>
        </w:tc>
      </w:tr>
      <w:tr w:rsidR="00964DB6" w:rsidRPr="00EE5F0F" w14:paraId="04544572" w14:textId="1843CAF3" w:rsidTr="00EE5F0F">
        <w:trPr>
          <w:trHeight w:val="349"/>
        </w:trPr>
        <w:tc>
          <w:tcPr>
            <w:tcW w:w="1696" w:type="dxa"/>
          </w:tcPr>
          <w:p w14:paraId="76938B6C" w14:textId="433D2179"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 xml:space="preserve">   2020</w:t>
            </w:r>
          </w:p>
        </w:tc>
        <w:tc>
          <w:tcPr>
            <w:tcW w:w="1560" w:type="dxa"/>
          </w:tcPr>
          <w:p w14:paraId="1558A23A"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7 646 Kč</w:t>
            </w:r>
          </w:p>
        </w:tc>
        <w:tc>
          <w:tcPr>
            <w:tcW w:w="1842" w:type="dxa"/>
          </w:tcPr>
          <w:p w14:paraId="7BCD8CA3" w14:textId="3304F982"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2020</w:t>
            </w:r>
          </w:p>
        </w:tc>
        <w:tc>
          <w:tcPr>
            <w:tcW w:w="1985" w:type="dxa"/>
          </w:tcPr>
          <w:p w14:paraId="17994A8B" w14:textId="60E4CA10"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5 911 Kč</w:t>
            </w:r>
          </w:p>
        </w:tc>
      </w:tr>
      <w:tr w:rsidR="00964DB6" w:rsidRPr="00EE5F0F" w14:paraId="0980A6FE" w14:textId="6ECD7DC0" w:rsidTr="00EE5F0F">
        <w:trPr>
          <w:trHeight w:val="358"/>
        </w:trPr>
        <w:tc>
          <w:tcPr>
            <w:tcW w:w="1696" w:type="dxa"/>
          </w:tcPr>
          <w:p w14:paraId="2FF8C6A2"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 xml:space="preserve"> 2021</w:t>
            </w:r>
          </w:p>
        </w:tc>
        <w:tc>
          <w:tcPr>
            <w:tcW w:w="1560" w:type="dxa"/>
          </w:tcPr>
          <w:p w14:paraId="75E912BC"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Arial"/>
                <w:color w:val="4F81BD" w:themeColor="accent1"/>
                <w:sz w:val="20"/>
                <w:szCs w:val="20"/>
              </w:rPr>
              <w:t>7 382 Kč</w:t>
            </w:r>
          </w:p>
        </w:tc>
        <w:tc>
          <w:tcPr>
            <w:tcW w:w="1842" w:type="dxa"/>
          </w:tcPr>
          <w:p w14:paraId="5C5E24FC" w14:textId="4428BFD9"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theme="minorHAnsi"/>
                <w:color w:val="4F81BD" w:themeColor="accent1"/>
                <w:sz w:val="20"/>
                <w:szCs w:val="20"/>
              </w:rPr>
              <w:t>2021</w:t>
            </w:r>
          </w:p>
        </w:tc>
        <w:tc>
          <w:tcPr>
            <w:tcW w:w="1985" w:type="dxa"/>
          </w:tcPr>
          <w:p w14:paraId="22BDC9AA" w14:textId="6A54C138"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5 972 Kč</w:t>
            </w:r>
          </w:p>
        </w:tc>
      </w:tr>
      <w:tr w:rsidR="00964DB6" w:rsidRPr="00EE5F0F" w14:paraId="550FF220" w14:textId="65EE4ABC" w:rsidTr="00EE5F0F">
        <w:trPr>
          <w:trHeight w:val="358"/>
        </w:trPr>
        <w:tc>
          <w:tcPr>
            <w:tcW w:w="1696" w:type="dxa"/>
          </w:tcPr>
          <w:p w14:paraId="279318F2"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2022</w:t>
            </w:r>
          </w:p>
        </w:tc>
        <w:tc>
          <w:tcPr>
            <w:tcW w:w="1560" w:type="dxa"/>
          </w:tcPr>
          <w:p w14:paraId="5130B801"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Arial"/>
                <w:color w:val="4F81BD" w:themeColor="accent1"/>
                <w:sz w:val="20"/>
                <w:szCs w:val="20"/>
              </w:rPr>
              <w:t>7  275 Kč</w:t>
            </w:r>
          </w:p>
        </w:tc>
        <w:tc>
          <w:tcPr>
            <w:tcW w:w="1842" w:type="dxa"/>
          </w:tcPr>
          <w:p w14:paraId="01B5EF2F" w14:textId="508575EE"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theme="minorHAnsi"/>
                <w:color w:val="4F81BD" w:themeColor="accent1"/>
                <w:sz w:val="20"/>
                <w:szCs w:val="20"/>
              </w:rPr>
              <w:t>2022</w:t>
            </w:r>
          </w:p>
        </w:tc>
        <w:tc>
          <w:tcPr>
            <w:tcW w:w="1985" w:type="dxa"/>
          </w:tcPr>
          <w:p w14:paraId="3BA58C3B" w14:textId="2B0A1D94"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5 656 Kč</w:t>
            </w:r>
          </w:p>
        </w:tc>
      </w:tr>
      <w:tr w:rsidR="00964DB6" w:rsidRPr="00EE5F0F" w14:paraId="78657AC5" w14:textId="59018914" w:rsidTr="00EE5F0F">
        <w:trPr>
          <w:trHeight w:val="349"/>
        </w:trPr>
        <w:tc>
          <w:tcPr>
            <w:tcW w:w="1696" w:type="dxa"/>
          </w:tcPr>
          <w:p w14:paraId="5FC8A7D0"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2023</w:t>
            </w:r>
          </w:p>
        </w:tc>
        <w:tc>
          <w:tcPr>
            <w:tcW w:w="1560" w:type="dxa"/>
          </w:tcPr>
          <w:p w14:paraId="2FDACFDF"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Arial"/>
                <w:color w:val="4F81BD" w:themeColor="accent1"/>
                <w:sz w:val="20"/>
                <w:szCs w:val="20"/>
              </w:rPr>
              <w:t>7 395 Kč</w:t>
            </w:r>
          </w:p>
        </w:tc>
        <w:tc>
          <w:tcPr>
            <w:tcW w:w="1842" w:type="dxa"/>
          </w:tcPr>
          <w:p w14:paraId="2AF4A659" w14:textId="3E1D82BE"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theme="minorHAnsi"/>
                <w:color w:val="4F81BD" w:themeColor="accent1"/>
                <w:sz w:val="20"/>
                <w:szCs w:val="20"/>
              </w:rPr>
              <w:t>2023</w:t>
            </w:r>
          </w:p>
        </w:tc>
        <w:tc>
          <w:tcPr>
            <w:tcW w:w="1985" w:type="dxa"/>
          </w:tcPr>
          <w:p w14:paraId="069E7542" w14:textId="0D2D93E9"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6 093 Kč</w:t>
            </w:r>
          </w:p>
        </w:tc>
      </w:tr>
      <w:tr w:rsidR="00964DB6" w:rsidRPr="00EE5F0F" w14:paraId="771BFAA2" w14:textId="08051F0D" w:rsidTr="00EE5F0F">
        <w:trPr>
          <w:trHeight w:val="358"/>
        </w:trPr>
        <w:tc>
          <w:tcPr>
            <w:tcW w:w="1696" w:type="dxa"/>
          </w:tcPr>
          <w:p w14:paraId="6823D2D2"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2024</w:t>
            </w:r>
          </w:p>
        </w:tc>
        <w:tc>
          <w:tcPr>
            <w:tcW w:w="1560" w:type="dxa"/>
          </w:tcPr>
          <w:p w14:paraId="415BBAD9" w14:textId="77777777"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7 738 Kč</w:t>
            </w:r>
          </w:p>
        </w:tc>
        <w:tc>
          <w:tcPr>
            <w:tcW w:w="1842" w:type="dxa"/>
          </w:tcPr>
          <w:p w14:paraId="4784E06F" w14:textId="288FFFCD"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theme="minorHAnsi"/>
                <w:color w:val="4F81BD" w:themeColor="accent1"/>
                <w:sz w:val="20"/>
                <w:szCs w:val="20"/>
              </w:rPr>
              <w:t>2024</w:t>
            </w:r>
          </w:p>
        </w:tc>
        <w:tc>
          <w:tcPr>
            <w:tcW w:w="1985" w:type="dxa"/>
          </w:tcPr>
          <w:p w14:paraId="4FA2CA54" w14:textId="3755311E"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6 274 Kč</w:t>
            </w:r>
          </w:p>
        </w:tc>
      </w:tr>
      <w:tr w:rsidR="00964DB6" w:rsidRPr="00EE5F0F" w14:paraId="222BD9CD" w14:textId="3338E7B6" w:rsidTr="00EE5F0F">
        <w:trPr>
          <w:trHeight w:val="349"/>
        </w:trPr>
        <w:tc>
          <w:tcPr>
            <w:tcW w:w="1696" w:type="dxa"/>
          </w:tcPr>
          <w:p w14:paraId="076B16F6"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theme="minorHAnsi"/>
                <w:color w:val="4F81BD" w:themeColor="accent1"/>
                <w:sz w:val="20"/>
                <w:szCs w:val="20"/>
              </w:rPr>
              <w:t>Průměr za celé sledování</w:t>
            </w:r>
          </w:p>
        </w:tc>
        <w:tc>
          <w:tcPr>
            <w:tcW w:w="1560" w:type="dxa"/>
          </w:tcPr>
          <w:p w14:paraId="325C8374" w14:textId="77777777" w:rsidR="00964DB6" w:rsidRPr="00EE5F0F" w:rsidRDefault="00964DB6" w:rsidP="00426D92">
            <w:pPr>
              <w:ind w:right="130"/>
              <w:rPr>
                <w:rFonts w:asciiTheme="minorHAnsi" w:hAnsiTheme="minorHAnsi" w:cstheme="minorHAnsi"/>
                <w:color w:val="4F81BD" w:themeColor="accent1"/>
                <w:sz w:val="20"/>
                <w:szCs w:val="20"/>
              </w:rPr>
            </w:pPr>
            <w:r w:rsidRPr="00EE5F0F">
              <w:rPr>
                <w:rFonts w:asciiTheme="minorHAnsi" w:hAnsiTheme="minorHAnsi" w:cs="Arial"/>
                <w:color w:val="4F81BD" w:themeColor="accent1"/>
                <w:sz w:val="20"/>
                <w:szCs w:val="20"/>
              </w:rPr>
              <w:t>7 512 Kč</w:t>
            </w:r>
          </w:p>
        </w:tc>
        <w:tc>
          <w:tcPr>
            <w:tcW w:w="1842" w:type="dxa"/>
          </w:tcPr>
          <w:p w14:paraId="291DF9E0" w14:textId="5A4A16FA"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theme="minorHAnsi"/>
                <w:color w:val="4F81BD" w:themeColor="accent1"/>
                <w:sz w:val="20"/>
                <w:szCs w:val="20"/>
              </w:rPr>
              <w:t>Průměr za celé sledování</w:t>
            </w:r>
          </w:p>
        </w:tc>
        <w:tc>
          <w:tcPr>
            <w:tcW w:w="1985" w:type="dxa"/>
          </w:tcPr>
          <w:p w14:paraId="7E07C829" w14:textId="67604ECF" w:rsidR="00964DB6" w:rsidRPr="00EE5F0F" w:rsidRDefault="00964DB6" w:rsidP="00426D92">
            <w:pPr>
              <w:ind w:right="130"/>
              <w:rPr>
                <w:rFonts w:asciiTheme="minorHAnsi" w:hAnsiTheme="minorHAnsi" w:cs="Arial"/>
                <w:color w:val="4F81BD" w:themeColor="accent1"/>
                <w:sz w:val="20"/>
                <w:szCs w:val="20"/>
              </w:rPr>
            </w:pPr>
            <w:r w:rsidRPr="00EE5F0F">
              <w:rPr>
                <w:rFonts w:asciiTheme="minorHAnsi" w:hAnsiTheme="minorHAnsi" w:cs="Arial"/>
                <w:color w:val="4F81BD" w:themeColor="accent1"/>
                <w:sz w:val="20"/>
                <w:szCs w:val="20"/>
              </w:rPr>
              <w:t>6 006,10 Kč</w:t>
            </w:r>
          </w:p>
        </w:tc>
      </w:tr>
    </w:tbl>
    <w:p w14:paraId="2764AEBE" w14:textId="4F28D8A8" w:rsidR="00400126" w:rsidRPr="00EE5F0F" w:rsidRDefault="00120E75" w:rsidP="00426D92">
      <w:pPr>
        <w:spacing w:before="240" w:after="120"/>
        <w:ind w:right="130"/>
        <w:jc w:val="both"/>
        <w:rPr>
          <w:rFonts w:asciiTheme="minorHAnsi" w:hAnsiTheme="minorHAnsi" w:cstheme="minorHAnsi"/>
          <w:b/>
          <w:sz w:val="21"/>
          <w:szCs w:val="21"/>
        </w:rPr>
      </w:pPr>
      <w:r>
        <w:rPr>
          <w:rFonts w:asciiTheme="minorHAnsi" w:hAnsiTheme="minorHAnsi" w:cstheme="minorHAnsi"/>
          <w:b/>
          <w:sz w:val="21"/>
          <w:szCs w:val="21"/>
        </w:rPr>
        <w:t>Změny novely silničního zákona</w:t>
      </w:r>
    </w:p>
    <w:p w14:paraId="391C0730" w14:textId="57E2A84A" w:rsidR="008A5443" w:rsidRPr="00EE5F0F" w:rsidRDefault="008A5443" w:rsidP="00302322">
      <w:pPr>
        <w:spacing w:after="120"/>
        <w:ind w:right="130"/>
        <w:jc w:val="both"/>
        <w:rPr>
          <w:rFonts w:asciiTheme="minorHAnsi" w:hAnsiTheme="minorHAnsi" w:cstheme="minorHAnsi"/>
          <w:sz w:val="21"/>
          <w:szCs w:val="21"/>
        </w:rPr>
      </w:pPr>
      <w:r w:rsidRPr="00EE5F0F">
        <w:rPr>
          <w:rFonts w:asciiTheme="minorHAnsi" w:hAnsiTheme="minorHAnsi" w:cstheme="minorHAnsi"/>
          <w:sz w:val="21"/>
          <w:szCs w:val="21"/>
        </w:rPr>
        <w:t xml:space="preserve">Od začátku roku se mohou řidiči, díky účinnosti zákona č.271/2023 Sb., setkat s řadou novinek, týkajících se provozu na pozemních komunikacích. Uvedený zákon, který mění dosavadní zákon č.361/2000 Sb. (zákon o silničním provozu) </w:t>
      </w:r>
      <w:r w:rsidR="00240ABC" w:rsidRPr="00EE5F0F">
        <w:rPr>
          <w:rFonts w:asciiTheme="minorHAnsi" w:hAnsiTheme="minorHAnsi" w:cstheme="minorHAnsi"/>
          <w:sz w:val="21"/>
          <w:szCs w:val="21"/>
        </w:rPr>
        <w:t>mimo jiné zpřehledňuje a zjednodušuje bodový systém, zpřísňuje sankce za některé přestupky a přináší novinky v oblasti dopravy.</w:t>
      </w:r>
    </w:p>
    <w:p w14:paraId="4272C8E1" w14:textId="122F3BF6" w:rsidR="00400126" w:rsidRPr="00EE5F0F" w:rsidRDefault="00240ABC" w:rsidP="00302322">
      <w:pPr>
        <w:spacing w:after="120"/>
        <w:ind w:right="130"/>
        <w:jc w:val="both"/>
        <w:rPr>
          <w:rFonts w:asciiTheme="minorHAnsi" w:hAnsiTheme="minorHAnsi" w:cstheme="minorHAnsi"/>
          <w:sz w:val="21"/>
          <w:szCs w:val="21"/>
        </w:rPr>
      </w:pPr>
      <w:r w:rsidRPr="00EE5F0F">
        <w:rPr>
          <w:rFonts w:asciiTheme="minorHAnsi" w:hAnsiTheme="minorHAnsi" w:cstheme="minorHAnsi"/>
          <w:b/>
          <w:sz w:val="21"/>
          <w:szCs w:val="21"/>
        </w:rPr>
        <w:t>Hlavními změnami, se kterými se účastníci silničního provozu mohou po novu setkat, jsou:</w:t>
      </w:r>
    </w:p>
    <w:p w14:paraId="573F89D1" w14:textId="6BF32B74" w:rsidR="00240ABC" w:rsidRPr="00EE5F0F" w:rsidRDefault="008A5443" w:rsidP="00426D92">
      <w:pPr>
        <w:pStyle w:val="Odstavecseseznamem"/>
        <w:numPr>
          <w:ilvl w:val="0"/>
          <w:numId w:val="31"/>
        </w:numPr>
        <w:ind w:left="714" w:right="130" w:hanging="357"/>
        <w:jc w:val="both"/>
        <w:rPr>
          <w:rFonts w:asciiTheme="minorHAnsi" w:hAnsiTheme="minorHAnsi" w:cstheme="minorHAnsi"/>
          <w:b/>
          <w:sz w:val="21"/>
          <w:szCs w:val="21"/>
        </w:rPr>
      </w:pPr>
      <w:r w:rsidRPr="00EE5F0F">
        <w:rPr>
          <w:rFonts w:asciiTheme="minorHAnsi" w:hAnsiTheme="minorHAnsi" w:cstheme="minorHAnsi"/>
          <w:b/>
          <w:sz w:val="21"/>
          <w:szCs w:val="21"/>
        </w:rPr>
        <w:t>Změny v bodovém systému</w:t>
      </w:r>
    </w:p>
    <w:p w14:paraId="0BD91942" w14:textId="58AF9BD4" w:rsidR="00240ABC" w:rsidRPr="00EE5F0F" w:rsidRDefault="008A5443" w:rsidP="00426D92">
      <w:pPr>
        <w:pStyle w:val="Odstavecseseznamem"/>
        <w:numPr>
          <w:ilvl w:val="0"/>
          <w:numId w:val="31"/>
        </w:numPr>
        <w:ind w:left="714" w:right="130" w:hanging="357"/>
        <w:jc w:val="both"/>
        <w:rPr>
          <w:rFonts w:asciiTheme="minorHAnsi" w:hAnsiTheme="minorHAnsi" w:cstheme="minorHAnsi"/>
          <w:b/>
          <w:sz w:val="21"/>
          <w:szCs w:val="21"/>
        </w:rPr>
      </w:pPr>
      <w:r w:rsidRPr="00EE5F0F">
        <w:rPr>
          <w:rFonts w:asciiTheme="minorHAnsi" w:hAnsiTheme="minorHAnsi" w:cstheme="minorHAnsi"/>
          <w:b/>
          <w:sz w:val="21"/>
          <w:szCs w:val="21"/>
        </w:rPr>
        <w:t xml:space="preserve">Konec </w:t>
      </w:r>
      <w:r w:rsidR="008F5738" w:rsidRPr="00EE5F0F">
        <w:rPr>
          <w:rFonts w:asciiTheme="minorHAnsi" w:hAnsiTheme="minorHAnsi" w:cstheme="minorHAnsi"/>
          <w:b/>
          <w:sz w:val="21"/>
          <w:szCs w:val="21"/>
        </w:rPr>
        <w:t xml:space="preserve">nutnosti </w:t>
      </w:r>
      <w:r w:rsidRPr="00EE5F0F">
        <w:rPr>
          <w:rFonts w:asciiTheme="minorHAnsi" w:hAnsiTheme="minorHAnsi" w:cstheme="minorHAnsi"/>
          <w:b/>
          <w:sz w:val="21"/>
          <w:szCs w:val="21"/>
        </w:rPr>
        <w:t>fyzického</w:t>
      </w:r>
      <w:r w:rsidR="00240ABC" w:rsidRPr="00EE5F0F">
        <w:rPr>
          <w:rFonts w:asciiTheme="minorHAnsi" w:hAnsiTheme="minorHAnsi" w:cstheme="minorHAnsi"/>
          <w:b/>
          <w:sz w:val="21"/>
          <w:szCs w:val="21"/>
        </w:rPr>
        <w:t xml:space="preserve"> řidičského průkazu</w:t>
      </w:r>
      <w:r w:rsidR="008F5738" w:rsidRPr="00EE5F0F">
        <w:rPr>
          <w:rFonts w:asciiTheme="minorHAnsi" w:hAnsiTheme="minorHAnsi" w:cstheme="minorHAnsi"/>
          <w:b/>
          <w:sz w:val="21"/>
          <w:szCs w:val="21"/>
        </w:rPr>
        <w:t xml:space="preserve"> při řízení</w:t>
      </w:r>
      <w:r w:rsidRPr="00EE5F0F">
        <w:rPr>
          <w:rFonts w:asciiTheme="minorHAnsi" w:hAnsiTheme="minorHAnsi" w:cstheme="minorHAnsi"/>
          <w:b/>
          <w:sz w:val="21"/>
          <w:szCs w:val="21"/>
        </w:rPr>
        <w:t xml:space="preserve"> v ČR</w:t>
      </w:r>
    </w:p>
    <w:p w14:paraId="54BAFF78" w14:textId="15F09055" w:rsidR="008F5738" w:rsidRPr="00EE5F0F" w:rsidRDefault="00240ABC" w:rsidP="00426D92">
      <w:pPr>
        <w:pStyle w:val="Odstavecseseznamem"/>
        <w:numPr>
          <w:ilvl w:val="0"/>
          <w:numId w:val="31"/>
        </w:numPr>
        <w:ind w:left="714" w:right="130" w:hanging="357"/>
        <w:jc w:val="both"/>
        <w:rPr>
          <w:rFonts w:asciiTheme="minorHAnsi" w:hAnsiTheme="minorHAnsi" w:cstheme="minorHAnsi"/>
          <w:b/>
          <w:sz w:val="21"/>
          <w:szCs w:val="21"/>
        </w:rPr>
      </w:pPr>
      <w:r w:rsidRPr="00EE5F0F">
        <w:rPr>
          <w:rFonts w:asciiTheme="minorHAnsi" w:hAnsiTheme="minorHAnsi" w:cstheme="minorHAnsi"/>
          <w:b/>
          <w:sz w:val="21"/>
          <w:szCs w:val="21"/>
        </w:rPr>
        <w:t>Stanovení vyššího rychlostního limitu na vybraných úsecích dálnic</w:t>
      </w:r>
    </w:p>
    <w:p w14:paraId="28534557" w14:textId="77777777" w:rsidR="00426D92" w:rsidRDefault="00240ABC" w:rsidP="00426D92">
      <w:pPr>
        <w:pStyle w:val="Odstavecseseznamem"/>
        <w:numPr>
          <w:ilvl w:val="0"/>
          <w:numId w:val="31"/>
        </w:numPr>
        <w:spacing w:after="120"/>
        <w:ind w:left="714" w:right="130" w:hanging="357"/>
        <w:jc w:val="both"/>
        <w:rPr>
          <w:rFonts w:asciiTheme="minorHAnsi" w:hAnsiTheme="minorHAnsi" w:cstheme="minorHAnsi"/>
          <w:b/>
          <w:sz w:val="21"/>
          <w:szCs w:val="21"/>
        </w:rPr>
      </w:pPr>
      <w:r w:rsidRPr="00EE5F0F">
        <w:rPr>
          <w:rFonts w:asciiTheme="minorHAnsi" w:hAnsiTheme="minorHAnsi" w:cstheme="minorHAnsi"/>
          <w:b/>
          <w:sz w:val="21"/>
          <w:szCs w:val="21"/>
        </w:rPr>
        <w:t>Možnost řídit vozidlo se zkušeným mentorem</w:t>
      </w:r>
    </w:p>
    <w:p w14:paraId="28AD5415" w14:textId="5282D25C" w:rsidR="00C44D59" w:rsidRPr="00EE5F0F" w:rsidRDefault="00426D92" w:rsidP="00426D92">
      <w:pPr>
        <w:spacing w:after="240"/>
        <w:ind w:right="130"/>
        <w:jc w:val="both"/>
        <w:rPr>
          <w:rFonts w:asciiTheme="minorHAnsi" w:hAnsiTheme="minorHAnsi" w:cstheme="minorHAnsi"/>
          <w:sz w:val="21"/>
          <w:szCs w:val="21"/>
        </w:rPr>
      </w:pPr>
      <w:r>
        <w:rPr>
          <w:rFonts w:asciiTheme="minorHAnsi" w:hAnsiTheme="minorHAnsi" w:cstheme="minorHAnsi"/>
          <w:sz w:val="21"/>
          <w:szCs w:val="21"/>
        </w:rPr>
        <w:t xml:space="preserve">Novinkou je mimo výše uvedené změna, která doposud v tuzemsku nefungovala. </w:t>
      </w:r>
      <w:r w:rsidR="008F5738" w:rsidRPr="00EE5F0F">
        <w:rPr>
          <w:rFonts w:asciiTheme="minorHAnsi" w:hAnsiTheme="minorHAnsi" w:cstheme="minorHAnsi"/>
          <w:sz w:val="21"/>
          <w:szCs w:val="21"/>
        </w:rPr>
        <w:t xml:space="preserve">Osoba, která dosáhla věku 17 let a splnila všechny zákonem stanovené podmínky, je </w:t>
      </w:r>
      <w:r>
        <w:rPr>
          <w:rFonts w:asciiTheme="minorHAnsi" w:hAnsiTheme="minorHAnsi" w:cstheme="minorHAnsi"/>
          <w:sz w:val="21"/>
          <w:szCs w:val="21"/>
        </w:rPr>
        <w:t xml:space="preserve">nově </w:t>
      </w:r>
      <w:r w:rsidR="008F5738" w:rsidRPr="00EE5F0F">
        <w:rPr>
          <w:rFonts w:asciiTheme="minorHAnsi" w:hAnsiTheme="minorHAnsi" w:cstheme="minorHAnsi"/>
          <w:sz w:val="21"/>
          <w:szCs w:val="21"/>
        </w:rPr>
        <w:t>oprávněná k řízení vozidla</w:t>
      </w:r>
      <w:r w:rsidR="00071274" w:rsidRPr="00EE5F0F">
        <w:rPr>
          <w:rFonts w:asciiTheme="minorHAnsi" w:hAnsiTheme="minorHAnsi" w:cstheme="minorHAnsi"/>
          <w:sz w:val="21"/>
          <w:szCs w:val="21"/>
        </w:rPr>
        <w:t xml:space="preserve"> skupiny B. To vše ale pouze za předpokladu, že ji bude </w:t>
      </w:r>
      <w:r>
        <w:rPr>
          <w:rFonts w:asciiTheme="minorHAnsi" w:hAnsiTheme="minorHAnsi" w:cstheme="minorHAnsi"/>
          <w:sz w:val="21"/>
          <w:szCs w:val="21"/>
        </w:rPr>
        <w:t xml:space="preserve">při jízdě </w:t>
      </w:r>
      <w:r w:rsidR="00071274" w:rsidRPr="00EE5F0F">
        <w:rPr>
          <w:rFonts w:asciiTheme="minorHAnsi" w:hAnsiTheme="minorHAnsi" w:cstheme="minorHAnsi"/>
          <w:sz w:val="21"/>
          <w:szCs w:val="21"/>
        </w:rPr>
        <w:t>doprovázet osoba, která je zapsána v registru řidičů jako jeho mentor.</w:t>
      </w:r>
    </w:p>
    <w:p w14:paraId="4E7F8CBF" w14:textId="77777777" w:rsidR="00B20F7B" w:rsidRPr="00426D92" w:rsidRDefault="00B20F7B" w:rsidP="00EE591F">
      <w:pPr>
        <w:pBdr>
          <w:top w:val="single" w:sz="4" w:space="1" w:color="auto"/>
        </w:pBdr>
        <w:spacing w:before="120"/>
        <w:rPr>
          <w:rFonts w:asciiTheme="minorHAnsi" w:hAnsiTheme="minorHAnsi" w:cstheme="minorHAnsi"/>
          <w:color w:val="000000" w:themeColor="text1"/>
          <w:sz w:val="20"/>
          <w:szCs w:val="20"/>
        </w:rPr>
      </w:pPr>
      <w:proofErr w:type="spellStart"/>
      <w:r w:rsidRPr="00426D92">
        <w:rPr>
          <w:rFonts w:asciiTheme="minorHAnsi" w:hAnsiTheme="minorHAnsi" w:cstheme="minorHAnsi"/>
          <w:color w:val="000000" w:themeColor="text1"/>
          <w:sz w:val="20"/>
          <w:szCs w:val="20"/>
        </w:rPr>
        <w:t>POVIndex</w:t>
      </w:r>
      <w:proofErr w:type="spellEnd"/>
      <w:r w:rsidRPr="00426D92">
        <w:rPr>
          <w:rFonts w:asciiTheme="minorHAnsi" w:hAnsiTheme="minorHAnsi" w:cstheme="minorHAnsi"/>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426D92">
        <w:rPr>
          <w:rFonts w:asciiTheme="minorHAnsi" w:hAnsiTheme="minorHAnsi" w:cstheme="minorHAnsi"/>
          <w:color w:val="000000" w:themeColor="text1"/>
          <w:sz w:val="20"/>
          <w:szCs w:val="20"/>
        </w:rPr>
        <w:t>POVIndex</w:t>
      </w:r>
      <w:proofErr w:type="spellEnd"/>
      <w:r w:rsidRPr="00426D92">
        <w:rPr>
          <w:rFonts w:asciiTheme="minorHAnsi" w:hAnsiTheme="minorHAnsi" w:cstheme="minorHAnsi"/>
          <w:color w:val="000000" w:themeColor="text1"/>
          <w:sz w:val="20"/>
          <w:szCs w:val="20"/>
        </w:rPr>
        <w:t xml:space="preserve"> je počítán odlišnou metodikou, než jako používá ČKP. Pro vizualizaci je zvolena značka vozu Škoda Octavia 1,6 TDI, 85 kW. </w:t>
      </w:r>
      <w:proofErr w:type="spellStart"/>
      <w:r w:rsidRPr="00426D92">
        <w:rPr>
          <w:rFonts w:asciiTheme="minorHAnsi" w:hAnsiTheme="minorHAnsi" w:cstheme="minorHAnsi"/>
          <w:color w:val="000000" w:themeColor="text1"/>
          <w:sz w:val="20"/>
          <w:szCs w:val="20"/>
        </w:rPr>
        <w:t>POVIndex</w:t>
      </w:r>
      <w:proofErr w:type="spellEnd"/>
      <w:r w:rsidRPr="00426D92">
        <w:rPr>
          <w:rFonts w:asciiTheme="minorHAnsi" w:hAnsiTheme="minorHAnsi" w:cstheme="minorHAnsi"/>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426D92">
        <w:rPr>
          <w:rFonts w:asciiTheme="minorHAnsi" w:hAnsiTheme="minorHAnsi" w:cstheme="minorHAnsi"/>
          <w:color w:val="000000" w:themeColor="text1"/>
          <w:sz w:val="20"/>
          <w:szCs w:val="20"/>
        </w:rPr>
        <w:lastRenderedPageBreak/>
        <w:t>POVIndexu</w:t>
      </w:r>
      <w:proofErr w:type="spellEnd"/>
      <w:r w:rsidRPr="00426D92">
        <w:rPr>
          <w:rFonts w:asciiTheme="minorHAnsi" w:hAnsiTheme="minorHAnsi" w:cstheme="minorHAnsi"/>
          <w:color w:val="000000" w:themeColor="text1"/>
          <w:sz w:val="20"/>
          <w:szCs w:val="20"/>
        </w:rPr>
        <w:t xml:space="preserve"> sledovat, zda pojišťovny základní sazby u typického vozu spíše zdražují, nebo zlevňují.</w:t>
      </w:r>
    </w:p>
    <w:p w14:paraId="056704B7" w14:textId="10689440" w:rsidR="00B20F7B" w:rsidRPr="00426D92" w:rsidRDefault="00B20F7B" w:rsidP="00B20F7B">
      <w:pPr>
        <w:pStyle w:val="Zkladntext"/>
        <w:spacing w:before="240" w:line="237" w:lineRule="auto"/>
        <w:rPr>
          <w:rFonts w:asciiTheme="minorHAnsi" w:hAnsiTheme="minorHAnsi" w:cstheme="minorHAnsi"/>
          <w:sz w:val="20"/>
          <w:szCs w:val="20"/>
        </w:rPr>
      </w:pPr>
      <w:r w:rsidRPr="00426D92">
        <w:rPr>
          <w:rFonts w:asciiTheme="minorHAnsi" w:hAnsiTheme="minorHAnsi" w:cstheme="minorHAnsi"/>
          <w:b/>
          <w:sz w:val="20"/>
          <w:szCs w:val="20"/>
        </w:rPr>
        <w:t xml:space="preserve">Broker Consulting </w:t>
      </w:r>
      <w:proofErr w:type="spellStart"/>
      <w:r w:rsidRPr="00426D92">
        <w:rPr>
          <w:rFonts w:asciiTheme="minorHAnsi" w:hAnsiTheme="minorHAnsi" w:cstheme="minorHAnsi"/>
          <w:b/>
          <w:sz w:val="20"/>
          <w:szCs w:val="20"/>
        </w:rPr>
        <w:t>POVIndex</w:t>
      </w:r>
      <w:proofErr w:type="spellEnd"/>
      <w:r w:rsidRPr="00426D92">
        <w:rPr>
          <w:rFonts w:asciiTheme="minorHAnsi" w:hAnsiTheme="minorHAnsi" w:cstheme="minorHAnsi"/>
          <w:sz w:val="20"/>
          <w:szCs w:val="20"/>
        </w:rPr>
        <w:t xml:space="preserve"> je založen na odlišné metodice výpočtu, než jakou používá ČKP. Jeho hodnota nevychází z průměru hodnot celé řady veličin, ale z menšího množství parametrů. </w:t>
      </w:r>
      <w:proofErr w:type="spellStart"/>
      <w:r w:rsidRPr="00426D92">
        <w:rPr>
          <w:rFonts w:asciiTheme="minorHAnsi" w:hAnsiTheme="minorHAnsi" w:cstheme="minorHAnsi"/>
          <w:sz w:val="20"/>
          <w:szCs w:val="20"/>
        </w:rPr>
        <w:t>POVIndex</w:t>
      </w:r>
      <w:proofErr w:type="spellEnd"/>
      <w:r w:rsidRPr="00426D92">
        <w:rPr>
          <w:rFonts w:asciiTheme="minorHAnsi" w:hAnsiTheme="minorHAnsi" w:cstheme="minorHAnsi"/>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426D92">
        <w:rPr>
          <w:rFonts w:asciiTheme="minorHAnsi" w:hAnsiTheme="minorHAnsi" w:cstheme="minorHAnsi"/>
          <w:sz w:val="20"/>
          <w:szCs w:val="20"/>
        </w:rPr>
        <w:t>POVIndexu</w:t>
      </w:r>
      <w:proofErr w:type="spellEnd"/>
      <w:r w:rsidRPr="00426D92">
        <w:rPr>
          <w:rFonts w:asciiTheme="minorHAnsi" w:hAnsiTheme="minorHAnsi" w:cstheme="minorHAnsi"/>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71F65714" w14:textId="4EBBF848" w:rsidR="00B24DBE" w:rsidRPr="00426D92" w:rsidRDefault="00763554" w:rsidP="00426D92">
      <w:pPr>
        <w:spacing w:after="120"/>
        <w:rPr>
          <w:rFonts w:asciiTheme="minorHAnsi" w:hAnsiTheme="minorHAnsi" w:cstheme="minorHAnsi"/>
          <w:i/>
          <w:color w:val="1D1D1B"/>
          <w:w w:val="105"/>
          <w:sz w:val="20"/>
          <w:szCs w:val="20"/>
        </w:rPr>
      </w:pPr>
      <w:r w:rsidRPr="00426D92">
        <w:rPr>
          <w:rFonts w:asciiTheme="minorHAnsi" w:hAnsiTheme="minorHAnsi" w:cstheme="minorHAnsi"/>
          <w:b/>
          <w:sz w:val="20"/>
          <w:szCs w:val="20"/>
        </w:rPr>
        <w:t>Poznámka pro média:</w:t>
      </w:r>
      <w:r w:rsidRPr="00426D92">
        <w:rPr>
          <w:rFonts w:asciiTheme="minorHAnsi" w:hAnsiTheme="minorHAnsi" w:cstheme="minorHAnsi"/>
          <w:sz w:val="20"/>
          <w:szCs w:val="20"/>
        </w:rPr>
        <w:t xml:space="preserve"> </w:t>
      </w:r>
      <w:r w:rsidRPr="00426D92">
        <w:rPr>
          <w:rFonts w:asciiTheme="minorHAnsi" w:hAnsiTheme="minorHAnsi" w:cstheme="minorHAnsi"/>
          <w:color w:val="1D1D1B"/>
          <w:w w:val="105"/>
          <w:sz w:val="20"/>
          <w:szCs w:val="20"/>
        </w:rPr>
        <w:t>Broker</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Consulting</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w w:val="105"/>
          <w:sz w:val="20"/>
          <w:szCs w:val="20"/>
        </w:rPr>
        <w:t>Indexy</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je</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w w:val="105"/>
          <w:sz w:val="20"/>
          <w:szCs w:val="20"/>
        </w:rPr>
        <w:t>možné</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volně</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spacing w:val="2"/>
          <w:w w:val="105"/>
          <w:sz w:val="20"/>
          <w:szCs w:val="20"/>
        </w:rPr>
        <w:t>publikovat</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pouze</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w w:val="105"/>
          <w:sz w:val="20"/>
          <w:szCs w:val="20"/>
        </w:rPr>
        <w:t>s</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označením</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w w:val="105"/>
          <w:sz w:val="20"/>
          <w:szCs w:val="20"/>
        </w:rPr>
        <w:t>„Broker</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w w:val="105"/>
          <w:sz w:val="20"/>
          <w:szCs w:val="20"/>
        </w:rPr>
        <w:t>Consulting</w:t>
      </w:r>
      <w:r w:rsidRPr="00426D92">
        <w:rPr>
          <w:rFonts w:asciiTheme="minorHAnsi" w:hAnsiTheme="minorHAnsi" w:cstheme="minorHAnsi"/>
          <w:color w:val="1D1D1B"/>
          <w:spacing w:val="-8"/>
          <w:w w:val="105"/>
          <w:sz w:val="20"/>
          <w:szCs w:val="20"/>
        </w:rPr>
        <w:t xml:space="preserve"> </w:t>
      </w:r>
      <w:r w:rsidRPr="00426D92">
        <w:rPr>
          <w:rFonts w:asciiTheme="minorHAnsi" w:hAnsiTheme="minorHAnsi" w:cstheme="minorHAnsi"/>
          <w:color w:val="1D1D1B"/>
          <w:w w:val="105"/>
          <w:sz w:val="20"/>
          <w:szCs w:val="20"/>
        </w:rPr>
        <w:t>Index“</w:t>
      </w:r>
      <w:r w:rsidRPr="00426D92">
        <w:rPr>
          <w:rFonts w:asciiTheme="minorHAnsi" w:hAnsiTheme="minorHAnsi" w:cstheme="minorHAnsi"/>
          <w:color w:val="1D1D1B"/>
          <w:spacing w:val="-9"/>
          <w:w w:val="105"/>
          <w:sz w:val="20"/>
          <w:szCs w:val="20"/>
        </w:rPr>
        <w:t xml:space="preserve"> </w:t>
      </w:r>
      <w:r w:rsidRPr="00426D92">
        <w:rPr>
          <w:rFonts w:asciiTheme="minorHAnsi" w:hAnsiTheme="minorHAnsi" w:cstheme="minorHAnsi"/>
          <w:color w:val="1D1D1B"/>
          <w:spacing w:val="-3"/>
          <w:w w:val="105"/>
          <w:sz w:val="20"/>
          <w:szCs w:val="20"/>
        </w:rPr>
        <w:t>(</w:t>
      </w:r>
      <w:r w:rsidRPr="00426D92">
        <w:rPr>
          <w:rFonts w:asciiTheme="minorHAnsi" w:hAnsiTheme="minorHAnsi" w:cstheme="minorHAnsi"/>
          <w:i/>
          <w:color w:val="1D1D1B"/>
          <w:spacing w:val="-3"/>
          <w:w w:val="105"/>
          <w:sz w:val="20"/>
          <w:szCs w:val="20"/>
        </w:rPr>
        <w:t>např.</w:t>
      </w:r>
      <w:r w:rsidRPr="00426D92">
        <w:rPr>
          <w:rFonts w:asciiTheme="minorHAnsi" w:hAnsiTheme="minorHAnsi" w:cstheme="minorHAnsi"/>
          <w:i/>
          <w:color w:val="1D1D1B"/>
          <w:spacing w:val="-8"/>
          <w:w w:val="105"/>
          <w:sz w:val="20"/>
          <w:szCs w:val="20"/>
        </w:rPr>
        <w:t xml:space="preserve"> </w:t>
      </w:r>
      <w:r w:rsidRPr="00426D92">
        <w:rPr>
          <w:rFonts w:asciiTheme="minorHAnsi" w:hAnsiTheme="minorHAnsi" w:cstheme="minorHAnsi"/>
          <w:i/>
          <w:color w:val="1D1D1B"/>
          <w:w w:val="105"/>
          <w:sz w:val="20"/>
          <w:szCs w:val="20"/>
        </w:rPr>
        <w:t>Broker</w:t>
      </w:r>
      <w:r w:rsidRPr="00426D92">
        <w:rPr>
          <w:rFonts w:asciiTheme="minorHAnsi" w:hAnsiTheme="minorHAnsi" w:cstheme="minorHAnsi"/>
          <w:i/>
          <w:color w:val="1D1D1B"/>
          <w:spacing w:val="-9"/>
          <w:w w:val="105"/>
          <w:sz w:val="20"/>
          <w:szCs w:val="20"/>
        </w:rPr>
        <w:t xml:space="preserve"> </w:t>
      </w:r>
      <w:r w:rsidRPr="00426D92">
        <w:rPr>
          <w:rFonts w:asciiTheme="minorHAnsi" w:hAnsiTheme="minorHAnsi" w:cstheme="minorHAnsi"/>
          <w:i/>
          <w:color w:val="1D1D1B"/>
          <w:w w:val="105"/>
          <w:sz w:val="20"/>
          <w:szCs w:val="20"/>
        </w:rPr>
        <w:t>Consulting</w:t>
      </w:r>
      <w:r w:rsidRPr="00426D92">
        <w:rPr>
          <w:rFonts w:asciiTheme="minorHAnsi" w:hAnsiTheme="minorHAnsi" w:cstheme="minorHAnsi"/>
          <w:i/>
          <w:color w:val="1D1D1B"/>
          <w:spacing w:val="-8"/>
          <w:w w:val="105"/>
          <w:sz w:val="20"/>
          <w:szCs w:val="20"/>
        </w:rPr>
        <w:t xml:space="preserve"> </w:t>
      </w:r>
      <w:r w:rsidRPr="00426D92">
        <w:rPr>
          <w:rFonts w:asciiTheme="minorHAnsi" w:hAnsiTheme="minorHAnsi" w:cstheme="minorHAnsi"/>
          <w:i/>
          <w:color w:val="1D1D1B"/>
          <w:w w:val="105"/>
          <w:sz w:val="20"/>
          <w:szCs w:val="20"/>
        </w:rPr>
        <w:t xml:space="preserve">Index hypotečních úvěrů). Více informací najdete též na webu </w:t>
      </w:r>
      <w:r w:rsidRPr="00426D92">
        <w:rPr>
          <w:rStyle w:val="Hypertextovodkaz"/>
          <w:rFonts w:asciiTheme="minorHAnsi" w:hAnsiTheme="minorHAnsi" w:cstheme="minorHAnsi"/>
          <w:i/>
          <w:w w:val="105"/>
          <w:sz w:val="20"/>
          <w:szCs w:val="20"/>
        </w:rPr>
        <w:t>https://www.bcas.cz/onas/pro-media/</w:t>
      </w:r>
      <w:r w:rsidRPr="00426D92">
        <w:rPr>
          <w:rFonts w:asciiTheme="minorHAnsi" w:hAnsiTheme="minorHAnsi" w:cstheme="minorHAnsi"/>
          <w:i/>
          <w:color w:val="1D1D1B"/>
          <w:w w:val="105"/>
          <w:sz w:val="20"/>
          <w:szCs w:val="20"/>
        </w:rPr>
        <w:t xml:space="preserve">. </w:t>
      </w:r>
    </w:p>
    <w:p w14:paraId="6C52618D" w14:textId="63EB8F69" w:rsidR="00B24DBE" w:rsidRPr="00426D92" w:rsidRDefault="00B24DBE" w:rsidP="00426D92">
      <w:pPr>
        <w:spacing w:after="120"/>
        <w:rPr>
          <w:rStyle w:val="Hypertextovodkaz"/>
          <w:rFonts w:asciiTheme="minorHAnsi" w:hAnsiTheme="minorHAnsi" w:cstheme="minorHAnsi"/>
          <w:w w:val="105"/>
          <w:sz w:val="20"/>
          <w:szCs w:val="20"/>
        </w:rPr>
      </w:pPr>
      <w:r w:rsidRPr="00426D92">
        <w:rPr>
          <w:rFonts w:asciiTheme="minorHAnsi" w:hAnsiTheme="minorHAnsi" w:cstheme="minorHAnsi"/>
          <w:b/>
          <w:color w:val="FF0000"/>
          <w:w w:val="105"/>
          <w:sz w:val="20"/>
          <w:szCs w:val="20"/>
        </w:rPr>
        <w:t>Broker Consulting Indexy je nyní možné sledovat v interaktivní formě na webu</w:t>
      </w:r>
      <w:r w:rsidRPr="00426D92">
        <w:rPr>
          <w:rFonts w:asciiTheme="minorHAnsi" w:hAnsiTheme="minorHAnsi" w:cstheme="minorHAnsi"/>
          <w:color w:val="1D1D1B"/>
          <w:w w:val="105"/>
          <w:sz w:val="20"/>
          <w:szCs w:val="20"/>
        </w:rPr>
        <w:t xml:space="preserve">. Zde lze zároveň exportovat zdrojová data ke grafům. Vice dostupné na odkaze: </w:t>
      </w:r>
      <w:r w:rsidR="00BB27FC" w:rsidRPr="00426D92">
        <w:rPr>
          <w:rFonts w:asciiTheme="minorHAnsi" w:hAnsiTheme="minorHAnsi" w:cstheme="minorHAnsi"/>
          <w:b/>
          <w:i/>
          <w:w w:val="105"/>
          <w:sz w:val="20"/>
          <w:szCs w:val="20"/>
        </w:rPr>
        <w:fldChar w:fldCharType="begin"/>
      </w:r>
      <w:r w:rsidR="00BB27FC" w:rsidRPr="00426D92">
        <w:rPr>
          <w:rFonts w:asciiTheme="minorHAnsi" w:hAnsiTheme="minorHAnsi" w:cstheme="minorHAnsi"/>
          <w:b/>
          <w:i/>
          <w:w w:val="105"/>
          <w:sz w:val="20"/>
          <w:szCs w:val="20"/>
        </w:rPr>
        <w:instrText xml:space="preserve"> HYPERLINK "https://www.bcas.cz/o-nas/broker-consulting-povindex/" </w:instrText>
      </w:r>
      <w:r w:rsidR="00BB27FC" w:rsidRPr="00426D92">
        <w:rPr>
          <w:rFonts w:asciiTheme="minorHAnsi" w:hAnsiTheme="minorHAnsi" w:cstheme="minorHAnsi"/>
          <w:b/>
          <w:i/>
          <w:w w:val="105"/>
          <w:sz w:val="20"/>
          <w:szCs w:val="20"/>
        </w:rPr>
        <w:fldChar w:fldCharType="separate"/>
      </w:r>
      <w:r w:rsidRPr="00426D92">
        <w:rPr>
          <w:rStyle w:val="Hypertextovodkaz"/>
          <w:rFonts w:asciiTheme="minorHAnsi" w:hAnsiTheme="minorHAnsi" w:cstheme="minorHAnsi"/>
          <w:b/>
          <w:i/>
          <w:w w:val="105"/>
          <w:sz w:val="20"/>
          <w:szCs w:val="20"/>
        </w:rPr>
        <w:t>https://www.bcas.cz/o-nas/broker-consulting-povindex/.</w:t>
      </w:r>
    </w:p>
    <w:p w14:paraId="7966D3DF" w14:textId="68AC0092" w:rsidR="00DE7CE1" w:rsidRPr="00AD79CC" w:rsidRDefault="00BB27FC" w:rsidP="00DE7CE1">
      <w:pPr>
        <w:pStyle w:val="Bezmezer"/>
        <w:rPr>
          <w:rFonts w:eastAsia="F015TEELig" w:cstheme="minorHAnsi"/>
          <w:b/>
          <w:sz w:val="21"/>
          <w:szCs w:val="21"/>
        </w:rPr>
      </w:pPr>
      <w:r w:rsidRPr="00426D92">
        <w:rPr>
          <w:rFonts w:eastAsia="F015TEELig" w:cstheme="minorHAnsi"/>
          <w:b/>
          <w:i/>
          <w:w w:val="105"/>
          <w:sz w:val="20"/>
          <w:szCs w:val="20"/>
          <w:lang w:bidi="cs-CZ"/>
        </w:rPr>
        <w:fldChar w:fldCharType="end"/>
      </w:r>
      <w:r w:rsidR="00866220"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4F805FC1"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 xml:space="preserve">Specialistka PR </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0B2AB" w14:textId="77777777" w:rsidR="004D5D0D" w:rsidRDefault="004D5D0D">
      <w:r>
        <w:separator/>
      </w:r>
    </w:p>
  </w:endnote>
  <w:endnote w:type="continuationSeparator" w:id="0">
    <w:p w14:paraId="4081B0B3" w14:textId="77777777" w:rsidR="004D5D0D" w:rsidRDefault="004D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6331FAC6"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4211E8">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4D5D0D">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FEE08" w14:textId="77777777" w:rsidR="004D5D0D" w:rsidRDefault="004D5D0D">
      <w:r>
        <w:separator/>
      </w:r>
    </w:p>
  </w:footnote>
  <w:footnote w:type="continuationSeparator" w:id="0">
    <w:p w14:paraId="4B53D4BE" w14:textId="77777777" w:rsidR="004D5D0D" w:rsidRDefault="004D5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4772F"/>
    <w:multiLevelType w:val="hybridMultilevel"/>
    <w:tmpl w:val="664283AE"/>
    <w:lvl w:ilvl="0" w:tplc="3C8AD008">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5"/>
  </w:num>
  <w:num w:numId="4">
    <w:abstractNumId w:val="7"/>
  </w:num>
  <w:num w:numId="5">
    <w:abstractNumId w:val="1"/>
  </w:num>
  <w:num w:numId="6">
    <w:abstractNumId w:val="27"/>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0"/>
  </w:num>
  <w:num w:numId="14">
    <w:abstractNumId w:val="33"/>
  </w:num>
  <w:num w:numId="15">
    <w:abstractNumId w:val="2"/>
  </w:num>
  <w:num w:numId="16">
    <w:abstractNumId w:val="17"/>
  </w:num>
  <w:num w:numId="17">
    <w:abstractNumId w:val="6"/>
  </w:num>
  <w:num w:numId="18">
    <w:abstractNumId w:val="12"/>
  </w:num>
  <w:num w:numId="19">
    <w:abstractNumId w:val="24"/>
  </w:num>
  <w:num w:numId="20">
    <w:abstractNumId w:val="2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8"/>
    <w:lvlOverride w:ilvl="0"/>
    <w:lvlOverride w:ilvl="1">
      <w:startOverride w:val="4"/>
    </w:lvlOverride>
    <w:lvlOverride w:ilvl="2"/>
    <w:lvlOverride w:ilvl="3"/>
    <w:lvlOverride w:ilvl="4"/>
    <w:lvlOverride w:ilvl="5"/>
    <w:lvlOverride w:ilvl="6"/>
    <w:lvlOverride w:ilvl="7"/>
    <w:lvlOverride w:ilvl="8"/>
  </w:num>
  <w:num w:numId="24">
    <w:abstractNumId w:val="26"/>
  </w:num>
  <w:num w:numId="25">
    <w:abstractNumId w:val="19"/>
  </w:num>
  <w:num w:numId="26">
    <w:abstractNumId w:val="22"/>
  </w:num>
  <w:num w:numId="27">
    <w:abstractNumId w:val="0"/>
  </w:num>
  <w:num w:numId="28">
    <w:abstractNumId w:val="30"/>
  </w:num>
  <w:num w:numId="29">
    <w:abstractNumId w:val="26"/>
  </w:num>
  <w:num w:numId="30">
    <w:abstractNumId w:val="32"/>
  </w:num>
  <w:num w:numId="31">
    <w:abstractNumId w:val="4"/>
  </w:num>
  <w:num w:numId="32">
    <w:abstractNumId w:val="18"/>
  </w:num>
  <w:num w:numId="33">
    <w:abstractNumId w:val="31"/>
  </w:num>
  <w:num w:numId="34">
    <w:abstractNumId w:val="34"/>
  </w:num>
  <w:num w:numId="35">
    <w:abstractNumId w:val="2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2E18"/>
    <w:rsid w:val="00066A72"/>
    <w:rsid w:val="00067BA6"/>
    <w:rsid w:val="000705A5"/>
    <w:rsid w:val="00070D3C"/>
    <w:rsid w:val="00071274"/>
    <w:rsid w:val="0007198D"/>
    <w:rsid w:val="0007340D"/>
    <w:rsid w:val="00073462"/>
    <w:rsid w:val="00076845"/>
    <w:rsid w:val="00076C44"/>
    <w:rsid w:val="00077CC7"/>
    <w:rsid w:val="00083E38"/>
    <w:rsid w:val="0008656E"/>
    <w:rsid w:val="000866C0"/>
    <w:rsid w:val="00086F8F"/>
    <w:rsid w:val="00087124"/>
    <w:rsid w:val="00087ACF"/>
    <w:rsid w:val="00087D87"/>
    <w:rsid w:val="00090C9C"/>
    <w:rsid w:val="00090F2A"/>
    <w:rsid w:val="00091509"/>
    <w:rsid w:val="00094F77"/>
    <w:rsid w:val="00096AE4"/>
    <w:rsid w:val="000A06EA"/>
    <w:rsid w:val="000A170E"/>
    <w:rsid w:val="000A51D0"/>
    <w:rsid w:val="000A6FB0"/>
    <w:rsid w:val="000A77CE"/>
    <w:rsid w:val="000B6053"/>
    <w:rsid w:val="000C1AB4"/>
    <w:rsid w:val="000C32B0"/>
    <w:rsid w:val="000C351D"/>
    <w:rsid w:val="000C38CB"/>
    <w:rsid w:val="000C3C4C"/>
    <w:rsid w:val="000C4DDE"/>
    <w:rsid w:val="000C53D6"/>
    <w:rsid w:val="000C5490"/>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E7086"/>
    <w:rsid w:val="000F040D"/>
    <w:rsid w:val="000F1935"/>
    <w:rsid w:val="000F47AE"/>
    <w:rsid w:val="000F56EF"/>
    <w:rsid w:val="000F6249"/>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0E75"/>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47427"/>
    <w:rsid w:val="00150500"/>
    <w:rsid w:val="00152185"/>
    <w:rsid w:val="00152EDC"/>
    <w:rsid w:val="00153161"/>
    <w:rsid w:val="00155667"/>
    <w:rsid w:val="00160060"/>
    <w:rsid w:val="001603AF"/>
    <w:rsid w:val="00164219"/>
    <w:rsid w:val="00165614"/>
    <w:rsid w:val="0017117C"/>
    <w:rsid w:val="001722EA"/>
    <w:rsid w:val="00173C9F"/>
    <w:rsid w:val="00174065"/>
    <w:rsid w:val="00174394"/>
    <w:rsid w:val="00176EF9"/>
    <w:rsid w:val="0017797E"/>
    <w:rsid w:val="00177E6B"/>
    <w:rsid w:val="0018139F"/>
    <w:rsid w:val="00181E9B"/>
    <w:rsid w:val="001844F8"/>
    <w:rsid w:val="0018541B"/>
    <w:rsid w:val="00186E95"/>
    <w:rsid w:val="00190C04"/>
    <w:rsid w:val="00190E10"/>
    <w:rsid w:val="00193B5D"/>
    <w:rsid w:val="00194628"/>
    <w:rsid w:val="00194A47"/>
    <w:rsid w:val="00197408"/>
    <w:rsid w:val="00197AF4"/>
    <w:rsid w:val="00197DE5"/>
    <w:rsid w:val="001A210B"/>
    <w:rsid w:val="001A269A"/>
    <w:rsid w:val="001A4DDB"/>
    <w:rsid w:val="001A54DD"/>
    <w:rsid w:val="001B195D"/>
    <w:rsid w:val="001B1C05"/>
    <w:rsid w:val="001B444A"/>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108C"/>
    <w:rsid w:val="001F27AC"/>
    <w:rsid w:val="001F4AE1"/>
    <w:rsid w:val="001F7F2E"/>
    <w:rsid w:val="00200F89"/>
    <w:rsid w:val="002018E9"/>
    <w:rsid w:val="00202BE8"/>
    <w:rsid w:val="002108A4"/>
    <w:rsid w:val="00211C5C"/>
    <w:rsid w:val="002137BD"/>
    <w:rsid w:val="00214949"/>
    <w:rsid w:val="00214E98"/>
    <w:rsid w:val="00215EF1"/>
    <w:rsid w:val="00215FFE"/>
    <w:rsid w:val="00216985"/>
    <w:rsid w:val="002174D5"/>
    <w:rsid w:val="0022642E"/>
    <w:rsid w:val="00233262"/>
    <w:rsid w:val="002333DA"/>
    <w:rsid w:val="0023472C"/>
    <w:rsid w:val="00235828"/>
    <w:rsid w:val="002365F3"/>
    <w:rsid w:val="00236B96"/>
    <w:rsid w:val="00236DF8"/>
    <w:rsid w:val="00237068"/>
    <w:rsid w:val="00237B09"/>
    <w:rsid w:val="00237D4E"/>
    <w:rsid w:val="00240ABC"/>
    <w:rsid w:val="00240BAE"/>
    <w:rsid w:val="00241313"/>
    <w:rsid w:val="0024150C"/>
    <w:rsid w:val="00242251"/>
    <w:rsid w:val="002506AD"/>
    <w:rsid w:val="00251CC1"/>
    <w:rsid w:val="0025264B"/>
    <w:rsid w:val="0025408A"/>
    <w:rsid w:val="00254F1F"/>
    <w:rsid w:val="002555B1"/>
    <w:rsid w:val="00255D9F"/>
    <w:rsid w:val="00255E96"/>
    <w:rsid w:val="00255FAB"/>
    <w:rsid w:val="00256498"/>
    <w:rsid w:val="002609B2"/>
    <w:rsid w:val="00261C33"/>
    <w:rsid w:val="00261EE7"/>
    <w:rsid w:val="002636B1"/>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A0C59"/>
    <w:rsid w:val="002A2FB9"/>
    <w:rsid w:val="002A7348"/>
    <w:rsid w:val="002A7AE9"/>
    <w:rsid w:val="002A7DB8"/>
    <w:rsid w:val="002B053B"/>
    <w:rsid w:val="002B3EE0"/>
    <w:rsid w:val="002B5B4B"/>
    <w:rsid w:val="002B6A48"/>
    <w:rsid w:val="002C0392"/>
    <w:rsid w:val="002C201F"/>
    <w:rsid w:val="002C635D"/>
    <w:rsid w:val="002D4E88"/>
    <w:rsid w:val="002D5492"/>
    <w:rsid w:val="002E2785"/>
    <w:rsid w:val="002E27C5"/>
    <w:rsid w:val="002E2F8E"/>
    <w:rsid w:val="002F0335"/>
    <w:rsid w:val="002F0C79"/>
    <w:rsid w:val="002F2D65"/>
    <w:rsid w:val="002F5A42"/>
    <w:rsid w:val="002F5A56"/>
    <w:rsid w:val="002F6814"/>
    <w:rsid w:val="002F68D1"/>
    <w:rsid w:val="00301660"/>
    <w:rsid w:val="00302322"/>
    <w:rsid w:val="00302AE6"/>
    <w:rsid w:val="00303223"/>
    <w:rsid w:val="00303BCE"/>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34CD1"/>
    <w:rsid w:val="003404F4"/>
    <w:rsid w:val="00341A59"/>
    <w:rsid w:val="003428A4"/>
    <w:rsid w:val="003450E1"/>
    <w:rsid w:val="00345D3E"/>
    <w:rsid w:val="003473B3"/>
    <w:rsid w:val="00347557"/>
    <w:rsid w:val="003504FD"/>
    <w:rsid w:val="00352433"/>
    <w:rsid w:val="0035286E"/>
    <w:rsid w:val="00352D61"/>
    <w:rsid w:val="00354DBF"/>
    <w:rsid w:val="00356FFC"/>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612F"/>
    <w:rsid w:val="003B7BFE"/>
    <w:rsid w:val="003C0030"/>
    <w:rsid w:val="003C4D4B"/>
    <w:rsid w:val="003D03A6"/>
    <w:rsid w:val="003D07A2"/>
    <w:rsid w:val="003D2590"/>
    <w:rsid w:val="003D2711"/>
    <w:rsid w:val="003D2CAC"/>
    <w:rsid w:val="003D386F"/>
    <w:rsid w:val="003D43DB"/>
    <w:rsid w:val="003D4C73"/>
    <w:rsid w:val="003D556B"/>
    <w:rsid w:val="003D653E"/>
    <w:rsid w:val="003E2280"/>
    <w:rsid w:val="003E2ADC"/>
    <w:rsid w:val="003E5948"/>
    <w:rsid w:val="003E601E"/>
    <w:rsid w:val="003F0EA3"/>
    <w:rsid w:val="003F1184"/>
    <w:rsid w:val="003F38E5"/>
    <w:rsid w:val="003F73C3"/>
    <w:rsid w:val="00400126"/>
    <w:rsid w:val="00401210"/>
    <w:rsid w:val="00402AC6"/>
    <w:rsid w:val="00404CDA"/>
    <w:rsid w:val="00406B06"/>
    <w:rsid w:val="00410BF5"/>
    <w:rsid w:val="0041222E"/>
    <w:rsid w:val="0041224F"/>
    <w:rsid w:val="004130A2"/>
    <w:rsid w:val="00413446"/>
    <w:rsid w:val="0041452A"/>
    <w:rsid w:val="004151E6"/>
    <w:rsid w:val="00415BA7"/>
    <w:rsid w:val="00416F40"/>
    <w:rsid w:val="00417A8F"/>
    <w:rsid w:val="00417E36"/>
    <w:rsid w:val="004211E8"/>
    <w:rsid w:val="00422B4E"/>
    <w:rsid w:val="0042312B"/>
    <w:rsid w:val="004237DE"/>
    <w:rsid w:val="00423B16"/>
    <w:rsid w:val="00423F48"/>
    <w:rsid w:val="00425824"/>
    <w:rsid w:val="00425C72"/>
    <w:rsid w:val="0042625B"/>
    <w:rsid w:val="00426D92"/>
    <w:rsid w:val="0043207C"/>
    <w:rsid w:val="0043263D"/>
    <w:rsid w:val="004336FA"/>
    <w:rsid w:val="004349B6"/>
    <w:rsid w:val="00436FD5"/>
    <w:rsid w:val="00437639"/>
    <w:rsid w:val="004407C2"/>
    <w:rsid w:val="004413A6"/>
    <w:rsid w:val="00441D22"/>
    <w:rsid w:val="00444BB9"/>
    <w:rsid w:val="00445D0A"/>
    <w:rsid w:val="00447E56"/>
    <w:rsid w:val="004504BC"/>
    <w:rsid w:val="00453482"/>
    <w:rsid w:val="00453762"/>
    <w:rsid w:val="00453CFE"/>
    <w:rsid w:val="004560F3"/>
    <w:rsid w:val="00457E45"/>
    <w:rsid w:val="00463570"/>
    <w:rsid w:val="00467207"/>
    <w:rsid w:val="0047109D"/>
    <w:rsid w:val="00472B53"/>
    <w:rsid w:val="00474E92"/>
    <w:rsid w:val="00476C23"/>
    <w:rsid w:val="004809C7"/>
    <w:rsid w:val="00483A48"/>
    <w:rsid w:val="0048779A"/>
    <w:rsid w:val="00493430"/>
    <w:rsid w:val="00495519"/>
    <w:rsid w:val="00495C15"/>
    <w:rsid w:val="00496EFA"/>
    <w:rsid w:val="004A245D"/>
    <w:rsid w:val="004A2D42"/>
    <w:rsid w:val="004A2E7A"/>
    <w:rsid w:val="004A3A91"/>
    <w:rsid w:val="004A557B"/>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4111"/>
    <w:rsid w:val="004D52BD"/>
    <w:rsid w:val="004D5D0D"/>
    <w:rsid w:val="004D69FB"/>
    <w:rsid w:val="004E1108"/>
    <w:rsid w:val="004E207F"/>
    <w:rsid w:val="004E3877"/>
    <w:rsid w:val="004E4203"/>
    <w:rsid w:val="004E42A8"/>
    <w:rsid w:val="004E7863"/>
    <w:rsid w:val="004F07BC"/>
    <w:rsid w:val="004F0D7B"/>
    <w:rsid w:val="004F0DC0"/>
    <w:rsid w:val="004F2548"/>
    <w:rsid w:val="004F43C7"/>
    <w:rsid w:val="004F5CC5"/>
    <w:rsid w:val="004F63FD"/>
    <w:rsid w:val="00500534"/>
    <w:rsid w:val="0050130C"/>
    <w:rsid w:val="005039B0"/>
    <w:rsid w:val="00504953"/>
    <w:rsid w:val="005058FE"/>
    <w:rsid w:val="00507696"/>
    <w:rsid w:val="005154F9"/>
    <w:rsid w:val="00515C68"/>
    <w:rsid w:val="00520EA0"/>
    <w:rsid w:val="00523BD9"/>
    <w:rsid w:val="00524E33"/>
    <w:rsid w:val="0052644E"/>
    <w:rsid w:val="0052748B"/>
    <w:rsid w:val="005336E7"/>
    <w:rsid w:val="00540A5E"/>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600"/>
    <w:rsid w:val="005E4C96"/>
    <w:rsid w:val="005E60F6"/>
    <w:rsid w:val="005F2CF3"/>
    <w:rsid w:val="005F31C1"/>
    <w:rsid w:val="00601F8F"/>
    <w:rsid w:val="006033BD"/>
    <w:rsid w:val="00605FAF"/>
    <w:rsid w:val="00606B19"/>
    <w:rsid w:val="00606FBC"/>
    <w:rsid w:val="00612B3B"/>
    <w:rsid w:val="006156DC"/>
    <w:rsid w:val="00623B26"/>
    <w:rsid w:val="00624C21"/>
    <w:rsid w:val="00625503"/>
    <w:rsid w:val="00630C55"/>
    <w:rsid w:val="0063340F"/>
    <w:rsid w:val="00633924"/>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0AC"/>
    <w:rsid w:val="00690AD8"/>
    <w:rsid w:val="00695734"/>
    <w:rsid w:val="00695EEC"/>
    <w:rsid w:val="006972BF"/>
    <w:rsid w:val="006A20B3"/>
    <w:rsid w:val="006A52E2"/>
    <w:rsid w:val="006B0FE8"/>
    <w:rsid w:val="006B1609"/>
    <w:rsid w:val="006B2ABD"/>
    <w:rsid w:val="006B3946"/>
    <w:rsid w:val="006B54C7"/>
    <w:rsid w:val="006B7033"/>
    <w:rsid w:val="006B7FBE"/>
    <w:rsid w:val="006C0867"/>
    <w:rsid w:val="006C0B7C"/>
    <w:rsid w:val="006C2E50"/>
    <w:rsid w:val="006C48DE"/>
    <w:rsid w:val="006C53A7"/>
    <w:rsid w:val="006C6246"/>
    <w:rsid w:val="006C6B6B"/>
    <w:rsid w:val="006C7AE7"/>
    <w:rsid w:val="006D1469"/>
    <w:rsid w:val="006D5A9A"/>
    <w:rsid w:val="006E15E4"/>
    <w:rsid w:val="006E1F02"/>
    <w:rsid w:val="006E3397"/>
    <w:rsid w:val="006F11BD"/>
    <w:rsid w:val="006F3882"/>
    <w:rsid w:val="006F4BEB"/>
    <w:rsid w:val="006F5AEF"/>
    <w:rsid w:val="006F6676"/>
    <w:rsid w:val="007001E0"/>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5F36"/>
    <w:rsid w:val="00737025"/>
    <w:rsid w:val="00737A54"/>
    <w:rsid w:val="00737FB2"/>
    <w:rsid w:val="00741E4A"/>
    <w:rsid w:val="007437EE"/>
    <w:rsid w:val="00744F5A"/>
    <w:rsid w:val="007455AD"/>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2A34"/>
    <w:rsid w:val="00793C25"/>
    <w:rsid w:val="007A1136"/>
    <w:rsid w:val="007A5C4C"/>
    <w:rsid w:val="007B0579"/>
    <w:rsid w:val="007B41A6"/>
    <w:rsid w:val="007B6AD8"/>
    <w:rsid w:val="007B6D97"/>
    <w:rsid w:val="007B7906"/>
    <w:rsid w:val="007C4432"/>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E6E94"/>
    <w:rsid w:val="007F2249"/>
    <w:rsid w:val="007F28B9"/>
    <w:rsid w:val="007F6C2A"/>
    <w:rsid w:val="008001D1"/>
    <w:rsid w:val="008008D4"/>
    <w:rsid w:val="00801262"/>
    <w:rsid w:val="008020D3"/>
    <w:rsid w:val="008043AE"/>
    <w:rsid w:val="00804869"/>
    <w:rsid w:val="00804908"/>
    <w:rsid w:val="0080704C"/>
    <w:rsid w:val="00807BBD"/>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55CE"/>
    <w:rsid w:val="00835736"/>
    <w:rsid w:val="00836DF0"/>
    <w:rsid w:val="00837AF9"/>
    <w:rsid w:val="00850F9B"/>
    <w:rsid w:val="00853260"/>
    <w:rsid w:val="00854470"/>
    <w:rsid w:val="00857D72"/>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2D3E"/>
    <w:rsid w:val="008F30F4"/>
    <w:rsid w:val="008F5738"/>
    <w:rsid w:val="008F5F43"/>
    <w:rsid w:val="008F7F4E"/>
    <w:rsid w:val="009036A0"/>
    <w:rsid w:val="00904B90"/>
    <w:rsid w:val="00906147"/>
    <w:rsid w:val="00907B68"/>
    <w:rsid w:val="009111C1"/>
    <w:rsid w:val="009130AC"/>
    <w:rsid w:val="0091561E"/>
    <w:rsid w:val="00915ADA"/>
    <w:rsid w:val="00917467"/>
    <w:rsid w:val="00922831"/>
    <w:rsid w:val="00922872"/>
    <w:rsid w:val="00924030"/>
    <w:rsid w:val="0093538A"/>
    <w:rsid w:val="009362DC"/>
    <w:rsid w:val="009365E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7EDE"/>
    <w:rsid w:val="009706CE"/>
    <w:rsid w:val="00974A2D"/>
    <w:rsid w:val="0097633B"/>
    <w:rsid w:val="00976A70"/>
    <w:rsid w:val="00977B31"/>
    <w:rsid w:val="0098018F"/>
    <w:rsid w:val="00982060"/>
    <w:rsid w:val="00982774"/>
    <w:rsid w:val="00982991"/>
    <w:rsid w:val="00983C40"/>
    <w:rsid w:val="00984D4F"/>
    <w:rsid w:val="00986C46"/>
    <w:rsid w:val="009911D2"/>
    <w:rsid w:val="009925A1"/>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4188"/>
    <w:rsid w:val="009E6ADA"/>
    <w:rsid w:val="009F0FAC"/>
    <w:rsid w:val="009F2CB2"/>
    <w:rsid w:val="009F42D5"/>
    <w:rsid w:val="009F59EE"/>
    <w:rsid w:val="00A00614"/>
    <w:rsid w:val="00A0626C"/>
    <w:rsid w:val="00A06687"/>
    <w:rsid w:val="00A0680F"/>
    <w:rsid w:val="00A07B57"/>
    <w:rsid w:val="00A1017F"/>
    <w:rsid w:val="00A11002"/>
    <w:rsid w:val="00A12D97"/>
    <w:rsid w:val="00A145E2"/>
    <w:rsid w:val="00A15C5F"/>
    <w:rsid w:val="00A1706A"/>
    <w:rsid w:val="00A17595"/>
    <w:rsid w:val="00A2129E"/>
    <w:rsid w:val="00A2161C"/>
    <w:rsid w:val="00A21AB7"/>
    <w:rsid w:val="00A22380"/>
    <w:rsid w:val="00A267CE"/>
    <w:rsid w:val="00A3119E"/>
    <w:rsid w:val="00A3163A"/>
    <w:rsid w:val="00A326E5"/>
    <w:rsid w:val="00A34404"/>
    <w:rsid w:val="00A345F7"/>
    <w:rsid w:val="00A351F4"/>
    <w:rsid w:val="00A35204"/>
    <w:rsid w:val="00A3558D"/>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2D27"/>
    <w:rsid w:val="00A83718"/>
    <w:rsid w:val="00A84D63"/>
    <w:rsid w:val="00A85069"/>
    <w:rsid w:val="00A86EF2"/>
    <w:rsid w:val="00A902B4"/>
    <w:rsid w:val="00A93669"/>
    <w:rsid w:val="00A969E4"/>
    <w:rsid w:val="00A973F9"/>
    <w:rsid w:val="00AA0C1B"/>
    <w:rsid w:val="00AA104C"/>
    <w:rsid w:val="00AA13C3"/>
    <w:rsid w:val="00AA1D7A"/>
    <w:rsid w:val="00AA1EF9"/>
    <w:rsid w:val="00AA3C5C"/>
    <w:rsid w:val="00AA58B4"/>
    <w:rsid w:val="00AB150A"/>
    <w:rsid w:val="00AB5C28"/>
    <w:rsid w:val="00AC0B97"/>
    <w:rsid w:val="00AC0F4F"/>
    <w:rsid w:val="00AC14FC"/>
    <w:rsid w:val="00AC1B87"/>
    <w:rsid w:val="00AC1E03"/>
    <w:rsid w:val="00AC3155"/>
    <w:rsid w:val="00AC4CEE"/>
    <w:rsid w:val="00AC6F8E"/>
    <w:rsid w:val="00AD0B09"/>
    <w:rsid w:val="00AD2933"/>
    <w:rsid w:val="00AD3089"/>
    <w:rsid w:val="00AD3D91"/>
    <w:rsid w:val="00AD79CC"/>
    <w:rsid w:val="00AE0FD1"/>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77AF"/>
    <w:rsid w:val="00B17AD8"/>
    <w:rsid w:val="00B20F7B"/>
    <w:rsid w:val="00B21A92"/>
    <w:rsid w:val="00B21D7F"/>
    <w:rsid w:val="00B2288F"/>
    <w:rsid w:val="00B244B9"/>
    <w:rsid w:val="00B24AB2"/>
    <w:rsid w:val="00B24DBE"/>
    <w:rsid w:val="00B26C1E"/>
    <w:rsid w:val="00B2738B"/>
    <w:rsid w:val="00B278D2"/>
    <w:rsid w:val="00B30195"/>
    <w:rsid w:val="00B3074F"/>
    <w:rsid w:val="00B3103A"/>
    <w:rsid w:val="00B31509"/>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6059"/>
    <w:rsid w:val="00BA6DBC"/>
    <w:rsid w:val="00BA6DD7"/>
    <w:rsid w:val="00BA7E4C"/>
    <w:rsid w:val="00BB0801"/>
    <w:rsid w:val="00BB1BAE"/>
    <w:rsid w:val="00BB27FC"/>
    <w:rsid w:val="00BB5F03"/>
    <w:rsid w:val="00BC10FE"/>
    <w:rsid w:val="00BC1BA1"/>
    <w:rsid w:val="00BC30D1"/>
    <w:rsid w:val="00BC43C3"/>
    <w:rsid w:val="00BC6C6E"/>
    <w:rsid w:val="00BC7898"/>
    <w:rsid w:val="00BD0305"/>
    <w:rsid w:val="00BD18EA"/>
    <w:rsid w:val="00BD25BD"/>
    <w:rsid w:val="00BD26AB"/>
    <w:rsid w:val="00BD4FB4"/>
    <w:rsid w:val="00BD56CC"/>
    <w:rsid w:val="00BD5B45"/>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1C"/>
    <w:rsid w:val="00C129F0"/>
    <w:rsid w:val="00C12B80"/>
    <w:rsid w:val="00C1553C"/>
    <w:rsid w:val="00C16738"/>
    <w:rsid w:val="00C16A07"/>
    <w:rsid w:val="00C213F3"/>
    <w:rsid w:val="00C2196C"/>
    <w:rsid w:val="00C25196"/>
    <w:rsid w:val="00C25A49"/>
    <w:rsid w:val="00C30103"/>
    <w:rsid w:val="00C30556"/>
    <w:rsid w:val="00C306CA"/>
    <w:rsid w:val="00C35BFC"/>
    <w:rsid w:val="00C36244"/>
    <w:rsid w:val="00C362AF"/>
    <w:rsid w:val="00C36818"/>
    <w:rsid w:val="00C36AC8"/>
    <w:rsid w:val="00C36E73"/>
    <w:rsid w:val="00C40157"/>
    <w:rsid w:val="00C42096"/>
    <w:rsid w:val="00C43FC3"/>
    <w:rsid w:val="00C44D59"/>
    <w:rsid w:val="00C45232"/>
    <w:rsid w:val="00C4735A"/>
    <w:rsid w:val="00C503A0"/>
    <w:rsid w:val="00C505D4"/>
    <w:rsid w:val="00C50A39"/>
    <w:rsid w:val="00C51E90"/>
    <w:rsid w:val="00C53ECE"/>
    <w:rsid w:val="00C55E4E"/>
    <w:rsid w:val="00C5726E"/>
    <w:rsid w:val="00C6048F"/>
    <w:rsid w:val="00C607F2"/>
    <w:rsid w:val="00C61777"/>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91F7F"/>
    <w:rsid w:val="00C96C4F"/>
    <w:rsid w:val="00CA3F3D"/>
    <w:rsid w:val="00CA3FE4"/>
    <w:rsid w:val="00CA5FC8"/>
    <w:rsid w:val="00CB1985"/>
    <w:rsid w:val="00CB40F4"/>
    <w:rsid w:val="00CB50DD"/>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51E2"/>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6CEA"/>
    <w:rsid w:val="00E11435"/>
    <w:rsid w:val="00E121F2"/>
    <w:rsid w:val="00E166F1"/>
    <w:rsid w:val="00E16928"/>
    <w:rsid w:val="00E16FE8"/>
    <w:rsid w:val="00E17539"/>
    <w:rsid w:val="00E211E6"/>
    <w:rsid w:val="00E23F1D"/>
    <w:rsid w:val="00E24FED"/>
    <w:rsid w:val="00E25085"/>
    <w:rsid w:val="00E2591F"/>
    <w:rsid w:val="00E343B0"/>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D0FE5"/>
    <w:rsid w:val="00ED2A49"/>
    <w:rsid w:val="00ED4C36"/>
    <w:rsid w:val="00EE4761"/>
    <w:rsid w:val="00EE520F"/>
    <w:rsid w:val="00EE591F"/>
    <w:rsid w:val="00EE5F0F"/>
    <w:rsid w:val="00EE6C6D"/>
    <w:rsid w:val="00EE7BDD"/>
    <w:rsid w:val="00EF1568"/>
    <w:rsid w:val="00EF56AC"/>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179"/>
    <w:rsid w:val="00F63E7A"/>
    <w:rsid w:val="00F64A9E"/>
    <w:rsid w:val="00F6505F"/>
    <w:rsid w:val="00F655E3"/>
    <w:rsid w:val="00F65A7D"/>
    <w:rsid w:val="00F739AD"/>
    <w:rsid w:val="00F76B0E"/>
    <w:rsid w:val="00F7782E"/>
    <w:rsid w:val="00F77BD8"/>
    <w:rsid w:val="00F801C0"/>
    <w:rsid w:val="00F8482C"/>
    <w:rsid w:val="00F84DCA"/>
    <w:rsid w:val="00F93799"/>
    <w:rsid w:val="00F94B22"/>
    <w:rsid w:val="00F95B39"/>
    <w:rsid w:val="00F968E3"/>
    <w:rsid w:val="00F97A8C"/>
    <w:rsid w:val="00FA0F28"/>
    <w:rsid w:val="00FA1AF3"/>
    <w:rsid w:val="00FA255B"/>
    <w:rsid w:val="00FA4A11"/>
    <w:rsid w:val="00FA6E14"/>
    <w:rsid w:val="00FB551F"/>
    <w:rsid w:val="00FB6C4F"/>
    <w:rsid w:val="00FB7593"/>
    <w:rsid w:val="00FC1254"/>
    <w:rsid w:val="00FC33AA"/>
    <w:rsid w:val="00FC5217"/>
    <w:rsid w:val="00FD08A6"/>
    <w:rsid w:val="00FD20D1"/>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FC6EE-ED2A-42F0-8513-D682811C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1169</Words>
  <Characters>6900</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cp:revision>
  <dcterms:created xsi:type="dcterms:W3CDTF">2024-03-14T10:52:00Z</dcterms:created>
  <dcterms:modified xsi:type="dcterms:W3CDTF">2024-03-19T11:14:00Z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