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55C2E0F5" w14:textId="77777777" w:rsidR="00F63179" w:rsidRPr="005B7E46" w:rsidRDefault="00F63179" w:rsidP="00F63179">
      <w:pPr>
        <w:jc w:val="both"/>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r w:rsidRPr="00A0680F">
        <w:rPr>
          <w:rFonts w:asciiTheme="minorHAnsi" w:hAnsiTheme="minorHAnsi" w:cstheme="minorHAnsi"/>
          <w:b/>
          <w:color w:val="FF0000"/>
          <w:sz w:val="20"/>
          <w:szCs w:val="20"/>
        </w:rPr>
        <w:t>Franchisor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od České asociace franchisingu</w:t>
      </w:r>
      <w:r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3C6BB3D2" w14:textId="714A2857" w:rsidR="00E211E6" w:rsidRPr="00E211E6" w:rsidRDefault="006A52E2" w:rsidP="00E211E6">
      <w:pPr>
        <w:pStyle w:val="Odstavecseseznamem"/>
        <w:spacing w:after="120"/>
        <w:ind w:left="720" w:firstLine="0"/>
        <w:jc w:val="center"/>
        <w:rPr>
          <w:rFonts w:asciiTheme="minorHAnsi" w:hAnsiTheme="minorHAnsi" w:cstheme="minorHAnsi"/>
          <w:b/>
          <w:sz w:val="30"/>
          <w:szCs w:val="30"/>
        </w:rPr>
      </w:pPr>
      <w:r>
        <w:rPr>
          <w:rFonts w:asciiTheme="minorHAnsi" w:hAnsiTheme="minorHAnsi" w:cstheme="minorHAnsi"/>
          <w:b/>
          <w:sz w:val="30"/>
          <w:szCs w:val="30"/>
        </w:rPr>
        <w:lastRenderedPageBreak/>
        <w:t>C</w:t>
      </w:r>
      <w:r w:rsidR="00E211E6">
        <w:rPr>
          <w:rFonts w:asciiTheme="minorHAnsi" w:hAnsiTheme="minorHAnsi" w:cstheme="minorHAnsi"/>
          <w:b/>
          <w:sz w:val="30"/>
          <w:szCs w:val="30"/>
        </w:rPr>
        <w:t xml:space="preserve">eny povinného ručení </w:t>
      </w:r>
      <w:r>
        <w:rPr>
          <w:rFonts w:asciiTheme="minorHAnsi" w:hAnsiTheme="minorHAnsi" w:cstheme="minorHAnsi"/>
          <w:b/>
          <w:sz w:val="30"/>
          <w:szCs w:val="30"/>
        </w:rPr>
        <w:t xml:space="preserve">v lednu </w:t>
      </w:r>
      <w:r w:rsidR="00E211E6">
        <w:rPr>
          <w:rFonts w:asciiTheme="minorHAnsi" w:hAnsiTheme="minorHAnsi" w:cstheme="minorHAnsi"/>
          <w:b/>
          <w:sz w:val="30"/>
          <w:szCs w:val="30"/>
        </w:rPr>
        <w:t>lehce poklesly</w:t>
      </w:r>
    </w:p>
    <w:p w14:paraId="110EFCE2" w14:textId="0EB8FAF5" w:rsidR="002C201F" w:rsidRPr="00B77830" w:rsidRDefault="008D0D1C" w:rsidP="002C201F">
      <w:pPr>
        <w:pStyle w:val="Odstavecseseznamem"/>
        <w:numPr>
          <w:ilvl w:val="0"/>
          <w:numId w:val="24"/>
        </w:numPr>
        <w:ind w:left="357" w:right="40" w:hanging="357"/>
        <w:rPr>
          <w:rFonts w:asciiTheme="minorHAnsi" w:hAnsiTheme="minorHAnsi" w:cstheme="minorHAnsi"/>
          <w:b/>
        </w:rPr>
      </w:pPr>
      <w:r w:rsidRPr="00B77830">
        <w:rPr>
          <w:rFonts w:asciiTheme="minorHAnsi" w:hAnsiTheme="minorHAnsi" w:cstheme="minorHAnsi"/>
          <w:b/>
        </w:rPr>
        <w:t>Celorepublikový průměr naměřené hodnoty POVIndexu poklesl o 61 korun</w:t>
      </w:r>
      <w:r w:rsidR="00B77830" w:rsidRPr="00B77830">
        <w:rPr>
          <w:rFonts w:asciiTheme="minorHAnsi" w:hAnsiTheme="minorHAnsi" w:cstheme="minorHAnsi"/>
          <w:b/>
        </w:rPr>
        <w:t>.</w:t>
      </w:r>
    </w:p>
    <w:p w14:paraId="65A638AE" w14:textId="12B2838C" w:rsidR="008D0D1C" w:rsidRPr="00B77830" w:rsidRDefault="00B77830" w:rsidP="002C201F">
      <w:pPr>
        <w:pStyle w:val="Odstavecseseznamem"/>
        <w:numPr>
          <w:ilvl w:val="0"/>
          <w:numId w:val="24"/>
        </w:numPr>
        <w:ind w:left="357" w:right="40" w:hanging="357"/>
        <w:rPr>
          <w:rFonts w:asciiTheme="minorHAnsi" w:hAnsiTheme="minorHAnsi" w:cstheme="minorHAnsi"/>
          <w:b/>
        </w:rPr>
      </w:pPr>
      <w:r w:rsidRPr="00B77830">
        <w:rPr>
          <w:rFonts w:asciiTheme="minorHAnsi" w:hAnsiTheme="minorHAnsi" w:cstheme="minorHAnsi"/>
          <w:b/>
        </w:rPr>
        <w:t xml:space="preserve">Průměrná cena </w:t>
      </w:r>
      <w:r w:rsidR="002A0C59">
        <w:rPr>
          <w:rFonts w:asciiTheme="minorHAnsi" w:hAnsiTheme="minorHAnsi" w:cstheme="minorHAnsi"/>
          <w:b/>
        </w:rPr>
        <w:t xml:space="preserve">pojištění typického vozu </w:t>
      </w:r>
      <w:r w:rsidRPr="00B77830">
        <w:rPr>
          <w:rFonts w:asciiTheme="minorHAnsi" w:hAnsiTheme="minorHAnsi" w:cstheme="minorHAnsi"/>
          <w:b/>
        </w:rPr>
        <w:t>se snížila na 7076 Kč</w:t>
      </w:r>
      <w:r>
        <w:rPr>
          <w:rFonts w:asciiTheme="minorHAnsi" w:hAnsiTheme="minorHAnsi" w:cstheme="minorHAnsi"/>
          <w:b/>
        </w:rPr>
        <w:t>.</w:t>
      </w:r>
    </w:p>
    <w:p w14:paraId="4ACC774F" w14:textId="7642FF60" w:rsidR="008D0D1C" w:rsidRPr="00834F97" w:rsidRDefault="006A52E2" w:rsidP="00834F97">
      <w:pPr>
        <w:pStyle w:val="Odstavecseseznamem"/>
        <w:numPr>
          <w:ilvl w:val="0"/>
          <w:numId w:val="24"/>
        </w:numPr>
        <w:spacing w:after="120"/>
        <w:ind w:left="357" w:right="40" w:hanging="357"/>
        <w:rPr>
          <w:rFonts w:asciiTheme="minorHAnsi" w:hAnsiTheme="minorHAnsi" w:cstheme="minorHAnsi"/>
          <w:b/>
        </w:rPr>
      </w:pPr>
      <w:r w:rsidRPr="00B77830">
        <w:rPr>
          <w:rFonts w:asciiTheme="minorHAnsi" w:hAnsiTheme="minorHAnsi" w:cstheme="minorHAnsi"/>
          <w:b/>
        </w:rPr>
        <w:t>P</w:t>
      </w:r>
      <w:r w:rsidR="00EE591F" w:rsidRPr="00B77830">
        <w:rPr>
          <w:rFonts w:asciiTheme="minorHAnsi" w:hAnsiTheme="minorHAnsi" w:cstheme="minorHAnsi"/>
          <w:b/>
        </w:rPr>
        <w:t xml:space="preserve">ovinné ručení </w:t>
      </w:r>
      <w:r w:rsidR="00255D9F" w:rsidRPr="00B77830">
        <w:rPr>
          <w:rFonts w:asciiTheme="minorHAnsi" w:hAnsiTheme="minorHAnsi" w:cstheme="minorHAnsi"/>
          <w:b/>
        </w:rPr>
        <w:t>se již brzy začne</w:t>
      </w:r>
      <w:r w:rsidR="008247C3" w:rsidRPr="00B77830">
        <w:rPr>
          <w:rFonts w:asciiTheme="minorHAnsi" w:hAnsiTheme="minorHAnsi" w:cstheme="minorHAnsi"/>
          <w:b/>
        </w:rPr>
        <w:t xml:space="preserve"> řídit</w:t>
      </w:r>
      <w:r w:rsidR="00EE591F" w:rsidRPr="00B77830">
        <w:rPr>
          <w:rFonts w:asciiTheme="minorHAnsi" w:hAnsiTheme="minorHAnsi" w:cstheme="minorHAnsi"/>
          <w:b/>
        </w:rPr>
        <w:t xml:space="preserve"> novými pravidly.</w:t>
      </w:r>
    </w:p>
    <w:p w14:paraId="2102055B" w14:textId="4E8F15F1" w:rsidR="00EB4A89" w:rsidRPr="00A268D9" w:rsidRDefault="00825B44" w:rsidP="00A83718">
      <w:pPr>
        <w:spacing w:after="120"/>
        <w:ind w:right="40"/>
        <w:jc w:val="both"/>
        <w:rPr>
          <w:rFonts w:asciiTheme="minorHAnsi" w:hAnsiTheme="minorHAnsi" w:cstheme="minorHAnsi"/>
          <w:b/>
          <w:sz w:val="21"/>
          <w:szCs w:val="21"/>
        </w:rPr>
      </w:pPr>
      <w:r w:rsidRPr="00A268D9">
        <w:rPr>
          <w:rFonts w:asciiTheme="minorHAnsi" w:hAnsiTheme="minorHAnsi" w:cstheme="minorHAnsi"/>
          <w:i/>
          <w:sz w:val="21"/>
          <w:szCs w:val="21"/>
        </w:rPr>
        <w:t>Praha</w:t>
      </w:r>
      <w:r w:rsidR="00582562" w:rsidRPr="00A268D9">
        <w:rPr>
          <w:rFonts w:asciiTheme="minorHAnsi" w:hAnsiTheme="minorHAnsi" w:cstheme="minorHAnsi"/>
          <w:i/>
          <w:sz w:val="21"/>
          <w:szCs w:val="21"/>
        </w:rPr>
        <w:t>,</w:t>
      </w:r>
      <w:r w:rsidR="00A268D9" w:rsidRPr="00A268D9">
        <w:rPr>
          <w:rFonts w:asciiTheme="minorHAnsi" w:hAnsiTheme="minorHAnsi" w:cstheme="minorHAnsi"/>
          <w:i/>
          <w:sz w:val="21"/>
          <w:szCs w:val="21"/>
        </w:rPr>
        <w:t xml:space="preserve"> 23. února </w:t>
      </w:r>
      <w:r w:rsidR="00B20F7B" w:rsidRPr="00A268D9">
        <w:rPr>
          <w:rFonts w:asciiTheme="minorHAnsi" w:hAnsiTheme="minorHAnsi" w:cstheme="minorHAnsi"/>
          <w:b/>
          <w:sz w:val="21"/>
          <w:szCs w:val="21"/>
        </w:rPr>
        <w:t xml:space="preserve">– </w:t>
      </w:r>
      <w:r w:rsidR="00255D9F" w:rsidRPr="00A268D9">
        <w:rPr>
          <w:rStyle w:val="Siln"/>
          <w:rFonts w:asciiTheme="minorHAnsi" w:hAnsiTheme="minorHAnsi" w:cstheme="minorHAnsi"/>
          <w:bCs w:val="0"/>
          <w:color w:val="000000"/>
          <w:sz w:val="21"/>
          <w:szCs w:val="21"/>
        </w:rPr>
        <w:t>Monitorovaná hodnota Broker Consulting POVIndexu z</w:t>
      </w:r>
      <w:r w:rsidR="00B87C15" w:rsidRPr="00A268D9">
        <w:rPr>
          <w:rStyle w:val="Siln"/>
          <w:rFonts w:asciiTheme="minorHAnsi" w:hAnsiTheme="minorHAnsi" w:cstheme="minorHAnsi"/>
          <w:bCs w:val="0"/>
          <w:color w:val="000000"/>
          <w:sz w:val="21"/>
          <w:szCs w:val="21"/>
        </w:rPr>
        <w:t>a leden</w:t>
      </w:r>
      <w:r w:rsidR="00255D9F" w:rsidRPr="00A268D9">
        <w:rPr>
          <w:rStyle w:val="Siln"/>
          <w:rFonts w:asciiTheme="minorHAnsi" w:hAnsiTheme="minorHAnsi" w:cstheme="minorHAnsi"/>
          <w:bCs w:val="0"/>
          <w:color w:val="000000"/>
          <w:sz w:val="21"/>
          <w:szCs w:val="21"/>
        </w:rPr>
        <w:t xml:space="preserve"> oproti předchozímu měsíci</w:t>
      </w:r>
      <w:r w:rsidR="00B77830" w:rsidRPr="00A268D9">
        <w:rPr>
          <w:rStyle w:val="Siln"/>
          <w:rFonts w:asciiTheme="minorHAnsi" w:hAnsiTheme="minorHAnsi" w:cstheme="minorHAnsi"/>
          <w:bCs w:val="0"/>
          <w:color w:val="000000"/>
          <w:sz w:val="21"/>
          <w:szCs w:val="21"/>
        </w:rPr>
        <w:t xml:space="preserve"> </w:t>
      </w:r>
      <w:r w:rsidR="00255D9F" w:rsidRPr="00A268D9">
        <w:rPr>
          <w:rStyle w:val="Siln"/>
          <w:rFonts w:asciiTheme="minorHAnsi" w:hAnsiTheme="minorHAnsi" w:cstheme="minorHAnsi"/>
          <w:bCs w:val="0"/>
          <w:color w:val="000000"/>
          <w:sz w:val="21"/>
          <w:szCs w:val="21"/>
        </w:rPr>
        <w:t>klesla o 61 korun.</w:t>
      </w:r>
      <w:r w:rsidR="00255D9F" w:rsidRPr="00A268D9">
        <w:rPr>
          <w:rStyle w:val="Siln"/>
          <w:rFonts w:asciiTheme="minorHAnsi" w:hAnsiTheme="minorHAnsi" w:cstheme="minorHAnsi"/>
          <w:b w:val="0"/>
          <w:bCs w:val="0"/>
          <w:color w:val="000000"/>
          <w:sz w:val="21"/>
          <w:szCs w:val="21"/>
        </w:rPr>
        <w:t xml:space="preserve"> </w:t>
      </w:r>
      <w:r w:rsidR="00B87C15" w:rsidRPr="00A268D9">
        <w:rPr>
          <w:rFonts w:asciiTheme="minorHAnsi" w:hAnsiTheme="minorHAnsi" w:cstheme="minorHAnsi"/>
          <w:b/>
          <w:sz w:val="21"/>
          <w:szCs w:val="21"/>
        </w:rPr>
        <w:t>Průměrná c</w:t>
      </w:r>
      <w:r w:rsidR="002A0C59" w:rsidRPr="00A268D9">
        <w:rPr>
          <w:rFonts w:asciiTheme="minorHAnsi" w:hAnsiTheme="minorHAnsi" w:cstheme="minorHAnsi"/>
          <w:b/>
          <w:sz w:val="21"/>
          <w:szCs w:val="21"/>
        </w:rPr>
        <w:t>ena pojištění typického vozu</w:t>
      </w:r>
      <w:r w:rsidR="00E41EE8" w:rsidRPr="00A268D9">
        <w:rPr>
          <w:rFonts w:asciiTheme="minorHAnsi" w:hAnsiTheme="minorHAnsi" w:cstheme="minorHAnsi"/>
          <w:b/>
          <w:sz w:val="21"/>
          <w:szCs w:val="21"/>
        </w:rPr>
        <w:t xml:space="preserve"> </w:t>
      </w:r>
      <w:r w:rsidR="00B87C15" w:rsidRPr="00A268D9">
        <w:rPr>
          <w:rFonts w:asciiTheme="minorHAnsi" w:hAnsiTheme="minorHAnsi" w:cstheme="minorHAnsi"/>
          <w:b/>
          <w:sz w:val="21"/>
          <w:szCs w:val="21"/>
        </w:rPr>
        <w:t>se snížila na 7076 Kč</w:t>
      </w:r>
      <w:r w:rsidR="00E41EE8" w:rsidRPr="00A268D9">
        <w:rPr>
          <w:rFonts w:asciiTheme="minorHAnsi" w:hAnsiTheme="minorHAnsi" w:cstheme="minorHAnsi"/>
          <w:b/>
          <w:sz w:val="21"/>
          <w:szCs w:val="21"/>
        </w:rPr>
        <w:t xml:space="preserve">. </w:t>
      </w:r>
      <w:r w:rsidR="00E84909" w:rsidRPr="00A268D9">
        <w:rPr>
          <w:rFonts w:asciiTheme="minorHAnsi" w:hAnsiTheme="minorHAnsi" w:cstheme="minorHAnsi"/>
          <w:b/>
          <w:sz w:val="21"/>
          <w:szCs w:val="21"/>
        </w:rPr>
        <w:t xml:space="preserve">V Praze </w:t>
      </w:r>
      <w:r w:rsidR="004E7863" w:rsidRPr="00A268D9">
        <w:rPr>
          <w:rFonts w:asciiTheme="minorHAnsi" w:hAnsiTheme="minorHAnsi" w:cstheme="minorHAnsi"/>
          <w:b/>
          <w:sz w:val="21"/>
          <w:szCs w:val="21"/>
        </w:rPr>
        <w:t xml:space="preserve">se cena </w:t>
      </w:r>
      <w:r w:rsidR="00B77830" w:rsidRPr="00A268D9">
        <w:rPr>
          <w:rFonts w:asciiTheme="minorHAnsi" w:hAnsiTheme="minorHAnsi" w:cstheme="minorHAnsi"/>
          <w:b/>
          <w:sz w:val="21"/>
          <w:szCs w:val="21"/>
        </w:rPr>
        <w:t xml:space="preserve">pojištění </w:t>
      </w:r>
      <w:r w:rsidR="004E7863" w:rsidRPr="00A268D9">
        <w:rPr>
          <w:rFonts w:asciiTheme="minorHAnsi" w:hAnsiTheme="minorHAnsi" w:cstheme="minorHAnsi"/>
          <w:b/>
          <w:sz w:val="21"/>
          <w:szCs w:val="21"/>
        </w:rPr>
        <w:t>pohybovala okolo</w:t>
      </w:r>
      <w:r w:rsidR="00B87C15" w:rsidRPr="00A268D9">
        <w:rPr>
          <w:rFonts w:asciiTheme="minorHAnsi" w:hAnsiTheme="minorHAnsi" w:cstheme="minorHAnsi"/>
          <w:b/>
          <w:sz w:val="21"/>
          <w:szCs w:val="21"/>
        </w:rPr>
        <w:t xml:space="preserve"> 7 779 Kč, zatímco ve středočeském Benešově</w:t>
      </w:r>
      <w:r w:rsidR="00E84909" w:rsidRPr="00A268D9">
        <w:rPr>
          <w:rFonts w:asciiTheme="minorHAnsi" w:hAnsiTheme="minorHAnsi" w:cstheme="minorHAnsi"/>
          <w:b/>
          <w:sz w:val="21"/>
          <w:szCs w:val="21"/>
        </w:rPr>
        <w:t xml:space="preserve"> 6 267 Kč. Na místě je také připomeno</w:t>
      </w:r>
      <w:r w:rsidR="00255D9F" w:rsidRPr="00A268D9">
        <w:rPr>
          <w:rFonts w:asciiTheme="minorHAnsi" w:hAnsiTheme="minorHAnsi" w:cstheme="minorHAnsi"/>
          <w:b/>
          <w:sz w:val="21"/>
          <w:szCs w:val="21"/>
        </w:rPr>
        <w:t>ut novelu zákona, která přinese</w:t>
      </w:r>
      <w:r w:rsidR="00E84909" w:rsidRPr="00A268D9">
        <w:rPr>
          <w:rFonts w:asciiTheme="minorHAnsi" w:hAnsiTheme="minorHAnsi" w:cstheme="minorHAnsi"/>
          <w:b/>
          <w:sz w:val="21"/>
          <w:szCs w:val="21"/>
        </w:rPr>
        <w:t xml:space="preserve"> </w:t>
      </w:r>
      <w:r w:rsidR="00ED2A49" w:rsidRPr="00A268D9">
        <w:rPr>
          <w:rFonts w:asciiTheme="minorHAnsi" w:hAnsiTheme="minorHAnsi" w:cstheme="minorHAnsi"/>
          <w:b/>
          <w:sz w:val="21"/>
          <w:szCs w:val="21"/>
        </w:rPr>
        <w:t xml:space="preserve">povinnost sjednat pojištění odpovědnosti </w:t>
      </w:r>
      <w:r w:rsidR="00E84909" w:rsidRPr="00A268D9">
        <w:rPr>
          <w:rFonts w:asciiTheme="minorHAnsi" w:hAnsiTheme="minorHAnsi" w:cstheme="minorHAnsi"/>
          <w:b/>
          <w:sz w:val="21"/>
          <w:szCs w:val="21"/>
        </w:rPr>
        <w:t>skutečnému provozovateli vozidla. Vlastník vozidla tedy nově za řádné pojištění vozidla</w:t>
      </w:r>
      <w:r w:rsidR="00EE4761" w:rsidRPr="00A268D9">
        <w:rPr>
          <w:rFonts w:asciiTheme="minorHAnsi" w:hAnsiTheme="minorHAnsi" w:cstheme="minorHAnsi"/>
          <w:b/>
          <w:sz w:val="21"/>
          <w:szCs w:val="21"/>
        </w:rPr>
        <w:t xml:space="preserve"> již</w:t>
      </w:r>
      <w:r w:rsidR="00255D9F" w:rsidRPr="00A268D9">
        <w:rPr>
          <w:rFonts w:asciiTheme="minorHAnsi" w:hAnsiTheme="minorHAnsi" w:cstheme="minorHAnsi"/>
          <w:b/>
          <w:sz w:val="21"/>
          <w:szCs w:val="21"/>
        </w:rPr>
        <w:t xml:space="preserve"> zodpovídat nebude</w:t>
      </w:r>
      <w:r w:rsidR="00E84909" w:rsidRPr="00A268D9">
        <w:rPr>
          <w:rFonts w:asciiTheme="minorHAnsi" w:hAnsiTheme="minorHAnsi" w:cstheme="minorHAnsi"/>
          <w:b/>
          <w:sz w:val="21"/>
          <w:szCs w:val="21"/>
        </w:rPr>
        <w:t xml:space="preserve">. </w:t>
      </w:r>
    </w:p>
    <w:p w14:paraId="73B3A5C0" w14:textId="01186204" w:rsidR="00A83718" w:rsidRPr="00A268D9" w:rsidRDefault="000C5490" w:rsidP="00A268D9">
      <w:pPr>
        <w:spacing w:after="120"/>
        <w:ind w:right="130"/>
        <w:jc w:val="both"/>
        <w:rPr>
          <w:rFonts w:asciiTheme="minorHAnsi" w:hAnsiTheme="minorHAnsi" w:cs="Arial"/>
          <w:sz w:val="21"/>
          <w:szCs w:val="21"/>
        </w:rPr>
      </w:pPr>
      <w:r w:rsidRPr="00A268D9">
        <w:rPr>
          <w:rFonts w:asciiTheme="minorHAnsi" w:hAnsiTheme="minorHAnsi" w:cs="Arial"/>
          <w:sz w:val="21"/>
          <w:szCs w:val="21"/>
        </w:rPr>
        <w:t>Z dlouhodobě monitorovaných dat vyplývá</w:t>
      </w:r>
      <w:r w:rsidR="002A0C59" w:rsidRPr="00A268D9">
        <w:rPr>
          <w:rFonts w:asciiTheme="minorHAnsi" w:hAnsiTheme="minorHAnsi" w:cs="Arial"/>
          <w:sz w:val="21"/>
          <w:szCs w:val="21"/>
        </w:rPr>
        <w:t>, že cena povinného ručení</w:t>
      </w:r>
      <w:r w:rsidR="00A83718" w:rsidRPr="00A268D9">
        <w:rPr>
          <w:rFonts w:asciiTheme="minorHAnsi" w:hAnsiTheme="minorHAnsi" w:cs="Arial"/>
          <w:sz w:val="21"/>
          <w:szCs w:val="21"/>
        </w:rPr>
        <w:t xml:space="preserve"> od roku 2019, což byl první sledovaný rok, mírně narůstá. S hodnotou okolo osmi tisíc korun, konkrétně 8 </w:t>
      </w:r>
      <w:r w:rsidRPr="00A268D9">
        <w:rPr>
          <w:rFonts w:asciiTheme="minorHAnsi" w:hAnsiTheme="minorHAnsi" w:cs="Arial"/>
          <w:sz w:val="21"/>
          <w:szCs w:val="21"/>
        </w:rPr>
        <w:t>145 Kč, dominuje rok</w:t>
      </w:r>
      <w:r w:rsidR="00255D9F" w:rsidRPr="00A268D9">
        <w:rPr>
          <w:rFonts w:asciiTheme="minorHAnsi" w:hAnsiTheme="minorHAnsi" w:cs="Arial"/>
          <w:sz w:val="21"/>
          <w:szCs w:val="21"/>
        </w:rPr>
        <w:t xml:space="preserve"> </w:t>
      </w:r>
      <w:r w:rsidRPr="00A268D9">
        <w:rPr>
          <w:rFonts w:asciiTheme="minorHAnsi" w:hAnsiTheme="minorHAnsi" w:cs="Arial"/>
          <w:sz w:val="21"/>
          <w:szCs w:val="21"/>
        </w:rPr>
        <w:t>2020.</w:t>
      </w:r>
      <w:r w:rsidR="00A83718" w:rsidRPr="00A268D9">
        <w:rPr>
          <w:rFonts w:asciiTheme="minorHAnsi" w:hAnsiTheme="minorHAnsi" w:cs="Arial"/>
          <w:sz w:val="21"/>
          <w:szCs w:val="21"/>
        </w:rPr>
        <w:t xml:space="preserve"> </w:t>
      </w:r>
      <w:r w:rsidRPr="00A268D9">
        <w:rPr>
          <w:rFonts w:asciiTheme="minorHAnsi" w:hAnsiTheme="minorHAnsi" w:cs="Arial"/>
          <w:sz w:val="21"/>
          <w:szCs w:val="21"/>
        </w:rPr>
        <w:t xml:space="preserve">Nejnižší cena povinného ručení byla zaznamenána v roce 2022, konkrétně 6 522 Kč. Letos </w:t>
      </w:r>
      <w:r w:rsidR="004E7863" w:rsidRPr="00A268D9">
        <w:rPr>
          <w:rFonts w:asciiTheme="minorHAnsi" w:hAnsiTheme="minorHAnsi" w:cs="Arial"/>
          <w:sz w:val="21"/>
          <w:szCs w:val="21"/>
        </w:rPr>
        <w:t>se průměrná cena pojištění napříč republikou ustálila na 7 076 Kč.</w:t>
      </w:r>
    </w:p>
    <w:p w14:paraId="39FA6A21" w14:textId="424BB8EB" w:rsidR="00362A5B" w:rsidRDefault="00362A5B" w:rsidP="00A268D9">
      <w:pPr>
        <w:spacing w:after="240"/>
        <w:jc w:val="both"/>
        <w:rPr>
          <w:rFonts w:asciiTheme="minorHAnsi" w:hAnsiTheme="minorHAnsi" w:cstheme="minorHAnsi"/>
          <w:b/>
          <w:bCs/>
          <w:i/>
          <w:sz w:val="21"/>
          <w:szCs w:val="21"/>
        </w:rPr>
      </w:pPr>
      <w:r w:rsidRPr="00A268D9">
        <w:rPr>
          <w:rFonts w:asciiTheme="minorHAnsi" w:hAnsiTheme="minorHAnsi" w:cs="Arial"/>
          <w:i/>
          <w:sz w:val="21"/>
          <w:szCs w:val="21"/>
        </w:rPr>
        <w:t xml:space="preserve">„Průměrná cena povinného ručení byla v lednu v Praze </w:t>
      </w:r>
      <w:r w:rsidR="002D4E88" w:rsidRPr="00A268D9">
        <w:rPr>
          <w:rFonts w:asciiTheme="minorHAnsi" w:hAnsiTheme="minorHAnsi" w:cs="Arial"/>
          <w:i/>
          <w:sz w:val="21"/>
          <w:szCs w:val="21"/>
        </w:rPr>
        <w:t>7 779</w:t>
      </w:r>
      <w:r w:rsidRPr="00A268D9">
        <w:rPr>
          <w:rFonts w:asciiTheme="minorHAnsi" w:hAnsiTheme="minorHAnsi" w:cs="Arial"/>
          <w:i/>
          <w:sz w:val="21"/>
          <w:szCs w:val="21"/>
        </w:rPr>
        <w:t xml:space="preserve"> Kč, zatímco v nedalekém Benešově 6 267 Kč. Tento rozdíl je dán řadou faktorů, </w:t>
      </w:r>
      <w:r w:rsidR="00236DF8" w:rsidRPr="00A268D9">
        <w:rPr>
          <w:rFonts w:asciiTheme="minorHAnsi" w:hAnsiTheme="minorHAnsi" w:cs="Arial"/>
          <w:i/>
          <w:sz w:val="21"/>
          <w:szCs w:val="21"/>
        </w:rPr>
        <w:t>tedy nejen místem bydliště, ale i věkem pojistníka, typem vozidla a v neposlední řadě skutečností, zda pojistník disponuje bonusy nebo malusy. Tedy zda jezdí bez nehod a má tak cenově zvýhodněné pojištění nebo bourá a dostává se tím</w:t>
      </w:r>
      <w:r w:rsidR="003F1184" w:rsidRPr="00A268D9">
        <w:rPr>
          <w:rFonts w:asciiTheme="minorHAnsi" w:hAnsiTheme="minorHAnsi" w:cs="Arial"/>
          <w:i/>
          <w:sz w:val="21"/>
          <w:szCs w:val="21"/>
        </w:rPr>
        <w:t xml:space="preserve"> na daleko vyšší částky“, uvedl</w:t>
      </w:r>
      <w:r w:rsidR="00236DF8" w:rsidRPr="00A268D9">
        <w:rPr>
          <w:rFonts w:asciiTheme="minorHAnsi" w:hAnsiTheme="minorHAnsi" w:cstheme="minorHAnsi"/>
          <w:b/>
          <w:bCs/>
          <w:i/>
          <w:sz w:val="21"/>
          <w:szCs w:val="21"/>
        </w:rPr>
        <w:t xml:space="preserve"> analytik společnost</w:t>
      </w:r>
      <w:r w:rsidR="003F1184" w:rsidRPr="00A268D9">
        <w:rPr>
          <w:rFonts w:asciiTheme="minorHAnsi" w:hAnsiTheme="minorHAnsi" w:cstheme="minorHAnsi"/>
          <w:b/>
          <w:bCs/>
          <w:i/>
          <w:sz w:val="21"/>
          <w:szCs w:val="21"/>
        </w:rPr>
        <w:t>i Broker Consulting Jiří Váchal</w:t>
      </w:r>
      <w:r w:rsidR="00236DF8" w:rsidRPr="00A268D9">
        <w:rPr>
          <w:rFonts w:asciiTheme="minorHAnsi" w:hAnsiTheme="minorHAnsi" w:cstheme="minorHAnsi"/>
          <w:b/>
          <w:bCs/>
          <w:i/>
          <w:sz w:val="21"/>
          <w:szCs w:val="21"/>
        </w:rPr>
        <w:t>.</w:t>
      </w:r>
    </w:p>
    <w:p w14:paraId="6E01EF0D" w14:textId="3AACB12C" w:rsidR="00A268D9" w:rsidRPr="00A268D9" w:rsidRDefault="00A268D9" w:rsidP="00A83718">
      <w:pPr>
        <w:jc w:val="both"/>
        <w:rPr>
          <w:rFonts w:asciiTheme="minorHAnsi" w:hAnsiTheme="minorHAnsi" w:cstheme="minorHAnsi"/>
          <w:b/>
          <w:bCs/>
          <w:i/>
          <w:sz w:val="21"/>
          <w:szCs w:val="21"/>
        </w:rPr>
      </w:pPr>
      <w:r>
        <w:rPr>
          <w:rFonts w:asciiTheme="minorHAnsi" w:hAnsiTheme="minorHAnsi" w:cstheme="minorHAnsi"/>
          <w:noProof/>
          <w:sz w:val="21"/>
          <w:szCs w:val="21"/>
          <w:lang w:bidi="ar-SA"/>
        </w:rPr>
        <w:drawing>
          <wp:inline distT="0" distB="0" distL="0" distR="0" wp14:anchorId="0E15C605" wp14:editId="680FA140">
            <wp:extent cx="6654165" cy="30537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 BC POVIndex - leden 2024.jpg"/>
                    <pic:cNvPicPr/>
                  </pic:nvPicPr>
                  <pic:blipFill>
                    <a:blip r:embed="rId17">
                      <a:extLst>
                        <a:ext uri="{28A0092B-C50C-407E-A947-70E740481C1C}">
                          <a14:useLocalDpi xmlns:a14="http://schemas.microsoft.com/office/drawing/2010/main" val="0"/>
                        </a:ext>
                      </a:extLst>
                    </a:blip>
                    <a:stretch>
                      <a:fillRect/>
                    </a:stretch>
                  </pic:blipFill>
                  <pic:spPr>
                    <a:xfrm>
                      <a:off x="0" y="0"/>
                      <a:ext cx="6654165" cy="3053715"/>
                    </a:xfrm>
                    <a:prstGeom prst="rect">
                      <a:avLst/>
                    </a:prstGeom>
                  </pic:spPr>
                </pic:pic>
              </a:graphicData>
            </a:graphic>
          </wp:inline>
        </w:drawing>
      </w:r>
    </w:p>
    <w:p w14:paraId="457A13BD" w14:textId="77777777" w:rsidR="002C201F" w:rsidRPr="00A268D9" w:rsidRDefault="002C201F" w:rsidP="002C201F">
      <w:pPr>
        <w:jc w:val="both"/>
        <w:rPr>
          <w:rFonts w:asciiTheme="minorHAnsi" w:hAnsiTheme="minorHAnsi" w:cstheme="minorHAnsi"/>
          <w:b/>
          <w:bCs/>
          <w:i/>
          <w:sz w:val="21"/>
          <w:szCs w:val="21"/>
        </w:rPr>
      </w:pPr>
    </w:p>
    <w:p w14:paraId="59963AAC" w14:textId="2A928E9E" w:rsidR="002D4E88" w:rsidRPr="00A268D9" w:rsidRDefault="002C201F" w:rsidP="00A83718">
      <w:pPr>
        <w:jc w:val="both"/>
        <w:rPr>
          <w:rFonts w:asciiTheme="minorHAnsi" w:hAnsiTheme="minorHAnsi" w:cs="Arial"/>
          <w:sz w:val="21"/>
          <w:szCs w:val="21"/>
        </w:rPr>
      </w:pPr>
      <w:r w:rsidRPr="00A268D9">
        <w:rPr>
          <w:rFonts w:asciiTheme="minorHAnsi" w:hAnsiTheme="minorHAnsi" w:cstheme="minorHAnsi"/>
          <w:bCs/>
          <w:sz w:val="21"/>
          <w:szCs w:val="21"/>
        </w:rPr>
        <w:t>V</w:t>
      </w:r>
      <w:r w:rsidRPr="00A268D9">
        <w:rPr>
          <w:rFonts w:asciiTheme="minorHAnsi" w:hAnsiTheme="minorHAnsi" w:cstheme="minorHAnsi"/>
          <w:sz w:val="21"/>
          <w:szCs w:val="21"/>
        </w:rPr>
        <w:t> Praze pozorujeme u povinného ručení stejný vývoj jako u celorepublikového POVIndexu</w:t>
      </w:r>
      <w:r w:rsidRPr="00A268D9">
        <w:rPr>
          <w:rFonts w:asciiTheme="minorHAnsi" w:hAnsiTheme="minorHAnsi" w:cs="Arial"/>
          <w:sz w:val="21"/>
          <w:szCs w:val="21"/>
        </w:rPr>
        <w:t>.</w:t>
      </w:r>
      <w:r w:rsidR="00B87C15" w:rsidRPr="00A268D9">
        <w:rPr>
          <w:rFonts w:asciiTheme="minorHAnsi" w:hAnsiTheme="minorHAnsi" w:cs="Arial"/>
          <w:sz w:val="21"/>
          <w:szCs w:val="21"/>
        </w:rPr>
        <w:t xml:space="preserve"> </w:t>
      </w:r>
      <w:r w:rsidR="00960C2D" w:rsidRPr="00A268D9">
        <w:rPr>
          <w:rFonts w:asciiTheme="minorHAnsi" w:hAnsiTheme="minorHAnsi" w:cs="Arial"/>
          <w:sz w:val="21"/>
          <w:szCs w:val="21"/>
        </w:rPr>
        <w:t xml:space="preserve">Cena pojištění dosáhla maxima v roce </w:t>
      </w:r>
      <w:r w:rsidR="00BD5B45" w:rsidRPr="00A268D9">
        <w:rPr>
          <w:rFonts w:asciiTheme="minorHAnsi" w:hAnsiTheme="minorHAnsi" w:cs="Arial"/>
          <w:sz w:val="21"/>
          <w:szCs w:val="21"/>
        </w:rPr>
        <w:t>2020</w:t>
      </w:r>
      <w:r w:rsidR="004A7F47" w:rsidRPr="00A268D9">
        <w:rPr>
          <w:rFonts w:asciiTheme="minorHAnsi" w:hAnsiTheme="minorHAnsi" w:cs="Arial"/>
          <w:sz w:val="21"/>
          <w:szCs w:val="21"/>
        </w:rPr>
        <w:t xml:space="preserve"> s průměrem</w:t>
      </w:r>
      <w:r w:rsidR="00960C2D" w:rsidRPr="00A268D9">
        <w:rPr>
          <w:rFonts w:asciiTheme="minorHAnsi" w:hAnsiTheme="minorHAnsi" w:cs="Arial"/>
          <w:sz w:val="21"/>
          <w:szCs w:val="21"/>
        </w:rPr>
        <w:t xml:space="preserve"> </w:t>
      </w:r>
      <w:r w:rsidR="00982060" w:rsidRPr="00A268D9">
        <w:rPr>
          <w:rFonts w:asciiTheme="minorHAnsi" w:hAnsiTheme="minorHAnsi" w:cs="Arial"/>
          <w:sz w:val="21"/>
          <w:szCs w:val="21"/>
        </w:rPr>
        <w:t>8 147 korun</w:t>
      </w:r>
      <w:r w:rsidR="00960C2D" w:rsidRPr="00A268D9">
        <w:rPr>
          <w:rFonts w:asciiTheme="minorHAnsi" w:hAnsiTheme="minorHAnsi" w:cs="Arial"/>
          <w:sz w:val="21"/>
          <w:szCs w:val="21"/>
        </w:rPr>
        <w:t xml:space="preserve">. </w:t>
      </w:r>
      <w:r w:rsidR="003F1184" w:rsidRPr="00A268D9">
        <w:rPr>
          <w:rFonts w:asciiTheme="minorHAnsi" w:hAnsiTheme="minorHAnsi" w:cs="Arial"/>
          <w:sz w:val="21"/>
          <w:szCs w:val="21"/>
        </w:rPr>
        <w:t xml:space="preserve">Nejnižší </w:t>
      </w:r>
      <w:r w:rsidR="004A7F47" w:rsidRPr="00A268D9">
        <w:rPr>
          <w:rFonts w:asciiTheme="minorHAnsi" w:hAnsiTheme="minorHAnsi" w:cs="Arial"/>
          <w:sz w:val="21"/>
          <w:szCs w:val="21"/>
        </w:rPr>
        <w:t>hodnotu přinesl</w:t>
      </w:r>
      <w:r w:rsidR="00B87C15" w:rsidRPr="00A268D9">
        <w:rPr>
          <w:rFonts w:asciiTheme="minorHAnsi" w:hAnsiTheme="minorHAnsi" w:cs="Arial"/>
          <w:sz w:val="21"/>
          <w:szCs w:val="21"/>
        </w:rPr>
        <w:t xml:space="preserve"> </w:t>
      </w:r>
      <w:r w:rsidR="004A7F47" w:rsidRPr="00A268D9">
        <w:rPr>
          <w:rFonts w:asciiTheme="minorHAnsi" w:hAnsiTheme="minorHAnsi" w:cs="Arial"/>
          <w:sz w:val="21"/>
          <w:szCs w:val="21"/>
        </w:rPr>
        <w:t>rok</w:t>
      </w:r>
      <w:r w:rsidR="003F1184" w:rsidRPr="00A268D9">
        <w:rPr>
          <w:rFonts w:asciiTheme="minorHAnsi" w:hAnsiTheme="minorHAnsi" w:cs="Arial"/>
          <w:sz w:val="21"/>
          <w:szCs w:val="21"/>
        </w:rPr>
        <w:t xml:space="preserve"> 2022</w:t>
      </w:r>
      <w:r w:rsidR="00C1291C" w:rsidRPr="00A268D9">
        <w:rPr>
          <w:rFonts w:asciiTheme="minorHAnsi" w:hAnsiTheme="minorHAnsi" w:cs="Arial"/>
          <w:sz w:val="21"/>
          <w:szCs w:val="21"/>
        </w:rPr>
        <w:t>, a to</w:t>
      </w:r>
      <w:r w:rsidR="003F1184" w:rsidRPr="00A268D9">
        <w:rPr>
          <w:rFonts w:asciiTheme="minorHAnsi" w:hAnsiTheme="minorHAnsi" w:cs="Arial"/>
          <w:sz w:val="21"/>
          <w:szCs w:val="21"/>
        </w:rPr>
        <w:t> 7</w:t>
      </w:r>
      <w:r w:rsidR="008B4E4B" w:rsidRPr="00A268D9">
        <w:rPr>
          <w:rFonts w:asciiTheme="minorHAnsi" w:hAnsiTheme="minorHAnsi" w:cs="Arial"/>
          <w:sz w:val="21"/>
          <w:szCs w:val="21"/>
        </w:rPr>
        <w:t xml:space="preserve"> </w:t>
      </w:r>
      <w:r w:rsidR="003F1184" w:rsidRPr="00A268D9">
        <w:rPr>
          <w:rFonts w:asciiTheme="minorHAnsi" w:hAnsiTheme="minorHAnsi" w:cs="Arial"/>
          <w:sz w:val="21"/>
          <w:szCs w:val="21"/>
        </w:rPr>
        <w:t xml:space="preserve">227 </w:t>
      </w:r>
      <w:r w:rsidR="00C1291C" w:rsidRPr="00A268D9">
        <w:rPr>
          <w:rFonts w:asciiTheme="minorHAnsi" w:hAnsiTheme="minorHAnsi" w:cs="Arial"/>
          <w:sz w:val="21"/>
          <w:szCs w:val="21"/>
        </w:rPr>
        <w:t>korun</w:t>
      </w:r>
      <w:r w:rsidR="005F2CF3" w:rsidRPr="00A268D9">
        <w:rPr>
          <w:rFonts w:asciiTheme="minorHAnsi" w:hAnsiTheme="minorHAnsi" w:cs="Arial"/>
          <w:sz w:val="21"/>
          <w:szCs w:val="21"/>
        </w:rPr>
        <w:t xml:space="preserve">. V loňském roce se poté cena pohyboval okolo 7 443 korun. </w:t>
      </w:r>
      <w:r w:rsidR="00C1291C" w:rsidRPr="00A268D9">
        <w:rPr>
          <w:rFonts w:asciiTheme="minorHAnsi" w:hAnsiTheme="minorHAnsi" w:cs="Arial"/>
          <w:sz w:val="21"/>
          <w:szCs w:val="21"/>
        </w:rPr>
        <w:t>Průměrná cena pov</w:t>
      </w:r>
      <w:r w:rsidR="00BD5B45" w:rsidRPr="00A268D9">
        <w:rPr>
          <w:rFonts w:asciiTheme="minorHAnsi" w:hAnsiTheme="minorHAnsi" w:cs="Arial"/>
          <w:sz w:val="21"/>
          <w:szCs w:val="21"/>
        </w:rPr>
        <w:t>inného ručení za posledních pět</w:t>
      </w:r>
      <w:r w:rsidR="00C1291C" w:rsidRPr="00A268D9">
        <w:rPr>
          <w:rFonts w:asciiTheme="minorHAnsi" w:hAnsiTheme="minorHAnsi" w:cs="Arial"/>
          <w:sz w:val="21"/>
          <w:szCs w:val="21"/>
        </w:rPr>
        <w:t xml:space="preserve"> let je pak 7 507,80 Kč. </w:t>
      </w:r>
    </w:p>
    <w:p w14:paraId="0FB3253F" w14:textId="10B8D42B" w:rsidR="00540A5E" w:rsidRPr="00A268D9" w:rsidRDefault="00540A5E" w:rsidP="00EE591F">
      <w:pPr>
        <w:spacing w:after="120"/>
        <w:ind w:right="130"/>
        <w:rPr>
          <w:rFonts w:asciiTheme="minorHAnsi" w:hAnsiTheme="minorHAnsi" w:cstheme="minorHAnsi"/>
          <w:sz w:val="21"/>
          <w:szCs w:val="21"/>
        </w:rPr>
      </w:pPr>
    </w:p>
    <w:p w14:paraId="5ECDEE80" w14:textId="1B2A339D" w:rsidR="00EE591F" w:rsidRPr="00A268D9" w:rsidRDefault="00EE4761" w:rsidP="00EE591F">
      <w:pPr>
        <w:spacing w:after="120"/>
        <w:ind w:right="130"/>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BOX: Lednové</w:t>
      </w:r>
      <w:r w:rsidR="00EE591F" w:rsidRPr="00A268D9">
        <w:rPr>
          <w:rFonts w:asciiTheme="minorHAnsi" w:hAnsiTheme="minorHAnsi" w:cstheme="minorHAnsi"/>
          <w:b/>
          <w:bCs/>
          <w:color w:val="4F81BD" w:themeColor="accent1"/>
          <w:sz w:val="21"/>
          <w:szCs w:val="21"/>
        </w:rPr>
        <w:t xml:space="preserve"> hodnoty Broker Consulting POVIndexu</w:t>
      </w:r>
      <w:r w:rsidR="0005628C" w:rsidRPr="00A268D9">
        <w:rPr>
          <w:rFonts w:asciiTheme="minorHAnsi" w:hAnsiTheme="minorHAnsi" w:cstheme="minorHAnsi"/>
          <w:b/>
          <w:bCs/>
          <w:color w:val="4F81BD" w:themeColor="accent1"/>
          <w:sz w:val="21"/>
          <w:szCs w:val="21"/>
        </w:rPr>
        <w:t xml:space="preserve"> (celorepublikový průměr)</w:t>
      </w:r>
    </w:p>
    <w:tbl>
      <w:tblPr>
        <w:tblStyle w:val="Mkatabulky"/>
        <w:tblW w:w="0" w:type="auto"/>
        <w:tblLook w:val="04A0" w:firstRow="1" w:lastRow="0" w:firstColumn="1" w:lastColumn="0" w:noHBand="0" w:noVBand="1"/>
      </w:tblPr>
      <w:tblGrid>
        <w:gridCol w:w="2689"/>
        <w:gridCol w:w="2268"/>
      </w:tblGrid>
      <w:tr w:rsidR="00E211E6" w:rsidRPr="00A268D9" w14:paraId="357C3ED3" w14:textId="77777777" w:rsidTr="00D24115">
        <w:tc>
          <w:tcPr>
            <w:tcW w:w="2689" w:type="dxa"/>
          </w:tcPr>
          <w:p w14:paraId="1D438203" w14:textId="77777777" w:rsidR="00EE591F" w:rsidRPr="00A268D9" w:rsidRDefault="00EE591F" w:rsidP="00A268D9">
            <w:pPr>
              <w:ind w:right="130"/>
              <w:jc w:val="center"/>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Rok</w:t>
            </w:r>
          </w:p>
        </w:tc>
        <w:tc>
          <w:tcPr>
            <w:tcW w:w="2268" w:type="dxa"/>
          </w:tcPr>
          <w:p w14:paraId="41DF7AF1" w14:textId="77777777" w:rsidR="00EE591F" w:rsidRPr="00A268D9" w:rsidRDefault="00EE591F" w:rsidP="00A268D9">
            <w:pPr>
              <w:ind w:right="130"/>
              <w:jc w:val="center"/>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Hodnota POV Indexu</w:t>
            </w:r>
          </w:p>
        </w:tc>
      </w:tr>
      <w:tr w:rsidR="00E211E6" w:rsidRPr="00A268D9" w14:paraId="671D9D3B" w14:textId="77777777" w:rsidTr="00D24115">
        <w:tc>
          <w:tcPr>
            <w:tcW w:w="2689" w:type="dxa"/>
          </w:tcPr>
          <w:p w14:paraId="643CD64F" w14:textId="5ABE2E8D" w:rsidR="00EE591F" w:rsidRPr="00A268D9" w:rsidRDefault="000C5490"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2020</w:t>
            </w:r>
          </w:p>
        </w:tc>
        <w:tc>
          <w:tcPr>
            <w:tcW w:w="2268" w:type="dxa"/>
          </w:tcPr>
          <w:p w14:paraId="0CF67CC7" w14:textId="661EA6BF" w:rsidR="00EE591F" w:rsidRPr="00A268D9" w:rsidRDefault="00E84909"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8 145</w:t>
            </w:r>
            <w:r w:rsidR="00EE591F" w:rsidRPr="00A268D9">
              <w:rPr>
                <w:rFonts w:asciiTheme="minorHAnsi" w:hAnsiTheme="minorHAnsi" w:cstheme="minorHAnsi"/>
                <w:color w:val="4F81BD" w:themeColor="accent1"/>
                <w:sz w:val="21"/>
                <w:szCs w:val="21"/>
              </w:rPr>
              <w:t xml:space="preserve"> Kč</w:t>
            </w:r>
          </w:p>
        </w:tc>
      </w:tr>
      <w:tr w:rsidR="00E211E6" w:rsidRPr="00A268D9" w14:paraId="4D9DEB9F" w14:textId="77777777" w:rsidTr="00D24115">
        <w:tc>
          <w:tcPr>
            <w:tcW w:w="2689" w:type="dxa"/>
          </w:tcPr>
          <w:p w14:paraId="7625D073" w14:textId="58A1842C" w:rsidR="00EE591F" w:rsidRPr="00A268D9" w:rsidRDefault="0005628C"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2021</w:t>
            </w:r>
          </w:p>
        </w:tc>
        <w:tc>
          <w:tcPr>
            <w:tcW w:w="2268" w:type="dxa"/>
          </w:tcPr>
          <w:p w14:paraId="23BABAD3" w14:textId="173F052B" w:rsidR="00EE591F" w:rsidRPr="00A268D9" w:rsidRDefault="006C0B7C"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6 620</w:t>
            </w:r>
            <w:r w:rsidR="0005628C" w:rsidRPr="00A268D9">
              <w:rPr>
                <w:rFonts w:asciiTheme="minorHAnsi" w:hAnsiTheme="minorHAnsi" w:cstheme="minorHAnsi"/>
                <w:color w:val="4F81BD" w:themeColor="accent1"/>
                <w:sz w:val="21"/>
                <w:szCs w:val="21"/>
              </w:rPr>
              <w:t xml:space="preserve"> Kč</w:t>
            </w:r>
          </w:p>
        </w:tc>
      </w:tr>
      <w:tr w:rsidR="00E211E6" w:rsidRPr="00A268D9" w14:paraId="117ECC86" w14:textId="77777777" w:rsidTr="00D24115">
        <w:tc>
          <w:tcPr>
            <w:tcW w:w="2689" w:type="dxa"/>
          </w:tcPr>
          <w:p w14:paraId="3E650ABA" w14:textId="4F0CA616" w:rsidR="00EE591F" w:rsidRPr="00A268D9" w:rsidRDefault="0005628C"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lastRenderedPageBreak/>
              <w:t>2022</w:t>
            </w:r>
          </w:p>
        </w:tc>
        <w:tc>
          <w:tcPr>
            <w:tcW w:w="2268" w:type="dxa"/>
          </w:tcPr>
          <w:p w14:paraId="455964DA" w14:textId="3A5DE064" w:rsidR="00EE591F" w:rsidRPr="00A268D9" w:rsidRDefault="006C0B7C"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6 522</w:t>
            </w:r>
            <w:r w:rsidR="0005628C" w:rsidRPr="00A268D9">
              <w:rPr>
                <w:rFonts w:asciiTheme="minorHAnsi" w:hAnsiTheme="minorHAnsi" w:cstheme="minorHAnsi"/>
                <w:color w:val="4F81BD" w:themeColor="accent1"/>
                <w:sz w:val="21"/>
                <w:szCs w:val="21"/>
              </w:rPr>
              <w:t xml:space="preserve"> Kč</w:t>
            </w:r>
          </w:p>
        </w:tc>
      </w:tr>
      <w:tr w:rsidR="00E211E6" w:rsidRPr="00A268D9" w14:paraId="6ED92EE9" w14:textId="77777777" w:rsidTr="00D24115">
        <w:tc>
          <w:tcPr>
            <w:tcW w:w="2689" w:type="dxa"/>
          </w:tcPr>
          <w:p w14:paraId="4878F58A" w14:textId="3A691810" w:rsidR="00EE591F" w:rsidRPr="00A268D9" w:rsidRDefault="0005628C"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2023</w:t>
            </w:r>
          </w:p>
        </w:tc>
        <w:tc>
          <w:tcPr>
            <w:tcW w:w="2268" w:type="dxa"/>
          </w:tcPr>
          <w:p w14:paraId="63708633" w14:textId="76277070" w:rsidR="0005628C" w:rsidRPr="00A268D9" w:rsidRDefault="006C0B7C"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6 735</w:t>
            </w:r>
            <w:r w:rsidR="0005628C" w:rsidRPr="00A268D9">
              <w:rPr>
                <w:rFonts w:asciiTheme="minorHAnsi" w:hAnsiTheme="minorHAnsi" w:cstheme="minorHAnsi"/>
                <w:color w:val="4F81BD" w:themeColor="accent1"/>
                <w:sz w:val="21"/>
                <w:szCs w:val="21"/>
              </w:rPr>
              <w:t xml:space="preserve"> Kč</w:t>
            </w:r>
          </w:p>
        </w:tc>
      </w:tr>
      <w:tr w:rsidR="00B2738B" w:rsidRPr="00A268D9" w14:paraId="658EFDDD" w14:textId="77777777" w:rsidTr="00D24115">
        <w:tc>
          <w:tcPr>
            <w:tcW w:w="2689" w:type="dxa"/>
          </w:tcPr>
          <w:p w14:paraId="3FCEF727" w14:textId="08449363" w:rsidR="00B2738B" w:rsidRPr="00A268D9" w:rsidRDefault="00B2738B"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 xml:space="preserve">2024 </w:t>
            </w:r>
          </w:p>
        </w:tc>
        <w:tc>
          <w:tcPr>
            <w:tcW w:w="2268" w:type="dxa"/>
          </w:tcPr>
          <w:p w14:paraId="01EC6944" w14:textId="3FDC246A" w:rsidR="00B2738B" w:rsidRPr="00A268D9" w:rsidRDefault="00B2738B"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7 076 Kč</w:t>
            </w:r>
          </w:p>
        </w:tc>
      </w:tr>
      <w:tr w:rsidR="00E211E6" w:rsidRPr="00A268D9" w14:paraId="14B13055" w14:textId="77777777" w:rsidTr="00D24115">
        <w:tc>
          <w:tcPr>
            <w:tcW w:w="2689" w:type="dxa"/>
          </w:tcPr>
          <w:p w14:paraId="1CE99F6D" w14:textId="77777777" w:rsidR="00EE591F" w:rsidRPr="00A268D9" w:rsidRDefault="00EE591F"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Průměr za celé sledování</w:t>
            </w:r>
          </w:p>
        </w:tc>
        <w:tc>
          <w:tcPr>
            <w:tcW w:w="2268" w:type="dxa"/>
          </w:tcPr>
          <w:p w14:paraId="4995D8F6" w14:textId="6292D40C" w:rsidR="00EE591F" w:rsidRPr="00A268D9" w:rsidRDefault="006C0B7C"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6 757,80</w:t>
            </w:r>
            <w:r w:rsidR="00EE591F" w:rsidRPr="00A268D9">
              <w:rPr>
                <w:rFonts w:asciiTheme="minorHAnsi" w:hAnsiTheme="minorHAnsi" w:cstheme="minorHAnsi"/>
                <w:color w:val="4F81BD" w:themeColor="accent1"/>
                <w:sz w:val="21"/>
                <w:szCs w:val="21"/>
              </w:rPr>
              <w:t xml:space="preserve"> Kč</w:t>
            </w:r>
          </w:p>
        </w:tc>
      </w:tr>
    </w:tbl>
    <w:p w14:paraId="470E0E11" w14:textId="0F97569A" w:rsidR="00B91B61" w:rsidRPr="00A268D9" w:rsidRDefault="00B91B61" w:rsidP="00A268D9">
      <w:pPr>
        <w:ind w:right="130"/>
        <w:rPr>
          <w:rFonts w:asciiTheme="minorHAnsi" w:hAnsiTheme="minorHAnsi" w:cstheme="minorHAnsi"/>
          <w:b/>
          <w:bCs/>
          <w:color w:val="4F81BD" w:themeColor="accent1"/>
          <w:sz w:val="21"/>
          <w:szCs w:val="21"/>
        </w:rPr>
      </w:pPr>
    </w:p>
    <w:p w14:paraId="6499C6B8" w14:textId="3343B1F0" w:rsidR="002137BD" w:rsidRPr="00A268D9" w:rsidRDefault="0005628C" w:rsidP="00A268D9">
      <w:pPr>
        <w:ind w:right="130"/>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 xml:space="preserve">BOX: Lednové hodnoty Broker Consulting POVIndexu </w:t>
      </w:r>
      <w:r w:rsidR="002137BD" w:rsidRPr="00A268D9">
        <w:rPr>
          <w:rFonts w:asciiTheme="minorHAnsi" w:hAnsiTheme="minorHAnsi" w:cstheme="minorHAnsi"/>
          <w:b/>
          <w:bCs/>
          <w:color w:val="4F81BD" w:themeColor="accent1"/>
          <w:sz w:val="21"/>
          <w:szCs w:val="21"/>
        </w:rPr>
        <w:t xml:space="preserve"> BOX: Lednové hodnoty Broker Consulting POVIndexu </w:t>
      </w:r>
    </w:p>
    <w:p w14:paraId="14E5A2D3" w14:textId="2E08CDCE" w:rsidR="00D24115" w:rsidRDefault="00D24115" w:rsidP="00A268D9">
      <w:pPr>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PRAHA</w:t>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t xml:space="preserve">                           </w:t>
      </w:r>
      <w:r w:rsidR="002137BD" w:rsidRPr="00A268D9">
        <w:rPr>
          <w:rFonts w:asciiTheme="minorHAnsi" w:hAnsiTheme="minorHAnsi" w:cstheme="minorHAnsi"/>
          <w:b/>
          <w:bCs/>
          <w:color w:val="4F81BD" w:themeColor="accent1"/>
          <w:sz w:val="21"/>
          <w:szCs w:val="21"/>
        </w:rPr>
        <w:tab/>
      </w:r>
      <w:r w:rsidR="002137BD" w:rsidRPr="00A268D9">
        <w:rPr>
          <w:rFonts w:asciiTheme="minorHAnsi" w:hAnsiTheme="minorHAnsi" w:cstheme="minorHAnsi"/>
          <w:b/>
          <w:bCs/>
          <w:color w:val="4F81BD" w:themeColor="accent1"/>
          <w:sz w:val="21"/>
          <w:szCs w:val="21"/>
        </w:rPr>
        <w:tab/>
      </w:r>
      <w:r w:rsidR="002137BD" w:rsidRPr="00A268D9">
        <w:rPr>
          <w:rFonts w:asciiTheme="minorHAnsi" w:hAnsiTheme="minorHAnsi" w:cstheme="minorHAnsi"/>
          <w:b/>
          <w:bCs/>
          <w:color w:val="4F81BD" w:themeColor="accent1"/>
          <w:sz w:val="21"/>
          <w:szCs w:val="21"/>
        </w:rPr>
        <w:tab/>
        <w:t xml:space="preserve">         BENEŠOV u PRAHY</w:t>
      </w:r>
    </w:p>
    <w:p w14:paraId="22CC2D1B" w14:textId="30143B2C" w:rsidR="00D24115" w:rsidRDefault="00D24115" w:rsidP="00A268D9">
      <w:pPr>
        <w:ind w:right="130"/>
        <w:rPr>
          <w:rFonts w:asciiTheme="minorHAnsi" w:hAnsiTheme="minorHAnsi" w:cstheme="minorHAnsi"/>
          <w:b/>
          <w:bCs/>
          <w:color w:val="4F81BD" w:themeColor="accent1"/>
          <w:sz w:val="21"/>
          <w:szCs w:val="21"/>
        </w:rPr>
      </w:pPr>
    </w:p>
    <w:p w14:paraId="132EDECE" w14:textId="77777777" w:rsidR="00D24115" w:rsidRDefault="00D24115" w:rsidP="00A268D9">
      <w:pPr>
        <w:ind w:right="130"/>
        <w:rPr>
          <w:rFonts w:asciiTheme="minorHAnsi" w:hAnsiTheme="minorHAnsi" w:cstheme="minorHAnsi"/>
          <w:b/>
          <w:bCs/>
          <w:color w:val="4F81BD" w:themeColor="accent1"/>
          <w:sz w:val="21"/>
          <w:szCs w:val="21"/>
        </w:rPr>
      </w:pPr>
    </w:p>
    <w:p w14:paraId="7A695FB3" w14:textId="37471109" w:rsidR="002137BD" w:rsidRPr="00A268D9" w:rsidRDefault="002137BD" w:rsidP="00A268D9">
      <w:pPr>
        <w:ind w:right="130"/>
        <w:rPr>
          <w:rFonts w:asciiTheme="minorHAnsi" w:hAnsiTheme="minorHAnsi" w:cstheme="minorHAnsi"/>
          <w:b/>
          <w:bCs/>
          <w:color w:val="4F81BD" w:themeColor="accent1"/>
          <w:sz w:val="21"/>
          <w:szCs w:val="21"/>
        </w:rPr>
      </w:pPr>
    </w:p>
    <w:tbl>
      <w:tblPr>
        <w:tblStyle w:val="Mkatabulky"/>
        <w:tblW w:w="0" w:type="auto"/>
        <w:tblLook w:val="04A0" w:firstRow="1" w:lastRow="0" w:firstColumn="1" w:lastColumn="0" w:noHBand="0" w:noVBand="1"/>
      </w:tblPr>
      <w:tblGrid>
        <w:gridCol w:w="2167"/>
        <w:gridCol w:w="1828"/>
      </w:tblGrid>
      <w:tr w:rsidR="002137BD" w:rsidRPr="00A268D9" w14:paraId="584D9679" w14:textId="77777777" w:rsidTr="00D24115">
        <w:trPr>
          <w:trHeight w:val="358"/>
        </w:trPr>
        <w:tc>
          <w:tcPr>
            <w:tcW w:w="2167" w:type="dxa"/>
          </w:tcPr>
          <w:p w14:paraId="37895495" w14:textId="77777777" w:rsidR="002137BD" w:rsidRPr="00A268D9" w:rsidRDefault="002137BD" w:rsidP="00A268D9">
            <w:pPr>
              <w:ind w:right="130"/>
              <w:jc w:val="center"/>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Rok</w:t>
            </w:r>
          </w:p>
        </w:tc>
        <w:tc>
          <w:tcPr>
            <w:tcW w:w="1828" w:type="dxa"/>
          </w:tcPr>
          <w:p w14:paraId="2A7EAA07" w14:textId="77777777" w:rsidR="002137BD" w:rsidRPr="00A268D9" w:rsidRDefault="002137BD" w:rsidP="00A268D9">
            <w:pPr>
              <w:ind w:right="130"/>
              <w:jc w:val="center"/>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Hodnota POV Indexu</w:t>
            </w:r>
          </w:p>
        </w:tc>
      </w:tr>
      <w:tr w:rsidR="002137BD" w:rsidRPr="00A268D9" w14:paraId="07C5350F" w14:textId="77777777" w:rsidTr="00D24115">
        <w:trPr>
          <w:trHeight w:val="349"/>
        </w:trPr>
        <w:tc>
          <w:tcPr>
            <w:tcW w:w="2167" w:type="dxa"/>
          </w:tcPr>
          <w:p w14:paraId="3392882F"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2020</w:t>
            </w:r>
          </w:p>
        </w:tc>
        <w:tc>
          <w:tcPr>
            <w:tcW w:w="1828" w:type="dxa"/>
          </w:tcPr>
          <w:p w14:paraId="177F3FF4" w14:textId="77777777"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8 147 Kč</w:t>
            </w:r>
          </w:p>
        </w:tc>
      </w:tr>
      <w:tr w:rsidR="002137BD" w:rsidRPr="00A268D9" w14:paraId="0EC2B4E7" w14:textId="77777777" w:rsidTr="00D24115">
        <w:trPr>
          <w:trHeight w:val="358"/>
        </w:trPr>
        <w:tc>
          <w:tcPr>
            <w:tcW w:w="2167" w:type="dxa"/>
          </w:tcPr>
          <w:p w14:paraId="33912384" w14:textId="391DC816"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 xml:space="preserve"> 2021</w:t>
            </w:r>
          </w:p>
        </w:tc>
        <w:tc>
          <w:tcPr>
            <w:tcW w:w="1828" w:type="dxa"/>
          </w:tcPr>
          <w:p w14:paraId="620C5917" w14:textId="77777777"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7 247 Kč</w:t>
            </w:r>
          </w:p>
        </w:tc>
      </w:tr>
      <w:tr w:rsidR="002137BD" w:rsidRPr="00A268D9" w14:paraId="4585D6E7" w14:textId="77777777" w:rsidTr="00D24115">
        <w:trPr>
          <w:trHeight w:val="358"/>
        </w:trPr>
        <w:tc>
          <w:tcPr>
            <w:tcW w:w="2167" w:type="dxa"/>
          </w:tcPr>
          <w:p w14:paraId="5EA2CAD2"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2022</w:t>
            </w:r>
          </w:p>
        </w:tc>
        <w:tc>
          <w:tcPr>
            <w:tcW w:w="1828" w:type="dxa"/>
          </w:tcPr>
          <w:p w14:paraId="264BD061" w14:textId="77777777"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7  227 Kč</w:t>
            </w:r>
          </w:p>
        </w:tc>
      </w:tr>
      <w:tr w:rsidR="002137BD" w:rsidRPr="00A268D9" w14:paraId="4918CEC0" w14:textId="77777777" w:rsidTr="00D24115">
        <w:trPr>
          <w:trHeight w:val="349"/>
        </w:trPr>
        <w:tc>
          <w:tcPr>
            <w:tcW w:w="2167" w:type="dxa"/>
          </w:tcPr>
          <w:p w14:paraId="3A924891"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2023</w:t>
            </w:r>
          </w:p>
        </w:tc>
        <w:tc>
          <w:tcPr>
            <w:tcW w:w="1828" w:type="dxa"/>
          </w:tcPr>
          <w:p w14:paraId="18F6A4B1" w14:textId="0141F4B5" w:rsidR="002137BD" w:rsidRPr="00A268D9" w:rsidRDefault="005F2CF3"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7 443 Kč</w:t>
            </w:r>
          </w:p>
        </w:tc>
      </w:tr>
      <w:tr w:rsidR="002137BD" w:rsidRPr="00A268D9" w14:paraId="3E51CB20" w14:textId="77777777" w:rsidTr="00D24115">
        <w:trPr>
          <w:trHeight w:val="358"/>
        </w:trPr>
        <w:tc>
          <w:tcPr>
            <w:tcW w:w="2167" w:type="dxa"/>
          </w:tcPr>
          <w:p w14:paraId="57C07B48"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2024</w:t>
            </w:r>
          </w:p>
        </w:tc>
        <w:tc>
          <w:tcPr>
            <w:tcW w:w="1828" w:type="dxa"/>
          </w:tcPr>
          <w:p w14:paraId="0E4669B4" w14:textId="77777777" w:rsidR="002137BD" w:rsidRPr="00A268D9" w:rsidRDefault="002137BD" w:rsidP="00A268D9">
            <w:pPr>
              <w:ind w:right="130"/>
              <w:rPr>
                <w:rFonts w:asciiTheme="minorHAnsi" w:hAnsiTheme="minorHAnsi" w:cs="Arial"/>
                <w:color w:val="4F81BD" w:themeColor="accent1"/>
                <w:sz w:val="21"/>
                <w:szCs w:val="21"/>
              </w:rPr>
            </w:pPr>
            <w:r w:rsidRPr="00A268D9">
              <w:rPr>
                <w:rFonts w:asciiTheme="minorHAnsi" w:hAnsiTheme="minorHAnsi" w:cs="Arial"/>
                <w:color w:val="4F81BD" w:themeColor="accent1"/>
                <w:sz w:val="21"/>
                <w:szCs w:val="21"/>
              </w:rPr>
              <w:t>7 779 Kč</w:t>
            </w:r>
          </w:p>
        </w:tc>
      </w:tr>
      <w:tr w:rsidR="002137BD" w:rsidRPr="00A268D9" w14:paraId="32E192B0" w14:textId="77777777" w:rsidTr="00D24115">
        <w:trPr>
          <w:trHeight w:val="349"/>
        </w:trPr>
        <w:tc>
          <w:tcPr>
            <w:tcW w:w="2167" w:type="dxa"/>
          </w:tcPr>
          <w:p w14:paraId="62EA4EF5"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Průměr za celé sledování</w:t>
            </w:r>
          </w:p>
        </w:tc>
        <w:tc>
          <w:tcPr>
            <w:tcW w:w="1828" w:type="dxa"/>
          </w:tcPr>
          <w:p w14:paraId="51E40005" w14:textId="77777777"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7 507,80 Kč</w:t>
            </w:r>
          </w:p>
        </w:tc>
      </w:tr>
    </w:tbl>
    <w:tbl>
      <w:tblPr>
        <w:tblStyle w:val="Mkatabulky"/>
        <w:tblpPr w:leftFromText="141" w:rightFromText="141" w:vertAnchor="text" w:horzAnchor="page" w:tblpX="5341" w:tblpY="-3233"/>
        <w:tblW w:w="0" w:type="auto"/>
        <w:tblLook w:val="04A0" w:firstRow="1" w:lastRow="0" w:firstColumn="1" w:lastColumn="0" w:noHBand="0" w:noVBand="1"/>
      </w:tblPr>
      <w:tblGrid>
        <w:gridCol w:w="2167"/>
        <w:gridCol w:w="1828"/>
      </w:tblGrid>
      <w:tr w:rsidR="002137BD" w:rsidRPr="00A268D9" w14:paraId="472C8AFD" w14:textId="77777777" w:rsidTr="002137BD">
        <w:trPr>
          <w:trHeight w:val="358"/>
        </w:trPr>
        <w:tc>
          <w:tcPr>
            <w:tcW w:w="2167" w:type="dxa"/>
          </w:tcPr>
          <w:p w14:paraId="7BA14288" w14:textId="2327CF26" w:rsidR="002137BD" w:rsidRPr="00A268D9" w:rsidRDefault="002137BD" w:rsidP="00A268D9">
            <w:pPr>
              <w:ind w:right="130"/>
              <w:jc w:val="center"/>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 xml:space="preserve"> Rok</w:t>
            </w:r>
          </w:p>
        </w:tc>
        <w:tc>
          <w:tcPr>
            <w:tcW w:w="1828" w:type="dxa"/>
          </w:tcPr>
          <w:p w14:paraId="74825610" w14:textId="77777777" w:rsidR="002137BD" w:rsidRPr="00A268D9" w:rsidRDefault="002137BD" w:rsidP="00A268D9">
            <w:pPr>
              <w:ind w:right="130"/>
              <w:jc w:val="center"/>
              <w:rPr>
                <w:rFonts w:asciiTheme="minorHAnsi" w:hAnsiTheme="minorHAnsi" w:cstheme="minorHAnsi"/>
                <w:b/>
                <w:bCs/>
                <w:color w:val="4F81BD" w:themeColor="accent1"/>
                <w:sz w:val="21"/>
                <w:szCs w:val="21"/>
              </w:rPr>
            </w:pPr>
            <w:r w:rsidRPr="00A268D9">
              <w:rPr>
                <w:rFonts w:asciiTheme="minorHAnsi" w:hAnsiTheme="minorHAnsi" w:cstheme="minorHAnsi"/>
                <w:b/>
                <w:bCs/>
                <w:color w:val="4F81BD" w:themeColor="accent1"/>
                <w:sz w:val="21"/>
                <w:szCs w:val="21"/>
              </w:rPr>
              <w:t>Hodnota POV Indexu</w:t>
            </w:r>
          </w:p>
        </w:tc>
      </w:tr>
      <w:tr w:rsidR="002137BD" w:rsidRPr="00A268D9" w14:paraId="1A3155D9" w14:textId="77777777" w:rsidTr="002137BD">
        <w:trPr>
          <w:trHeight w:val="349"/>
        </w:trPr>
        <w:tc>
          <w:tcPr>
            <w:tcW w:w="2167" w:type="dxa"/>
          </w:tcPr>
          <w:p w14:paraId="12DCEA66"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2020</w:t>
            </w:r>
          </w:p>
        </w:tc>
        <w:tc>
          <w:tcPr>
            <w:tcW w:w="1828" w:type="dxa"/>
          </w:tcPr>
          <w:p w14:paraId="40190067" w14:textId="2EBFFBC2"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6 251 Kč</w:t>
            </w:r>
          </w:p>
        </w:tc>
      </w:tr>
      <w:tr w:rsidR="002137BD" w:rsidRPr="00A268D9" w14:paraId="7DD9DC07" w14:textId="77777777" w:rsidTr="002137BD">
        <w:trPr>
          <w:trHeight w:val="358"/>
        </w:trPr>
        <w:tc>
          <w:tcPr>
            <w:tcW w:w="2167" w:type="dxa"/>
          </w:tcPr>
          <w:p w14:paraId="71B724EB"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2021</w:t>
            </w:r>
          </w:p>
        </w:tc>
        <w:tc>
          <w:tcPr>
            <w:tcW w:w="1828" w:type="dxa"/>
          </w:tcPr>
          <w:p w14:paraId="1A104954" w14:textId="03BB9944"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5 992 Kč</w:t>
            </w:r>
          </w:p>
        </w:tc>
      </w:tr>
      <w:tr w:rsidR="002137BD" w:rsidRPr="00A268D9" w14:paraId="365D39D8" w14:textId="77777777" w:rsidTr="002137BD">
        <w:trPr>
          <w:trHeight w:val="358"/>
        </w:trPr>
        <w:tc>
          <w:tcPr>
            <w:tcW w:w="2167" w:type="dxa"/>
          </w:tcPr>
          <w:p w14:paraId="29DAE172"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2022</w:t>
            </w:r>
          </w:p>
        </w:tc>
        <w:tc>
          <w:tcPr>
            <w:tcW w:w="1828" w:type="dxa"/>
          </w:tcPr>
          <w:p w14:paraId="4D079147" w14:textId="600E97C0"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5 816 Kč</w:t>
            </w:r>
          </w:p>
        </w:tc>
      </w:tr>
      <w:tr w:rsidR="002137BD" w:rsidRPr="00A268D9" w14:paraId="085739EE" w14:textId="77777777" w:rsidTr="002137BD">
        <w:trPr>
          <w:trHeight w:val="349"/>
        </w:trPr>
        <w:tc>
          <w:tcPr>
            <w:tcW w:w="2167" w:type="dxa"/>
          </w:tcPr>
          <w:p w14:paraId="3180E045"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2023</w:t>
            </w:r>
          </w:p>
        </w:tc>
        <w:tc>
          <w:tcPr>
            <w:tcW w:w="1828" w:type="dxa"/>
          </w:tcPr>
          <w:p w14:paraId="382897E0" w14:textId="2DD4407E"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6 027 Kč</w:t>
            </w:r>
          </w:p>
        </w:tc>
      </w:tr>
      <w:tr w:rsidR="002137BD" w:rsidRPr="00A268D9" w14:paraId="052E316D" w14:textId="77777777" w:rsidTr="002137BD">
        <w:trPr>
          <w:trHeight w:val="358"/>
        </w:trPr>
        <w:tc>
          <w:tcPr>
            <w:tcW w:w="2167" w:type="dxa"/>
          </w:tcPr>
          <w:p w14:paraId="155612DD"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2024</w:t>
            </w:r>
          </w:p>
        </w:tc>
        <w:tc>
          <w:tcPr>
            <w:tcW w:w="1828" w:type="dxa"/>
          </w:tcPr>
          <w:p w14:paraId="221E72FE" w14:textId="3BC0AD69" w:rsidR="002137BD" w:rsidRPr="00A268D9" w:rsidRDefault="002137BD" w:rsidP="00A268D9">
            <w:pPr>
              <w:ind w:right="130"/>
              <w:rPr>
                <w:rFonts w:asciiTheme="minorHAnsi" w:hAnsiTheme="minorHAnsi" w:cs="Arial"/>
                <w:color w:val="4F81BD" w:themeColor="accent1"/>
                <w:sz w:val="21"/>
                <w:szCs w:val="21"/>
              </w:rPr>
            </w:pPr>
            <w:r w:rsidRPr="00A268D9">
              <w:rPr>
                <w:rFonts w:asciiTheme="minorHAnsi" w:hAnsiTheme="minorHAnsi" w:cs="Arial"/>
                <w:color w:val="4F81BD" w:themeColor="accent1"/>
                <w:sz w:val="21"/>
                <w:szCs w:val="21"/>
              </w:rPr>
              <w:t>6 267 Kč</w:t>
            </w:r>
          </w:p>
        </w:tc>
      </w:tr>
      <w:tr w:rsidR="002137BD" w:rsidRPr="00A268D9" w14:paraId="5AAD7A49" w14:textId="77777777" w:rsidTr="002137BD">
        <w:trPr>
          <w:trHeight w:val="349"/>
        </w:trPr>
        <w:tc>
          <w:tcPr>
            <w:tcW w:w="2167" w:type="dxa"/>
          </w:tcPr>
          <w:p w14:paraId="582ACA15" w14:textId="77777777" w:rsidR="002137BD" w:rsidRPr="00A268D9" w:rsidRDefault="002137BD" w:rsidP="00A268D9">
            <w:pPr>
              <w:ind w:right="130"/>
              <w:jc w:val="center"/>
              <w:rPr>
                <w:rFonts w:asciiTheme="minorHAnsi" w:hAnsiTheme="minorHAnsi" w:cstheme="minorHAnsi"/>
                <w:color w:val="4F81BD" w:themeColor="accent1"/>
                <w:sz w:val="21"/>
                <w:szCs w:val="21"/>
              </w:rPr>
            </w:pPr>
            <w:r w:rsidRPr="00A268D9">
              <w:rPr>
                <w:rFonts w:asciiTheme="minorHAnsi" w:hAnsiTheme="minorHAnsi" w:cstheme="minorHAnsi"/>
                <w:color w:val="4F81BD" w:themeColor="accent1"/>
                <w:sz w:val="21"/>
                <w:szCs w:val="21"/>
              </w:rPr>
              <w:t>Průměr za celé sledování</w:t>
            </w:r>
          </w:p>
        </w:tc>
        <w:tc>
          <w:tcPr>
            <w:tcW w:w="1828" w:type="dxa"/>
          </w:tcPr>
          <w:p w14:paraId="7C977D43" w14:textId="1FD187F3" w:rsidR="002137BD" w:rsidRPr="00A268D9" w:rsidRDefault="002137BD" w:rsidP="00A268D9">
            <w:pPr>
              <w:ind w:right="130"/>
              <w:rPr>
                <w:rFonts w:asciiTheme="minorHAnsi" w:hAnsiTheme="minorHAnsi" w:cstheme="minorHAnsi"/>
                <w:color w:val="4F81BD" w:themeColor="accent1"/>
                <w:sz w:val="21"/>
                <w:szCs w:val="21"/>
              </w:rPr>
            </w:pPr>
            <w:r w:rsidRPr="00A268D9">
              <w:rPr>
                <w:rFonts w:asciiTheme="minorHAnsi" w:hAnsiTheme="minorHAnsi" w:cs="Arial"/>
                <w:color w:val="4F81BD" w:themeColor="accent1"/>
                <w:sz w:val="21"/>
                <w:szCs w:val="21"/>
              </w:rPr>
              <w:t>6 601,10 Kč</w:t>
            </w:r>
          </w:p>
        </w:tc>
      </w:tr>
    </w:tbl>
    <w:p w14:paraId="1A5CB6FE" w14:textId="6148C61C" w:rsidR="00E211E6" w:rsidRPr="00A268D9" w:rsidRDefault="00E211E6" w:rsidP="008B4E4B">
      <w:pPr>
        <w:jc w:val="both"/>
        <w:rPr>
          <w:rFonts w:asciiTheme="minorHAnsi" w:hAnsiTheme="minorHAnsi" w:cs="Arial"/>
          <w:b/>
          <w:bCs/>
          <w:sz w:val="21"/>
          <w:szCs w:val="21"/>
        </w:rPr>
      </w:pPr>
      <w:r w:rsidRPr="00A268D9">
        <w:rPr>
          <w:rFonts w:asciiTheme="minorHAnsi" w:hAnsiTheme="minorHAnsi" w:cstheme="minorHAnsi"/>
          <w:i/>
          <w:color w:val="FF0000"/>
          <w:sz w:val="21"/>
          <w:szCs w:val="21"/>
        </w:rPr>
        <w:br/>
      </w:r>
      <w:r w:rsidRPr="00A268D9">
        <w:rPr>
          <w:rFonts w:asciiTheme="minorHAnsi" w:hAnsiTheme="minorHAnsi" w:cs="Arial"/>
          <w:b/>
          <w:bCs/>
          <w:sz w:val="21"/>
          <w:szCs w:val="21"/>
        </w:rPr>
        <w:t>A co všechno ovlivňuje cenu povinného ručení?</w:t>
      </w:r>
    </w:p>
    <w:p w14:paraId="71E4E87D" w14:textId="77777777" w:rsidR="00E211E6" w:rsidRPr="00A268D9" w:rsidRDefault="00E211E6" w:rsidP="00A268D9">
      <w:pPr>
        <w:jc w:val="both"/>
        <w:rPr>
          <w:rFonts w:asciiTheme="minorHAnsi" w:hAnsiTheme="minorHAnsi" w:cs="Arial"/>
          <w:bCs/>
          <w:sz w:val="21"/>
          <w:szCs w:val="21"/>
        </w:rPr>
      </w:pPr>
    </w:p>
    <w:p w14:paraId="3035C6C9" w14:textId="69B10F96" w:rsidR="00E211E6" w:rsidRPr="00A268D9" w:rsidRDefault="00E211E6" w:rsidP="00A268D9">
      <w:pPr>
        <w:spacing w:after="120"/>
        <w:jc w:val="both"/>
        <w:rPr>
          <w:rFonts w:asciiTheme="minorHAnsi" w:hAnsiTheme="minorHAnsi" w:cs="Arial"/>
          <w:bCs/>
          <w:sz w:val="21"/>
          <w:szCs w:val="21"/>
        </w:rPr>
      </w:pPr>
      <w:r w:rsidRPr="00A268D9">
        <w:rPr>
          <w:rFonts w:asciiTheme="minorHAnsi" w:hAnsiTheme="minorHAnsi" w:cs="Arial"/>
          <w:bCs/>
          <w:sz w:val="21"/>
          <w:szCs w:val="21"/>
        </w:rPr>
        <w:t>Je to hned několik faktorů. V první řadě technické parametry vozidla, jako je rok výroby, kubatura, značka, ty</w:t>
      </w:r>
      <w:r w:rsidR="003B612F" w:rsidRPr="00A268D9">
        <w:rPr>
          <w:rFonts w:asciiTheme="minorHAnsi" w:hAnsiTheme="minorHAnsi" w:cs="Arial"/>
          <w:bCs/>
          <w:sz w:val="21"/>
          <w:szCs w:val="21"/>
        </w:rPr>
        <w:t>p vozu, způsob užívání vozidla, profil řidiče a další. Cenu povinného ručení ovlivňuje také</w:t>
      </w:r>
      <w:r w:rsidRPr="00A268D9">
        <w:rPr>
          <w:rFonts w:asciiTheme="minorHAnsi" w:hAnsiTheme="minorHAnsi" w:cs="Arial"/>
          <w:bCs/>
          <w:sz w:val="21"/>
          <w:szCs w:val="21"/>
        </w:rPr>
        <w:t xml:space="preserve"> </w:t>
      </w:r>
      <w:r w:rsidR="003B612F" w:rsidRPr="00A268D9">
        <w:rPr>
          <w:rFonts w:asciiTheme="minorHAnsi" w:hAnsiTheme="minorHAnsi" w:cs="Arial"/>
          <w:bCs/>
          <w:sz w:val="21"/>
          <w:szCs w:val="21"/>
        </w:rPr>
        <w:t xml:space="preserve">věk řidiče </w:t>
      </w:r>
      <w:r w:rsidRPr="00A268D9">
        <w:rPr>
          <w:rFonts w:asciiTheme="minorHAnsi" w:hAnsiTheme="minorHAnsi" w:cs="Arial"/>
          <w:bCs/>
          <w:sz w:val="21"/>
          <w:szCs w:val="21"/>
        </w:rPr>
        <w:t xml:space="preserve">a jeho bydliště. </w:t>
      </w:r>
    </w:p>
    <w:p w14:paraId="1F937388" w14:textId="6DFED5E9" w:rsidR="00E211E6" w:rsidRPr="00A268D9" w:rsidRDefault="00E211E6" w:rsidP="00A268D9">
      <w:pPr>
        <w:spacing w:after="120"/>
        <w:jc w:val="both"/>
        <w:rPr>
          <w:rFonts w:asciiTheme="minorHAnsi" w:hAnsiTheme="minorHAnsi" w:cs="Arial"/>
          <w:bCs/>
          <w:sz w:val="21"/>
          <w:szCs w:val="21"/>
        </w:rPr>
      </w:pPr>
      <w:r w:rsidRPr="00A268D9">
        <w:rPr>
          <w:rFonts w:asciiTheme="minorHAnsi" w:hAnsiTheme="minorHAnsi" w:cs="Arial"/>
          <w:bCs/>
          <w:sz w:val="21"/>
          <w:szCs w:val="21"/>
        </w:rPr>
        <w:t>Samozřejmě svůj podíl</w:t>
      </w:r>
      <w:r w:rsidR="003B612F" w:rsidRPr="00A268D9">
        <w:rPr>
          <w:rFonts w:asciiTheme="minorHAnsi" w:hAnsiTheme="minorHAnsi" w:cs="Arial"/>
          <w:bCs/>
          <w:sz w:val="21"/>
          <w:szCs w:val="21"/>
        </w:rPr>
        <w:t xml:space="preserve"> na stanovení ceny má také to, zda bouráme či nikoliv.  Za</w:t>
      </w:r>
      <w:r w:rsidRPr="00A268D9">
        <w:rPr>
          <w:rFonts w:asciiTheme="minorHAnsi" w:hAnsiTheme="minorHAnsi" w:cs="Arial"/>
          <w:bCs/>
          <w:sz w:val="21"/>
          <w:szCs w:val="21"/>
        </w:rPr>
        <w:t xml:space="preserve"> jízdu </w:t>
      </w:r>
      <w:r w:rsidR="003B612F" w:rsidRPr="00A268D9">
        <w:rPr>
          <w:rFonts w:asciiTheme="minorHAnsi" w:hAnsiTheme="minorHAnsi" w:cs="Arial"/>
          <w:bCs/>
          <w:sz w:val="21"/>
          <w:szCs w:val="21"/>
        </w:rPr>
        <w:t>bez nehod nás pojišťovna odmění bonusy</w:t>
      </w:r>
      <w:r w:rsidRPr="00A268D9">
        <w:rPr>
          <w:rFonts w:asciiTheme="minorHAnsi" w:hAnsiTheme="minorHAnsi" w:cs="Arial"/>
          <w:bCs/>
          <w:sz w:val="21"/>
          <w:szCs w:val="21"/>
        </w:rPr>
        <w:t>, které cenu pojistné</w:t>
      </w:r>
      <w:r w:rsidR="003B612F" w:rsidRPr="00A268D9">
        <w:rPr>
          <w:rFonts w:asciiTheme="minorHAnsi" w:hAnsiTheme="minorHAnsi" w:cs="Arial"/>
          <w:bCs/>
          <w:sz w:val="21"/>
          <w:szCs w:val="21"/>
        </w:rPr>
        <w:t xml:space="preserve">ho </w:t>
      </w:r>
      <w:r w:rsidRPr="00A268D9">
        <w:rPr>
          <w:rFonts w:asciiTheme="minorHAnsi" w:hAnsiTheme="minorHAnsi" w:cs="Arial"/>
          <w:bCs/>
          <w:sz w:val="21"/>
          <w:szCs w:val="21"/>
        </w:rPr>
        <w:t>výrazně snižují</w:t>
      </w:r>
      <w:r w:rsidR="003B612F" w:rsidRPr="00A268D9">
        <w:rPr>
          <w:rFonts w:asciiTheme="minorHAnsi" w:hAnsiTheme="minorHAnsi" w:cs="Arial"/>
          <w:bCs/>
          <w:sz w:val="21"/>
          <w:szCs w:val="21"/>
        </w:rPr>
        <w:t>. Opakem jsou potom malusy získané za nehody, které pojištění prodraží</w:t>
      </w:r>
      <w:r w:rsidRPr="00A268D9">
        <w:rPr>
          <w:rFonts w:asciiTheme="minorHAnsi" w:hAnsiTheme="minorHAnsi" w:cs="Arial"/>
          <w:bCs/>
          <w:sz w:val="21"/>
          <w:szCs w:val="21"/>
        </w:rPr>
        <w:t>.</w:t>
      </w:r>
    </w:p>
    <w:p w14:paraId="53F0F219" w14:textId="60C3132B" w:rsidR="00E211E6" w:rsidRPr="00A268D9" w:rsidRDefault="00E211E6" w:rsidP="00A268D9">
      <w:pPr>
        <w:pStyle w:val="Normlnweb"/>
        <w:shd w:val="clear" w:color="auto" w:fill="FFFFFF"/>
        <w:spacing w:before="0" w:beforeAutospacing="0" w:after="120" w:afterAutospacing="0"/>
        <w:jc w:val="both"/>
        <w:textAlignment w:val="baseline"/>
        <w:rPr>
          <w:rFonts w:asciiTheme="minorHAnsi" w:hAnsiTheme="minorHAnsi" w:cs="Arial"/>
          <w:sz w:val="21"/>
          <w:szCs w:val="21"/>
        </w:rPr>
      </w:pPr>
      <w:r w:rsidRPr="00A268D9">
        <w:rPr>
          <w:rFonts w:asciiTheme="minorHAnsi" w:hAnsiTheme="minorHAnsi" w:cs="Arial"/>
          <w:sz w:val="21"/>
          <w:szCs w:val="21"/>
        </w:rPr>
        <w:t>Některé pojišťovny dokonce nabízí </w:t>
      </w:r>
      <w:r w:rsidRPr="00A268D9">
        <w:rPr>
          <w:rStyle w:val="Siln"/>
          <w:rFonts w:asciiTheme="minorHAnsi" w:eastAsiaTheme="majorEastAsia" w:hAnsiTheme="minorHAnsi" w:cs="Arial"/>
          <w:b w:val="0"/>
          <w:sz w:val="21"/>
          <w:szCs w:val="21"/>
          <w:bdr w:val="none" w:sz="0" w:space="0" w:color="auto" w:frame="1"/>
        </w:rPr>
        <w:t>výhodnější ceny</w:t>
      </w:r>
      <w:r w:rsidRPr="00A268D9">
        <w:rPr>
          <w:rFonts w:asciiTheme="minorHAnsi" w:hAnsiTheme="minorHAnsi" w:cs="Arial"/>
          <w:sz w:val="21"/>
          <w:szCs w:val="21"/>
        </w:rPr>
        <w:t> vy</w:t>
      </w:r>
      <w:r w:rsidR="003B612F" w:rsidRPr="00A268D9">
        <w:rPr>
          <w:rFonts w:asciiTheme="minorHAnsi" w:hAnsiTheme="minorHAnsi" w:cs="Arial"/>
          <w:sz w:val="21"/>
          <w:szCs w:val="21"/>
        </w:rPr>
        <w:t>braným skupinám klientů. L</w:t>
      </w:r>
      <w:r w:rsidRPr="00A268D9">
        <w:rPr>
          <w:rFonts w:asciiTheme="minorHAnsi" w:hAnsiTheme="minorHAnsi" w:cs="Arial"/>
          <w:sz w:val="21"/>
          <w:szCs w:val="21"/>
        </w:rPr>
        <w:t>epší cenu dostanou například ženy, lékaři, hasiči nebo zdravotně postižení řidiči.</w:t>
      </w:r>
    </w:p>
    <w:p w14:paraId="5D84949A" w14:textId="77777777" w:rsidR="00E211E6" w:rsidRPr="00A268D9" w:rsidRDefault="00E211E6" w:rsidP="00A268D9">
      <w:pPr>
        <w:pStyle w:val="Normlnweb"/>
        <w:shd w:val="clear" w:color="auto" w:fill="FFFFFF"/>
        <w:spacing w:before="0" w:beforeAutospacing="0" w:after="120" w:afterAutospacing="0"/>
        <w:jc w:val="both"/>
        <w:textAlignment w:val="baseline"/>
        <w:rPr>
          <w:rFonts w:asciiTheme="minorHAnsi" w:hAnsiTheme="minorHAnsi" w:cs="Arial"/>
          <w:sz w:val="21"/>
          <w:szCs w:val="21"/>
        </w:rPr>
      </w:pPr>
      <w:r w:rsidRPr="00A268D9">
        <w:rPr>
          <w:rFonts w:asciiTheme="minorHAnsi" w:hAnsiTheme="minorHAnsi" w:cs="Arial"/>
          <w:sz w:val="21"/>
          <w:szCs w:val="21"/>
        </w:rPr>
        <w:t>Kromě výše uvedených parametrů rozhodují o ceně i další skutečnosti. Vzhledem k velké konkurenci na trhu lákají pojišťovny klienty i na různé </w:t>
      </w:r>
      <w:r w:rsidRPr="00A268D9">
        <w:rPr>
          <w:rStyle w:val="Siln"/>
          <w:rFonts w:asciiTheme="minorHAnsi" w:eastAsiaTheme="majorEastAsia" w:hAnsiTheme="minorHAnsi" w:cs="Arial"/>
          <w:b w:val="0"/>
          <w:sz w:val="21"/>
          <w:szCs w:val="21"/>
          <w:bdr w:val="none" w:sz="0" w:space="0" w:color="auto" w:frame="1"/>
        </w:rPr>
        <w:t>nadstandardní služby</w:t>
      </w:r>
      <w:r w:rsidRPr="00A268D9">
        <w:rPr>
          <w:rFonts w:asciiTheme="minorHAnsi" w:hAnsiTheme="minorHAnsi" w:cs="Arial"/>
          <w:sz w:val="21"/>
          <w:szCs w:val="21"/>
        </w:rPr>
        <w:t> jako jsou například </w:t>
      </w:r>
      <w:r w:rsidRPr="00A268D9">
        <w:rPr>
          <w:rStyle w:val="Siln"/>
          <w:rFonts w:asciiTheme="minorHAnsi" w:eastAsiaTheme="majorEastAsia" w:hAnsiTheme="minorHAnsi" w:cs="Arial"/>
          <w:b w:val="0"/>
          <w:sz w:val="21"/>
          <w:szCs w:val="21"/>
          <w:bdr w:val="none" w:sz="0" w:space="0" w:color="auto" w:frame="1"/>
        </w:rPr>
        <w:t>asistenční služby</w:t>
      </w:r>
      <w:r w:rsidRPr="00A268D9">
        <w:rPr>
          <w:rFonts w:asciiTheme="minorHAnsi" w:hAnsiTheme="minorHAnsi" w:cs="Arial"/>
          <w:b/>
          <w:sz w:val="21"/>
          <w:szCs w:val="21"/>
        </w:rPr>
        <w:t>, </w:t>
      </w:r>
      <w:r w:rsidRPr="00A268D9">
        <w:rPr>
          <w:rStyle w:val="Siln"/>
          <w:rFonts w:asciiTheme="minorHAnsi" w:eastAsiaTheme="majorEastAsia" w:hAnsiTheme="minorHAnsi" w:cs="Arial"/>
          <w:b w:val="0"/>
          <w:sz w:val="21"/>
          <w:szCs w:val="21"/>
          <w:bdr w:val="none" w:sz="0" w:space="0" w:color="auto" w:frame="1"/>
        </w:rPr>
        <w:t>slevy</w:t>
      </w:r>
      <w:r w:rsidRPr="00A268D9">
        <w:rPr>
          <w:rFonts w:asciiTheme="minorHAnsi" w:hAnsiTheme="minorHAnsi" w:cs="Arial"/>
          <w:sz w:val="21"/>
          <w:szCs w:val="21"/>
        </w:rPr>
        <w:t> na další produkt pojišťovny či slevy na povinné ručení, pokud už máte u dané pojišťovny jinou pojistku.</w:t>
      </w:r>
    </w:p>
    <w:p w14:paraId="5DCD8E24" w14:textId="2A763F4E" w:rsidR="00EE591F" w:rsidRPr="00A268D9" w:rsidRDefault="00EE591F" w:rsidP="00A268D9">
      <w:pPr>
        <w:spacing w:after="120"/>
        <w:ind w:right="130"/>
        <w:jc w:val="both"/>
        <w:rPr>
          <w:rFonts w:asciiTheme="minorHAnsi" w:hAnsiTheme="minorHAnsi" w:cstheme="minorHAnsi"/>
          <w:i/>
          <w:color w:val="FF0000"/>
          <w:sz w:val="21"/>
          <w:szCs w:val="21"/>
        </w:rPr>
      </w:pPr>
      <w:r w:rsidRPr="00EE591F">
        <w:rPr>
          <w:rFonts w:asciiTheme="minorHAnsi" w:hAnsiTheme="minorHAnsi" w:cstheme="minorHAnsi"/>
          <w:b/>
          <w:bCs/>
        </w:rPr>
        <w:t xml:space="preserve">Povinné ručení 2024 – </w:t>
      </w:r>
      <w:r w:rsidR="00B47902">
        <w:rPr>
          <w:rFonts w:asciiTheme="minorHAnsi" w:hAnsiTheme="minorHAnsi" w:cstheme="minorHAnsi"/>
          <w:b/>
          <w:bCs/>
        </w:rPr>
        <w:t>novela přinese</w:t>
      </w:r>
      <w:r w:rsidR="003D2711">
        <w:rPr>
          <w:rFonts w:asciiTheme="minorHAnsi" w:hAnsiTheme="minorHAnsi" w:cstheme="minorHAnsi"/>
          <w:b/>
          <w:bCs/>
        </w:rPr>
        <w:t xml:space="preserve"> </w:t>
      </w:r>
      <w:r w:rsidRPr="00EE591F">
        <w:rPr>
          <w:rFonts w:asciiTheme="minorHAnsi" w:hAnsiTheme="minorHAnsi" w:cstheme="minorHAnsi"/>
          <w:b/>
          <w:bCs/>
        </w:rPr>
        <w:t>řadu změn</w:t>
      </w:r>
    </w:p>
    <w:p w14:paraId="7E450EFD" w14:textId="77777777" w:rsidR="00AE0FD1" w:rsidRDefault="003B612F" w:rsidP="003D2711">
      <w:pPr>
        <w:spacing w:after="120"/>
        <w:ind w:right="130"/>
        <w:rPr>
          <w:rFonts w:asciiTheme="minorHAnsi" w:hAnsiTheme="minorHAnsi" w:cstheme="minorHAnsi"/>
          <w:sz w:val="21"/>
          <w:szCs w:val="21"/>
        </w:rPr>
      </w:pPr>
      <w:r>
        <w:rPr>
          <w:rFonts w:asciiTheme="minorHAnsi" w:hAnsiTheme="minorHAnsi" w:cstheme="minorHAnsi"/>
          <w:sz w:val="21"/>
          <w:szCs w:val="21"/>
        </w:rPr>
        <w:t>Novela</w:t>
      </w:r>
      <w:r w:rsidR="00EE591F" w:rsidRPr="00EE591F">
        <w:rPr>
          <w:rFonts w:asciiTheme="minorHAnsi" w:hAnsiTheme="minorHAnsi" w:cstheme="minorHAnsi"/>
          <w:sz w:val="21"/>
          <w:szCs w:val="21"/>
        </w:rPr>
        <w:t xml:space="preserve"> zákona o pojištění odpovědnosti z provozu vozidla </w:t>
      </w:r>
      <w:r w:rsidR="00BC6C6E">
        <w:rPr>
          <w:rFonts w:asciiTheme="minorHAnsi" w:hAnsiTheme="minorHAnsi" w:cstheme="minorHAnsi"/>
          <w:sz w:val="21"/>
          <w:szCs w:val="21"/>
        </w:rPr>
        <w:t>přinese v roce 2024</w:t>
      </w:r>
      <w:r w:rsidR="00EE591F" w:rsidRPr="00EE591F">
        <w:rPr>
          <w:rFonts w:asciiTheme="minorHAnsi" w:hAnsiTheme="minorHAnsi" w:cstheme="minorHAnsi"/>
          <w:sz w:val="21"/>
          <w:szCs w:val="21"/>
        </w:rPr>
        <w:t xml:space="preserve"> pro řidiče několik zásadních změn v povinném</w:t>
      </w:r>
      <w:r w:rsidR="00AE0FD1">
        <w:rPr>
          <w:rFonts w:asciiTheme="minorHAnsi" w:hAnsiTheme="minorHAnsi" w:cstheme="minorHAnsi"/>
          <w:sz w:val="21"/>
          <w:szCs w:val="21"/>
        </w:rPr>
        <w:t xml:space="preserve"> ručení:</w:t>
      </w:r>
    </w:p>
    <w:p w14:paraId="79A6A426" w14:textId="068189DA" w:rsidR="00251CC1" w:rsidRPr="00251CC1" w:rsidRDefault="00251CC1" w:rsidP="00A268D9">
      <w:pPr>
        <w:pStyle w:val="Odstavecseseznamem"/>
        <w:numPr>
          <w:ilvl w:val="0"/>
          <w:numId w:val="28"/>
        </w:numPr>
        <w:ind w:right="130"/>
        <w:rPr>
          <w:rFonts w:asciiTheme="minorHAnsi" w:hAnsiTheme="minorHAnsi" w:cstheme="minorHAnsi"/>
          <w:sz w:val="21"/>
          <w:szCs w:val="21"/>
        </w:rPr>
      </w:pPr>
      <w:r>
        <w:rPr>
          <w:rFonts w:asciiTheme="minorHAnsi" w:hAnsiTheme="minorHAnsi" w:cstheme="minorHAnsi"/>
          <w:sz w:val="21"/>
          <w:szCs w:val="21"/>
        </w:rPr>
        <w:t>r</w:t>
      </w:r>
      <w:r w:rsidR="00425824" w:rsidRPr="00AE0FD1">
        <w:rPr>
          <w:rFonts w:asciiTheme="minorHAnsi" w:hAnsiTheme="minorHAnsi" w:cstheme="minorHAnsi"/>
          <w:sz w:val="21"/>
          <w:szCs w:val="21"/>
        </w:rPr>
        <w:t>ozšíří</w:t>
      </w:r>
      <w:r>
        <w:rPr>
          <w:rFonts w:asciiTheme="minorHAnsi" w:hAnsiTheme="minorHAnsi" w:cstheme="minorHAnsi"/>
          <w:sz w:val="21"/>
          <w:szCs w:val="21"/>
        </w:rPr>
        <w:t xml:space="preserve"> se</w:t>
      </w:r>
      <w:r w:rsidR="00425824" w:rsidRPr="00AE0FD1">
        <w:rPr>
          <w:rFonts w:asciiTheme="minorHAnsi" w:hAnsiTheme="minorHAnsi" w:cstheme="minorHAnsi"/>
          <w:sz w:val="21"/>
          <w:szCs w:val="21"/>
        </w:rPr>
        <w:t xml:space="preserve"> </w:t>
      </w:r>
      <w:r w:rsidR="00EE591F" w:rsidRPr="00AE0FD1">
        <w:rPr>
          <w:rFonts w:asciiTheme="minorHAnsi" w:hAnsiTheme="minorHAnsi" w:cstheme="minorHAnsi"/>
          <w:sz w:val="21"/>
          <w:szCs w:val="21"/>
        </w:rPr>
        <w:t>okruh vozidel s pov</w:t>
      </w:r>
      <w:r>
        <w:rPr>
          <w:rFonts w:asciiTheme="minorHAnsi" w:hAnsiTheme="minorHAnsi" w:cstheme="minorHAnsi"/>
          <w:sz w:val="21"/>
          <w:szCs w:val="21"/>
        </w:rPr>
        <w:t>inností pojištění odpovědnosti</w:t>
      </w:r>
      <w:r w:rsidR="00C43FC3">
        <w:rPr>
          <w:rFonts w:asciiTheme="minorHAnsi" w:hAnsiTheme="minorHAnsi" w:cstheme="minorHAnsi"/>
          <w:sz w:val="21"/>
          <w:szCs w:val="21"/>
        </w:rPr>
        <w:t>,</w:t>
      </w:r>
    </w:p>
    <w:p w14:paraId="4779D34A" w14:textId="53257860" w:rsidR="00251CC1" w:rsidRDefault="00251CC1" w:rsidP="00A268D9">
      <w:pPr>
        <w:pStyle w:val="Odstavecseseznamem"/>
        <w:numPr>
          <w:ilvl w:val="0"/>
          <w:numId w:val="28"/>
        </w:numPr>
        <w:ind w:right="130"/>
        <w:rPr>
          <w:rFonts w:asciiTheme="minorHAnsi" w:hAnsiTheme="minorHAnsi" w:cstheme="minorHAnsi"/>
          <w:sz w:val="21"/>
          <w:szCs w:val="21"/>
        </w:rPr>
      </w:pPr>
      <w:r>
        <w:rPr>
          <w:rFonts w:asciiTheme="minorHAnsi" w:hAnsiTheme="minorHAnsi" w:cstheme="minorHAnsi"/>
          <w:sz w:val="21"/>
          <w:szCs w:val="21"/>
        </w:rPr>
        <w:t xml:space="preserve">zvyšuje se </w:t>
      </w:r>
      <w:r w:rsidR="00EE591F" w:rsidRPr="00AE0FD1">
        <w:rPr>
          <w:rFonts w:asciiTheme="minorHAnsi" w:hAnsiTheme="minorHAnsi" w:cstheme="minorHAnsi"/>
          <w:sz w:val="21"/>
          <w:szCs w:val="21"/>
        </w:rPr>
        <w:t>minimální h</w:t>
      </w:r>
      <w:r>
        <w:rPr>
          <w:rFonts w:asciiTheme="minorHAnsi" w:hAnsiTheme="minorHAnsi" w:cstheme="minorHAnsi"/>
          <w:sz w:val="21"/>
          <w:szCs w:val="21"/>
        </w:rPr>
        <w:t>ranice pojistných limitů</w:t>
      </w:r>
      <w:r w:rsidR="00C43FC3">
        <w:rPr>
          <w:rFonts w:asciiTheme="minorHAnsi" w:hAnsiTheme="minorHAnsi" w:cstheme="minorHAnsi"/>
          <w:sz w:val="21"/>
          <w:szCs w:val="21"/>
        </w:rPr>
        <w:t>,</w:t>
      </w:r>
    </w:p>
    <w:p w14:paraId="6DB81F29" w14:textId="4545339D" w:rsidR="00251CC1" w:rsidRDefault="00425824" w:rsidP="00A268D9">
      <w:pPr>
        <w:pStyle w:val="Odstavecseseznamem"/>
        <w:numPr>
          <w:ilvl w:val="0"/>
          <w:numId w:val="28"/>
        </w:numPr>
        <w:ind w:right="130"/>
        <w:rPr>
          <w:rFonts w:asciiTheme="minorHAnsi" w:hAnsiTheme="minorHAnsi" w:cstheme="minorHAnsi"/>
          <w:sz w:val="21"/>
          <w:szCs w:val="21"/>
        </w:rPr>
      </w:pPr>
      <w:r w:rsidRPr="00AE0FD1">
        <w:rPr>
          <w:rFonts w:asciiTheme="minorHAnsi" w:hAnsiTheme="minorHAnsi" w:cstheme="minorHAnsi"/>
          <w:sz w:val="21"/>
          <w:szCs w:val="21"/>
        </w:rPr>
        <w:t xml:space="preserve">ruší </w:t>
      </w:r>
      <w:r w:rsidR="00EE591F" w:rsidRPr="00AE0FD1">
        <w:rPr>
          <w:rFonts w:asciiTheme="minorHAnsi" w:hAnsiTheme="minorHAnsi" w:cstheme="minorHAnsi"/>
          <w:sz w:val="21"/>
          <w:szCs w:val="21"/>
        </w:rPr>
        <w:t>se povinnost mít u sebe zelenou kartu</w:t>
      </w:r>
      <w:r w:rsidR="00C43FC3">
        <w:rPr>
          <w:rFonts w:asciiTheme="minorHAnsi" w:hAnsiTheme="minorHAnsi" w:cstheme="minorHAnsi"/>
          <w:sz w:val="21"/>
          <w:szCs w:val="21"/>
        </w:rPr>
        <w:t>,</w:t>
      </w:r>
    </w:p>
    <w:p w14:paraId="1A47B19A" w14:textId="3A3103E7" w:rsidR="00251CC1" w:rsidRPr="00A268D9" w:rsidRDefault="00251CC1" w:rsidP="00A268D9">
      <w:pPr>
        <w:pStyle w:val="Odstavecseseznamem"/>
        <w:numPr>
          <w:ilvl w:val="0"/>
          <w:numId w:val="28"/>
        </w:numPr>
        <w:ind w:right="130"/>
        <w:rPr>
          <w:rFonts w:asciiTheme="minorHAnsi" w:hAnsiTheme="minorHAnsi" w:cstheme="minorHAnsi"/>
          <w:sz w:val="21"/>
          <w:szCs w:val="21"/>
        </w:rPr>
      </w:pPr>
      <w:r w:rsidRPr="00AE0FD1">
        <w:rPr>
          <w:rFonts w:asciiTheme="minorHAnsi" w:hAnsiTheme="minorHAnsi" w:cstheme="minorHAnsi"/>
          <w:sz w:val="21"/>
          <w:szCs w:val="21"/>
        </w:rPr>
        <w:t>povinnost sjednat po</w:t>
      </w:r>
      <w:r>
        <w:rPr>
          <w:rFonts w:asciiTheme="minorHAnsi" w:hAnsiTheme="minorHAnsi" w:cstheme="minorHAnsi"/>
          <w:sz w:val="21"/>
          <w:szCs w:val="21"/>
        </w:rPr>
        <w:t>jištění odpovědnosti se přenáší</w:t>
      </w:r>
      <w:r w:rsidRPr="00AE0FD1">
        <w:rPr>
          <w:rFonts w:asciiTheme="minorHAnsi" w:hAnsiTheme="minorHAnsi" w:cstheme="minorHAnsi"/>
          <w:sz w:val="21"/>
          <w:szCs w:val="21"/>
        </w:rPr>
        <w:t xml:space="preserve"> z vlastníka vozidla na jeho skutečnéh</w:t>
      </w:r>
      <w:r>
        <w:rPr>
          <w:rFonts w:asciiTheme="minorHAnsi" w:hAnsiTheme="minorHAnsi" w:cstheme="minorHAnsi"/>
          <w:sz w:val="21"/>
          <w:szCs w:val="21"/>
        </w:rPr>
        <w:t>o provozovatele</w:t>
      </w:r>
      <w:r w:rsidR="00EE591F" w:rsidRPr="00AE0FD1">
        <w:rPr>
          <w:rFonts w:asciiTheme="minorHAnsi" w:hAnsiTheme="minorHAnsi" w:cstheme="minorHAnsi"/>
          <w:sz w:val="21"/>
          <w:szCs w:val="21"/>
        </w:rPr>
        <w:t xml:space="preserve">. </w:t>
      </w:r>
    </w:p>
    <w:p w14:paraId="7BEB2195" w14:textId="13EA3032" w:rsidR="00EE591F" w:rsidRPr="00DC4212" w:rsidRDefault="00425824" w:rsidP="00A268D9">
      <w:pPr>
        <w:spacing w:before="120" w:after="240"/>
        <w:ind w:right="130"/>
        <w:rPr>
          <w:rFonts w:asciiTheme="minorHAnsi" w:hAnsiTheme="minorHAnsi" w:cstheme="minorHAnsi"/>
          <w:i/>
          <w:iCs/>
          <w:sz w:val="21"/>
          <w:szCs w:val="21"/>
        </w:rPr>
      </w:pPr>
      <w:r>
        <w:rPr>
          <w:rFonts w:asciiTheme="minorHAnsi" w:hAnsiTheme="minorHAnsi" w:cstheme="minorHAnsi"/>
          <w:sz w:val="21"/>
          <w:szCs w:val="21"/>
        </w:rPr>
        <w:t>Důvody</w:t>
      </w:r>
      <w:r w:rsidR="00EE591F" w:rsidRPr="00EE591F">
        <w:rPr>
          <w:rFonts w:asciiTheme="minorHAnsi" w:hAnsiTheme="minorHAnsi" w:cstheme="minorHAnsi"/>
          <w:sz w:val="21"/>
          <w:szCs w:val="21"/>
        </w:rPr>
        <w:t xml:space="preserve"> pro přijetí nového zákona o pojištění odpo</w:t>
      </w:r>
      <w:r>
        <w:rPr>
          <w:rFonts w:asciiTheme="minorHAnsi" w:hAnsiTheme="minorHAnsi" w:cstheme="minorHAnsi"/>
          <w:sz w:val="21"/>
          <w:szCs w:val="21"/>
        </w:rPr>
        <w:t xml:space="preserve">vědnosti z provozu vozidla zakládá </w:t>
      </w:r>
      <w:r w:rsidR="00EE591F" w:rsidRPr="00EE591F">
        <w:rPr>
          <w:rFonts w:asciiTheme="minorHAnsi" w:hAnsiTheme="minorHAnsi" w:cstheme="minorHAnsi"/>
          <w:sz w:val="21"/>
          <w:szCs w:val="21"/>
        </w:rPr>
        <w:t xml:space="preserve">nejen nutnost transpozice příslušné evropské směrnice do českého právního systému, ale </w:t>
      </w:r>
      <w:r>
        <w:rPr>
          <w:rFonts w:asciiTheme="minorHAnsi" w:hAnsiTheme="minorHAnsi" w:cstheme="minorHAnsi"/>
          <w:sz w:val="21"/>
          <w:szCs w:val="21"/>
        </w:rPr>
        <w:t xml:space="preserve">také podoba </w:t>
      </w:r>
      <w:r w:rsidR="00AE0FD1">
        <w:rPr>
          <w:rFonts w:asciiTheme="minorHAnsi" w:hAnsiTheme="minorHAnsi" w:cstheme="minorHAnsi"/>
          <w:sz w:val="21"/>
          <w:szCs w:val="21"/>
        </w:rPr>
        <w:t>stávající zákonné úpravy.</w:t>
      </w: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r w:rsidRPr="00AD79CC">
        <w:rPr>
          <w:rFonts w:asciiTheme="minorHAnsi" w:hAnsiTheme="minorHAnsi" w:cstheme="minorHAnsi"/>
          <w:color w:val="000000" w:themeColor="text1"/>
          <w:sz w:val="21"/>
          <w:szCs w:val="21"/>
        </w:rPr>
        <w:t xml:space="preserve">POVIndex byl poprvé spuštěn v srpnu roku 2019. Od svého počátku sleduje vývoj nákladů na povinné ručení pro řidiče bez </w:t>
      </w:r>
      <w:r w:rsidRPr="00AD79CC">
        <w:rPr>
          <w:rFonts w:asciiTheme="minorHAnsi" w:hAnsiTheme="minorHAnsi" w:cstheme="minorHAnsi"/>
          <w:color w:val="000000" w:themeColor="text1"/>
          <w:sz w:val="21"/>
          <w:szCs w:val="21"/>
        </w:rPr>
        <w:lastRenderedPageBreak/>
        <w:t>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Broker Consulting POVIndex</w:t>
      </w:r>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bookmarkStart w:id="0" w:name="_GoBack"/>
      <w:bookmarkEnd w:id="0"/>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553E03D2" w:rsidR="00DE7CE1" w:rsidRPr="00AD79CC" w:rsidRDefault="00A268D9" w:rsidP="00DE7CE1">
      <w:pPr>
        <w:pStyle w:val="Bezmezer"/>
        <w:rPr>
          <w:rFonts w:eastAsia="F015TEELig" w:cstheme="minorHAnsi"/>
          <w:sz w:val="21"/>
          <w:szCs w:val="21"/>
        </w:rPr>
      </w:pPr>
      <w:r>
        <w:rPr>
          <w:rFonts w:eastAsia="F015TEELig" w:cstheme="minorHAnsi"/>
          <w:sz w:val="21"/>
          <w:szCs w:val="21"/>
        </w:rPr>
        <w:t>Lenka Kuželová</w:t>
      </w:r>
    </w:p>
    <w:p w14:paraId="3373094C" w14:textId="16A746FE"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 xml:space="preserve">Specialistka PR </w:t>
      </w:r>
    </w:p>
    <w:p w14:paraId="3AA32CF7" w14:textId="77777777" w:rsidR="00A268D9" w:rsidRPr="00AD79CC" w:rsidRDefault="00A268D9" w:rsidP="00A268D9">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6FC0F9F5" w14:textId="6A027A41" w:rsidR="004C7BB5" w:rsidRPr="00AD79CC" w:rsidRDefault="004C7BB5" w:rsidP="00A1017F">
      <w:pPr>
        <w:pStyle w:val="Bezmezer"/>
        <w:rPr>
          <w:rFonts w:eastAsia="F015TEELig" w:cstheme="minorHAnsi"/>
          <w:sz w:val="21"/>
          <w:szCs w:val="21"/>
        </w:rPr>
      </w:pP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280C8" w14:textId="77777777" w:rsidR="00AD587F" w:rsidRDefault="00AD587F">
      <w:r>
        <w:separator/>
      </w:r>
    </w:p>
  </w:endnote>
  <w:endnote w:type="continuationSeparator" w:id="0">
    <w:p w14:paraId="2A6850D1" w14:textId="77777777" w:rsidR="00AD587F" w:rsidRDefault="00AD5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Content>
      <w:p w14:paraId="3298633F" w14:textId="6054EF87"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9D3CA0">
          <w:rPr>
            <w:rFonts w:asciiTheme="minorHAnsi" w:hAnsiTheme="minorHAnsi" w:cstheme="minorHAnsi"/>
            <w:noProof/>
            <w:sz w:val="20"/>
            <w:szCs w:val="20"/>
          </w:rPr>
          <w:t>4</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D24115">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CACAB" w14:textId="77777777" w:rsidR="00AD587F" w:rsidRDefault="00AD587F">
      <w:r>
        <w:separator/>
      </w:r>
    </w:p>
  </w:footnote>
  <w:footnote w:type="continuationSeparator" w:id="0">
    <w:p w14:paraId="56148284" w14:textId="77777777" w:rsidR="00AD587F" w:rsidRDefault="00AD5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C4C7"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0AAC0"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5"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6"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
  </w:num>
  <w:num w:numId="3">
    <w:abstractNumId w:val="21"/>
  </w:num>
  <w:num w:numId="4">
    <w:abstractNumId w:val="6"/>
  </w:num>
  <w:num w:numId="5">
    <w:abstractNumId w:val="1"/>
  </w:num>
  <w:num w:numId="6">
    <w:abstractNumId w:val="23"/>
  </w:num>
  <w:num w:numId="7">
    <w:abstractNumId w:val="13"/>
  </w:num>
  <w:num w:numId="8">
    <w:abstractNumId w:val="12"/>
  </w:num>
  <w:num w:numId="9">
    <w:abstractNumId w:val="9"/>
  </w:num>
  <w:num w:numId="10">
    <w:abstractNumId w:val="11"/>
  </w:num>
  <w:num w:numId="11">
    <w:abstractNumId w:val="7"/>
  </w:num>
  <w:num w:numId="12">
    <w:abstractNumId w:val="4"/>
  </w:num>
  <w:num w:numId="13">
    <w:abstractNumId w:val="17"/>
  </w:num>
  <w:num w:numId="14">
    <w:abstractNumId w:val="27"/>
  </w:num>
  <w:num w:numId="15">
    <w:abstractNumId w:val="2"/>
  </w:num>
  <w:num w:numId="16">
    <w:abstractNumId w:val="15"/>
  </w:num>
  <w:num w:numId="17">
    <w:abstractNumId w:val="5"/>
  </w:num>
  <w:num w:numId="18">
    <w:abstractNumId w:val="10"/>
  </w:num>
  <w:num w:numId="19">
    <w:abstractNumId w:val="20"/>
  </w:num>
  <w:num w:numId="20">
    <w:abstractNumId w:val="25"/>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4"/>
    <w:lvlOverride w:ilvl="0"/>
    <w:lvlOverride w:ilvl="1">
      <w:startOverride w:val="4"/>
    </w:lvlOverride>
    <w:lvlOverride w:ilvl="2"/>
    <w:lvlOverride w:ilvl="3"/>
    <w:lvlOverride w:ilvl="4"/>
    <w:lvlOverride w:ilvl="5"/>
    <w:lvlOverride w:ilvl="6"/>
    <w:lvlOverride w:ilvl="7"/>
    <w:lvlOverride w:ilvl="8"/>
  </w:num>
  <w:num w:numId="24">
    <w:abstractNumId w:val="22"/>
  </w:num>
  <w:num w:numId="25">
    <w:abstractNumId w:val="16"/>
  </w:num>
  <w:num w:numId="26">
    <w:abstractNumId w:val="18"/>
  </w:num>
  <w:num w:numId="27">
    <w:abstractNumId w:val="0"/>
  </w:num>
  <w:num w:numId="28">
    <w:abstractNumId w:val="2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2E18"/>
    <w:rsid w:val="00066A72"/>
    <w:rsid w:val="00067BA6"/>
    <w:rsid w:val="000705A5"/>
    <w:rsid w:val="00070D3C"/>
    <w:rsid w:val="0007198D"/>
    <w:rsid w:val="0007340D"/>
    <w:rsid w:val="00073462"/>
    <w:rsid w:val="00076845"/>
    <w:rsid w:val="00076C44"/>
    <w:rsid w:val="00077CC7"/>
    <w:rsid w:val="00083E38"/>
    <w:rsid w:val="0008656E"/>
    <w:rsid w:val="000866C0"/>
    <w:rsid w:val="00086F8F"/>
    <w:rsid w:val="00087124"/>
    <w:rsid w:val="00087D87"/>
    <w:rsid w:val="00090C9C"/>
    <w:rsid w:val="00090F2A"/>
    <w:rsid w:val="00091509"/>
    <w:rsid w:val="00094F77"/>
    <w:rsid w:val="00096AE4"/>
    <w:rsid w:val="000A06EA"/>
    <w:rsid w:val="000A170E"/>
    <w:rsid w:val="000A51D0"/>
    <w:rsid w:val="000A6FB0"/>
    <w:rsid w:val="000A77CE"/>
    <w:rsid w:val="000B6053"/>
    <w:rsid w:val="000C1AB4"/>
    <w:rsid w:val="000C32B0"/>
    <w:rsid w:val="000C351D"/>
    <w:rsid w:val="000C38CB"/>
    <w:rsid w:val="000C3C4C"/>
    <w:rsid w:val="000C4DDE"/>
    <w:rsid w:val="000C53D6"/>
    <w:rsid w:val="000C5490"/>
    <w:rsid w:val="000C5B38"/>
    <w:rsid w:val="000C7119"/>
    <w:rsid w:val="000C74BD"/>
    <w:rsid w:val="000C7FAE"/>
    <w:rsid w:val="000D11FB"/>
    <w:rsid w:val="000D133F"/>
    <w:rsid w:val="000D2044"/>
    <w:rsid w:val="000D2DDE"/>
    <w:rsid w:val="000D333C"/>
    <w:rsid w:val="000D6870"/>
    <w:rsid w:val="000E21D2"/>
    <w:rsid w:val="000E286C"/>
    <w:rsid w:val="000E36C6"/>
    <w:rsid w:val="000E4DDD"/>
    <w:rsid w:val="000E7086"/>
    <w:rsid w:val="000F040D"/>
    <w:rsid w:val="000F1935"/>
    <w:rsid w:val="000F47AE"/>
    <w:rsid w:val="000F56EF"/>
    <w:rsid w:val="000F6249"/>
    <w:rsid w:val="00100869"/>
    <w:rsid w:val="00100CE7"/>
    <w:rsid w:val="0010426A"/>
    <w:rsid w:val="00104FCB"/>
    <w:rsid w:val="00106651"/>
    <w:rsid w:val="00107E00"/>
    <w:rsid w:val="00107E36"/>
    <w:rsid w:val="00112F65"/>
    <w:rsid w:val="00114392"/>
    <w:rsid w:val="00114D2B"/>
    <w:rsid w:val="00114D66"/>
    <w:rsid w:val="00114E09"/>
    <w:rsid w:val="00115CF8"/>
    <w:rsid w:val="00116173"/>
    <w:rsid w:val="00116A29"/>
    <w:rsid w:val="00117988"/>
    <w:rsid w:val="0012132F"/>
    <w:rsid w:val="0012713E"/>
    <w:rsid w:val="0013044E"/>
    <w:rsid w:val="00131F7B"/>
    <w:rsid w:val="00133BFD"/>
    <w:rsid w:val="0013512D"/>
    <w:rsid w:val="00136D21"/>
    <w:rsid w:val="00137003"/>
    <w:rsid w:val="00137E3C"/>
    <w:rsid w:val="00140DA4"/>
    <w:rsid w:val="00141303"/>
    <w:rsid w:val="001434CE"/>
    <w:rsid w:val="0014388A"/>
    <w:rsid w:val="001449CB"/>
    <w:rsid w:val="00146956"/>
    <w:rsid w:val="00150500"/>
    <w:rsid w:val="00152185"/>
    <w:rsid w:val="00152EDC"/>
    <w:rsid w:val="00153161"/>
    <w:rsid w:val="00155667"/>
    <w:rsid w:val="00160060"/>
    <w:rsid w:val="001603AF"/>
    <w:rsid w:val="00164219"/>
    <w:rsid w:val="00165614"/>
    <w:rsid w:val="001722EA"/>
    <w:rsid w:val="00173C9F"/>
    <w:rsid w:val="00174065"/>
    <w:rsid w:val="00174394"/>
    <w:rsid w:val="00176EF9"/>
    <w:rsid w:val="0017797E"/>
    <w:rsid w:val="00177E6B"/>
    <w:rsid w:val="0018139F"/>
    <w:rsid w:val="00181E9B"/>
    <w:rsid w:val="001844F8"/>
    <w:rsid w:val="0018541B"/>
    <w:rsid w:val="00186E95"/>
    <w:rsid w:val="00190C04"/>
    <w:rsid w:val="00190E10"/>
    <w:rsid w:val="00193B5D"/>
    <w:rsid w:val="00194628"/>
    <w:rsid w:val="00194A47"/>
    <w:rsid w:val="00197408"/>
    <w:rsid w:val="00197AF4"/>
    <w:rsid w:val="00197DE5"/>
    <w:rsid w:val="001A210B"/>
    <w:rsid w:val="001A269A"/>
    <w:rsid w:val="001A4DDB"/>
    <w:rsid w:val="001A54DD"/>
    <w:rsid w:val="001B195D"/>
    <w:rsid w:val="001B1C05"/>
    <w:rsid w:val="001B4EE4"/>
    <w:rsid w:val="001B5A35"/>
    <w:rsid w:val="001B5D34"/>
    <w:rsid w:val="001B79AC"/>
    <w:rsid w:val="001C4A67"/>
    <w:rsid w:val="001C4C44"/>
    <w:rsid w:val="001D2EF2"/>
    <w:rsid w:val="001D3C90"/>
    <w:rsid w:val="001E1593"/>
    <w:rsid w:val="001E265F"/>
    <w:rsid w:val="001E2B55"/>
    <w:rsid w:val="001E2DCC"/>
    <w:rsid w:val="001E4C14"/>
    <w:rsid w:val="001E4D1C"/>
    <w:rsid w:val="001E68DE"/>
    <w:rsid w:val="001F27AC"/>
    <w:rsid w:val="001F4AE1"/>
    <w:rsid w:val="001F7F2E"/>
    <w:rsid w:val="00200F89"/>
    <w:rsid w:val="002018E9"/>
    <w:rsid w:val="00202BE8"/>
    <w:rsid w:val="002108A4"/>
    <w:rsid w:val="00211C5C"/>
    <w:rsid w:val="002137BD"/>
    <w:rsid w:val="00214949"/>
    <w:rsid w:val="00214E98"/>
    <w:rsid w:val="00215EF1"/>
    <w:rsid w:val="00215FFE"/>
    <w:rsid w:val="00216985"/>
    <w:rsid w:val="002174D5"/>
    <w:rsid w:val="0022642E"/>
    <w:rsid w:val="00233262"/>
    <w:rsid w:val="002333DA"/>
    <w:rsid w:val="0023472C"/>
    <w:rsid w:val="00235828"/>
    <w:rsid w:val="002365F3"/>
    <w:rsid w:val="00236B96"/>
    <w:rsid w:val="00236DF8"/>
    <w:rsid w:val="00237068"/>
    <w:rsid w:val="00237B09"/>
    <w:rsid w:val="00237D4E"/>
    <w:rsid w:val="00240BAE"/>
    <w:rsid w:val="00241313"/>
    <w:rsid w:val="00242251"/>
    <w:rsid w:val="002506AD"/>
    <w:rsid w:val="00251CC1"/>
    <w:rsid w:val="0025264B"/>
    <w:rsid w:val="0025408A"/>
    <w:rsid w:val="00254F1F"/>
    <w:rsid w:val="002555B1"/>
    <w:rsid w:val="00255D9F"/>
    <w:rsid w:val="00255E96"/>
    <w:rsid w:val="00255FAB"/>
    <w:rsid w:val="00256498"/>
    <w:rsid w:val="002609B2"/>
    <w:rsid w:val="00261C33"/>
    <w:rsid w:val="00261EE7"/>
    <w:rsid w:val="002636B1"/>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A0C59"/>
    <w:rsid w:val="002A2FB9"/>
    <w:rsid w:val="002A7348"/>
    <w:rsid w:val="002A7AE9"/>
    <w:rsid w:val="002A7DB8"/>
    <w:rsid w:val="002B053B"/>
    <w:rsid w:val="002B3EE0"/>
    <w:rsid w:val="002B5B4B"/>
    <w:rsid w:val="002B6A48"/>
    <w:rsid w:val="002C0392"/>
    <w:rsid w:val="002C201F"/>
    <w:rsid w:val="002C635D"/>
    <w:rsid w:val="002D4E88"/>
    <w:rsid w:val="002D5492"/>
    <w:rsid w:val="002E2785"/>
    <w:rsid w:val="002E27C5"/>
    <w:rsid w:val="002E2F8E"/>
    <w:rsid w:val="002F0335"/>
    <w:rsid w:val="002F0C79"/>
    <w:rsid w:val="002F2D65"/>
    <w:rsid w:val="002F5A42"/>
    <w:rsid w:val="002F5A56"/>
    <w:rsid w:val="002F6814"/>
    <w:rsid w:val="002F68D1"/>
    <w:rsid w:val="00301660"/>
    <w:rsid w:val="00302AE6"/>
    <w:rsid w:val="00303223"/>
    <w:rsid w:val="00303BCE"/>
    <w:rsid w:val="00303C85"/>
    <w:rsid w:val="0030477F"/>
    <w:rsid w:val="00305EA9"/>
    <w:rsid w:val="00307CEB"/>
    <w:rsid w:val="00307D0F"/>
    <w:rsid w:val="00312311"/>
    <w:rsid w:val="003128F8"/>
    <w:rsid w:val="003203FF"/>
    <w:rsid w:val="0032274C"/>
    <w:rsid w:val="00322757"/>
    <w:rsid w:val="00322BE1"/>
    <w:rsid w:val="00325CD8"/>
    <w:rsid w:val="00326268"/>
    <w:rsid w:val="00330918"/>
    <w:rsid w:val="0033104C"/>
    <w:rsid w:val="00334CD1"/>
    <w:rsid w:val="003404F4"/>
    <w:rsid w:val="00341A59"/>
    <w:rsid w:val="003428A4"/>
    <w:rsid w:val="003450E1"/>
    <w:rsid w:val="00345D3E"/>
    <w:rsid w:val="003473B3"/>
    <w:rsid w:val="00347557"/>
    <w:rsid w:val="003504FD"/>
    <w:rsid w:val="00352433"/>
    <w:rsid w:val="0035286E"/>
    <w:rsid w:val="00352D61"/>
    <w:rsid w:val="00354DBF"/>
    <w:rsid w:val="00356FFC"/>
    <w:rsid w:val="00362A5B"/>
    <w:rsid w:val="00363124"/>
    <w:rsid w:val="00374B71"/>
    <w:rsid w:val="00375451"/>
    <w:rsid w:val="00375CF7"/>
    <w:rsid w:val="00381F5F"/>
    <w:rsid w:val="003830B5"/>
    <w:rsid w:val="003863F0"/>
    <w:rsid w:val="00390304"/>
    <w:rsid w:val="0039102F"/>
    <w:rsid w:val="0039395A"/>
    <w:rsid w:val="00395524"/>
    <w:rsid w:val="00397D4B"/>
    <w:rsid w:val="003A4180"/>
    <w:rsid w:val="003A55CE"/>
    <w:rsid w:val="003A76E8"/>
    <w:rsid w:val="003A7C59"/>
    <w:rsid w:val="003A7C9A"/>
    <w:rsid w:val="003B08AC"/>
    <w:rsid w:val="003B4B9E"/>
    <w:rsid w:val="003B54D9"/>
    <w:rsid w:val="003B612F"/>
    <w:rsid w:val="003B7BFE"/>
    <w:rsid w:val="003C0030"/>
    <w:rsid w:val="003C4D4B"/>
    <w:rsid w:val="003D03A6"/>
    <w:rsid w:val="003D07A2"/>
    <w:rsid w:val="003D2590"/>
    <w:rsid w:val="003D2711"/>
    <w:rsid w:val="003D2CAC"/>
    <w:rsid w:val="003D386F"/>
    <w:rsid w:val="003D43DB"/>
    <w:rsid w:val="003D4C73"/>
    <w:rsid w:val="003D556B"/>
    <w:rsid w:val="003D653E"/>
    <w:rsid w:val="003E2280"/>
    <w:rsid w:val="003E2ADC"/>
    <w:rsid w:val="003E5948"/>
    <w:rsid w:val="003E601E"/>
    <w:rsid w:val="003F0EA3"/>
    <w:rsid w:val="003F1184"/>
    <w:rsid w:val="003F38E5"/>
    <w:rsid w:val="003F73C3"/>
    <w:rsid w:val="00401210"/>
    <w:rsid w:val="00402AC6"/>
    <w:rsid w:val="00404CDA"/>
    <w:rsid w:val="00406B06"/>
    <w:rsid w:val="00410BF5"/>
    <w:rsid w:val="0041222E"/>
    <w:rsid w:val="0041224F"/>
    <w:rsid w:val="004130A2"/>
    <w:rsid w:val="00413446"/>
    <w:rsid w:val="0041452A"/>
    <w:rsid w:val="004151E6"/>
    <w:rsid w:val="00415BA7"/>
    <w:rsid w:val="00416F40"/>
    <w:rsid w:val="00417A8F"/>
    <w:rsid w:val="00417E36"/>
    <w:rsid w:val="00422B4E"/>
    <w:rsid w:val="0042312B"/>
    <w:rsid w:val="004237DE"/>
    <w:rsid w:val="00423B16"/>
    <w:rsid w:val="00423F48"/>
    <w:rsid w:val="00425824"/>
    <w:rsid w:val="00425C72"/>
    <w:rsid w:val="0042625B"/>
    <w:rsid w:val="0043207C"/>
    <w:rsid w:val="0043263D"/>
    <w:rsid w:val="004336FA"/>
    <w:rsid w:val="004349B6"/>
    <w:rsid w:val="00436FD5"/>
    <w:rsid w:val="00437639"/>
    <w:rsid w:val="004407C2"/>
    <w:rsid w:val="004413A6"/>
    <w:rsid w:val="00441D22"/>
    <w:rsid w:val="00444BB9"/>
    <w:rsid w:val="00445D0A"/>
    <w:rsid w:val="00447E56"/>
    <w:rsid w:val="004504BC"/>
    <w:rsid w:val="00453482"/>
    <w:rsid w:val="00453762"/>
    <w:rsid w:val="00453CFE"/>
    <w:rsid w:val="00457E45"/>
    <w:rsid w:val="00463570"/>
    <w:rsid w:val="00467207"/>
    <w:rsid w:val="0047109D"/>
    <w:rsid w:val="00472B53"/>
    <w:rsid w:val="00474E92"/>
    <w:rsid w:val="00476C23"/>
    <w:rsid w:val="004809C7"/>
    <w:rsid w:val="00483A48"/>
    <w:rsid w:val="0048779A"/>
    <w:rsid w:val="00493430"/>
    <w:rsid w:val="00495519"/>
    <w:rsid w:val="00495C15"/>
    <w:rsid w:val="00496EFA"/>
    <w:rsid w:val="004A245D"/>
    <w:rsid w:val="004A2D42"/>
    <w:rsid w:val="004A2E7A"/>
    <w:rsid w:val="004A3A91"/>
    <w:rsid w:val="004A557B"/>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E7863"/>
    <w:rsid w:val="004F07BC"/>
    <w:rsid w:val="004F0D7B"/>
    <w:rsid w:val="004F0DC0"/>
    <w:rsid w:val="004F2548"/>
    <w:rsid w:val="004F43C7"/>
    <w:rsid w:val="004F5CC5"/>
    <w:rsid w:val="004F63FD"/>
    <w:rsid w:val="00500534"/>
    <w:rsid w:val="0050130C"/>
    <w:rsid w:val="005039B0"/>
    <w:rsid w:val="005058FE"/>
    <w:rsid w:val="00507696"/>
    <w:rsid w:val="005154F9"/>
    <w:rsid w:val="00515C68"/>
    <w:rsid w:val="00520EA0"/>
    <w:rsid w:val="00523BD9"/>
    <w:rsid w:val="00524E33"/>
    <w:rsid w:val="0052644E"/>
    <w:rsid w:val="0052748B"/>
    <w:rsid w:val="005336E7"/>
    <w:rsid w:val="00540A5E"/>
    <w:rsid w:val="00543BFB"/>
    <w:rsid w:val="00543F98"/>
    <w:rsid w:val="00544F68"/>
    <w:rsid w:val="00547816"/>
    <w:rsid w:val="00552CC5"/>
    <w:rsid w:val="005546DD"/>
    <w:rsid w:val="005613E9"/>
    <w:rsid w:val="00561757"/>
    <w:rsid w:val="00561997"/>
    <w:rsid w:val="00562CA8"/>
    <w:rsid w:val="00562DBA"/>
    <w:rsid w:val="00567402"/>
    <w:rsid w:val="005733BD"/>
    <w:rsid w:val="0057359A"/>
    <w:rsid w:val="00576552"/>
    <w:rsid w:val="005773EE"/>
    <w:rsid w:val="00580B4C"/>
    <w:rsid w:val="00580D50"/>
    <w:rsid w:val="00582562"/>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015E"/>
    <w:rsid w:val="005B13F7"/>
    <w:rsid w:val="005B32C5"/>
    <w:rsid w:val="005B35D6"/>
    <w:rsid w:val="005B360B"/>
    <w:rsid w:val="005B3DDD"/>
    <w:rsid w:val="005B3E4A"/>
    <w:rsid w:val="005C3043"/>
    <w:rsid w:val="005C42D9"/>
    <w:rsid w:val="005C5A6E"/>
    <w:rsid w:val="005D11F0"/>
    <w:rsid w:val="005D3281"/>
    <w:rsid w:val="005D3BDE"/>
    <w:rsid w:val="005D41E6"/>
    <w:rsid w:val="005D4C94"/>
    <w:rsid w:val="005D5B42"/>
    <w:rsid w:val="005D74FB"/>
    <w:rsid w:val="005D7DFF"/>
    <w:rsid w:val="005E1F28"/>
    <w:rsid w:val="005E443E"/>
    <w:rsid w:val="005E4600"/>
    <w:rsid w:val="005E4C96"/>
    <w:rsid w:val="005E60F6"/>
    <w:rsid w:val="005F2CF3"/>
    <w:rsid w:val="005F31C1"/>
    <w:rsid w:val="00601F8F"/>
    <w:rsid w:val="006033BD"/>
    <w:rsid w:val="00605FAF"/>
    <w:rsid w:val="00606B19"/>
    <w:rsid w:val="00606FBC"/>
    <w:rsid w:val="00612B3B"/>
    <w:rsid w:val="006156DC"/>
    <w:rsid w:val="00623B26"/>
    <w:rsid w:val="00624C21"/>
    <w:rsid w:val="00625503"/>
    <w:rsid w:val="00630C55"/>
    <w:rsid w:val="00633924"/>
    <w:rsid w:val="00640494"/>
    <w:rsid w:val="00646D74"/>
    <w:rsid w:val="00650902"/>
    <w:rsid w:val="0065153C"/>
    <w:rsid w:val="00651D03"/>
    <w:rsid w:val="0065506F"/>
    <w:rsid w:val="006618CF"/>
    <w:rsid w:val="00661F01"/>
    <w:rsid w:val="006620C8"/>
    <w:rsid w:val="006652BA"/>
    <w:rsid w:val="00667000"/>
    <w:rsid w:val="006676D9"/>
    <w:rsid w:val="00672555"/>
    <w:rsid w:val="00673898"/>
    <w:rsid w:val="00674094"/>
    <w:rsid w:val="0067482F"/>
    <w:rsid w:val="00675503"/>
    <w:rsid w:val="00681C83"/>
    <w:rsid w:val="00682B2C"/>
    <w:rsid w:val="006849F6"/>
    <w:rsid w:val="00684B75"/>
    <w:rsid w:val="00684BC2"/>
    <w:rsid w:val="00684D30"/>
    <w:rsid w:val="006856FF"/>
    <w:rsid w:val="006863D8"/>
    <w:rsid w:val="00686B26"/>
    <w:rsid w:val="006900AC"/>
    <w:rsid w:val="00690AD8"/>
    <w:rsid w:val="00695734"/>
    <w:rsid w:val="00695EEC"/>
    <w:rsid w:val="006972BF"/>
    <w:rsid w:val="006A20B3"/>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E15E4"/>
    <w:rsid w:val="006E1F02"/>
    <w:rsid w:val="006E3397"/>
    <w:rsid w:val="006F11BD"/>
    <w:rsid w:val="006F3882"/>
    <w:rsid w:val="006F4BEB"/>
    <w:rsid w:val="006F5AEF"/>
    <w:rsid w:val="006F6676"/>
    <w:rsid w:val="007001E0"/>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5F36"/>
    <w:rsid w:val="00737025"/>
    <w:rsid w:val="00737A54"/>
    <w:rsid w:val="00737FB2"/>
    <w:rsid w:val="00741E4A"/>
    <w:rsid w:val="007437EE"/>
    <w:rsid w:val="00744F5A"/>
    <w:rsid w:val="007455AD"/>
    <w:rsid w:val="00746E66"/>
    <w:rsid w:val="00747F40"/>
    <w:rsid w:val="0075063F"/>
    <w:rsid w:val="007605C8"/>
    <w:rsid w:val="00763554"/>
    <w:rsid w:val="00764614"/>
    <w:rsid w:val="0076526B"/>
    <w:rsid w:val="007652AE"/>
    <w:rsid w:val="007677BE"/>
    <w:rsid w:val="00767FF2"/>
    <w:rsid w:val="007707AA"/>
    <w:rsid w:val="0077224E"/>
    <w:rsid w:val="00781039"/>
    <w:rsid w:val="007825E8"/>
    <w:rsid w:val="00790246"/>
    <w:rsid w:val="00792A34"/>
    <w:rsid w:val="00793C25"/>
    <w:rsid w:val="007A1136"/>
    <w:rsid w:val="007A5C4C"/>
    <w:rsid w:val="007B0579"/>
    <w:rsid w:val="007B41A6"/>
    <w:rsid w:val="007B6AD8"/>
    <w:rsid w:val="007B6D97"/>
    <w:rsid w:val="007B7906"/>
    <w:rsid w:val="007C4432"/>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E6E94"/>
    <w:rsid w:val="007F2249"/>
    <w:rsid w:val="007F28B9"/>
    <w:rsid w:val="007F6C2A"/>
    <w:rsid w:val="008001D1"/>
    <w:rsid w:val="008008D4"/>
    <w:rsid w:val="00801262"/>
    <w:rsid w:val="008020D3"/>
    <w:rsid w:val="008043AE"/>
    <w:rsid w:val="00804869"/>
    <w:rsid w:val="00804908"/>
    <w:rsid w:val="0080704C"/>
    <w:rsid w:val="00807BBD"/>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F97"/>
    <w:rsid w:val="008355CE"/>
    <w:rsid w:val="00835736"/>
    <w:rsid w:val="00836DF0"/>
    <w:rsid w:val="00837AF9"/>
    <w:rsid w:val="00850F9B"/>
    <w:rsid w:val="00853260"/>
    <w:rsid w:val="00854470"/>
    <w:rsid w:val="00857D72"/>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3E3B"/>
    <w:rsid w:val="008A4334"/>
    <w:rsid w:val="008A4374"/>
    <w:rsid w:val="008B0E70"/>
    <w:rsid w:val="008B3C30"/>
    <w:rsid w:val="008B4E4B"/>
    <w:rsid w:val="008B5577"/>
    <w:rsid w:val="008C2161"/>
    <w:rsid w:val="008C3AC7"/>
    <w:rsid w:val="008C47FA"/>
    <w:rsid w:val="008C5342"/>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2D3E"/>
    <w:rsid w:val="008F30F4"/>
    <w:rsid w:val="008F5F43"/>
    <w:rsid w:val="008F7F4E"/>
    <w:rsid w:val="009036A0"/>
    <w:rsid w:val="00904B90"/>
    <w:rsid w:val="00906147"/>
    <w:rsid w:val="00907B68"/>
    <w:rsid w:val="009111C1"/>
    <w:rsid w:val="009130AC"/>
    <w:rsid w:val="0091561E"/>
    <w:rsid w:val="00915ADA"/>
    <w:rsid w:val="00917467"/>
    <w:rsid w:val="00922831"/>
    <w:rsid w:val="00922872"/>
    <w:rsid w:val="00924030"/>
    <w:rsid w:val="0093538A"/>
    <w:rsid w:val="009362DC"/>
    <w:rsid w:val="009365EB"/>
    <w:rsid w:val="00936F1B"/>
    <w:rsid w:val="00937D6D"/>
    <w:rsid w:val="00937EF5"/>
    <w:rsid w:val="00940EA3"/>
    <w:rsid w:val="00943C72"/>
    <w:rsid w:val="00947A3E"/>
    <w:rsid w:val="00947E0F"/>
    <w:rsid w:val="00950337"/>
    <w:rsid w:val="009509CC"/>
    <w:rsid w:val="00951DB8"/>
    <w:rsid w:val="0095216F"/>
    <w:rsid w:val="0095680F"/>
    <w:rsid w:val="00956932"/>
    <w:rsid w:val="00956A25"/>
    <w:rsid w:val="00960235"/>
    <w:rsid w:val="009607E3"/>
    <w:rsid w:val="00960C2D"/>
    <w:rsid w:val="009612EF"/>
    <w:rsid w:val="00961316"/>
    <w:rsid w:val="00962D05"/>
    <w:rsid w:val="00963043"/>
    <w:rsid w:val="009634C8"/>
    <w:rsid w:val="0096488C"/>
    <w:rsid w:val="00965007"/>
    <w:rsid w:val="0096518D"/>
    <w:rsid w:val="0096547A"/>
    <w:rsid w:val="00967EDE"/>
    <w:rsid w:val="009706CE"/>
    <w:rsid w:val="00974A2D"/>
    <w:rsid w:val="0097633B"/>
    <w:rsid w:val="00976A70"/>
    <w:rsid w:val="00977B31"/>
    <w:rsid w:val="0098018F"/>
    <w:rsid w:val="00982060"/>
    <w:rsid w:val="00982774"/>
    <w:rsid w:val="00982991"/>
    <w:rsid w:val="00983C40"/>
    <w:rsid w:val="00984D4F"/>
    <w:rsid w:val="00986C46"/>
    <w:rsid w:val="009911D2"/>
    <w:rsid w:val="009925A1"/>
    <w:rsid w:val="009A1543"/>
    <w:rsid w:val="009A315A"/>
    <w:rsid w:val="009A36FD"/>
    <w:rsid w:val="009A3C36"/>
    <w:rsid w:val="009A40CA"/>
    <w:rsid w:val="009A6BB3"/>
    <w:rsid w:val="009B4FF9"/>
    <w:rsid w:val="009C0793"/>
    <w:rsid w:val="009C0ECA"/>
    <w:rsid w:val="009C138D"/>
    <w:rsid w:val="009C1B84"/>
    <w:rsid w:val="009C365B"/>
    <w:rsid w:val="009C535B"/>
    <w:rsid w:val="009C5C65"/>
    <w:rsid w:val="009C7478"/>
    <w:rsid w:val="009D23D9"/>
    <w:rsid w:val="009D2988"/>
    <w:rsid w:val="009D3BDF"/>
    <w:rsid w:val="009D3CA0"/>
    <w:rsid w:val="009D556F"/>
    <w:rsid w:val="009D66DF"/>
    <w:rsid w:val="009D6FFC"/>
    <w:rsid w:val="009E3060"/>
    <w:rsid w:val="009E317D"/>
    <w:rsid w:val="009E4188"/>
    <w:rsid w:val="009E6ADA"/>
    <w:rsid w:val="009F0FAC"/>
    <w:rsid w:val="009F2CB2"/>
    <w:rsid w:val="009F42D5"/>
    <w:rsid w:val="009F59EE"/>
    <w:rsid w:val="00A00614"/>
    <w:rsid w:val="00A0626C"/>
    <w:rsid w:val="00A06687"/>
    <w:rsid w:val="00A0680F"/>
    <w:rsid w:val="00A07B57"/>
    <w:rsid w:val="00A1017F"/>
    <w:rsid w:val="00A11002"/>
    <w:rsid w:val="00A12D97"/>
    <w:rsid w:val="00A145E2"/>
    <w:rsid w:val="00A15C5F"/>
    <w:rsid w:val="00A1706A"/>
    <w:rsid w:val="00A17595"/>
    <w:rsid w:val="00A2129E"/>
    <w:rsid w:val="00A21AB7"/>
    <w:rsid w:val="00A22380"/>
    <w:rsid w:val="00A267CE"/>
    <w:rsid w:val="00A268D9"/>
    <w:rsid w:val="00A3119E"/>
    <w:rsid w:val="00A3163A"/>
    <w:rsid w:val="00A326E5"/>
    <w:rsid w:val="00A34404"/>
    <w:rsid w:val="00A345F7"/>
    <w:rsid w:val="00A351F4"/>
    <w:rsid w:val="00A35204"/>
    <w:rsid w:val="00A35900"/>
    <w:rsid w:val="00A36D79"/>
    <w:rsid w:val="00A371A8"/>
    <w:rsid w:val="00A401A3"/>
    <w:rsid w:val="00A4441D"/>
    <w:rsid w:val="00A51DB8"/>
    <w:rsid w:val="00A526C9"/>
    <w:rsid w:val="00A52E40"/>
    <w:rsid w:val="00A553F8"/>
    <w:rsid w:val="00A644DF"/>
    <w:rsid w:val="00A661EE"/>
    <w:rsid w:val="00A672EA"/>
    <w:rsid w:val="00A67865"/>
    <w:rsid w:val="00A706DB"/>
    <w:rsid w:val="00A75581"/>
    <w:rsid w:val="00A80A8B"/>
    <w:rsid w:val="00A82D27"/>
    <w:rsid w:val="00A83718"/>
    <w:rsid w:val="00A85069"/>
    <w:rsid w:val="00A86EF2"/>
    <w:rsid w:val="00A902B4"/>
    <w:rsid w:val="00A93669"/>
    <w:rsid w:val="00A969E4"/>
    <w:rsid w:val="00A973F9"/>
    <w:rsid w:val="00AA0C1B"/>
    <w:rsid w:val="00AA104C"/>
    <w:rsid w:val="00AA13C3"/>
    <w:rsid w:val="00AA1D7A"/>
    <w:rsid w:val="00AA1EF9"/>
    <w:rsid w:val="00AA3C5C"/>
    <w:rsid w:val="00AA58B4"/>
    <w:rsid w:val="00AB5C28"/>
    <w:rsid w:val="00AC0B97"/>
    <w:rsid w:val="00AC0F4F"/>
    <w:rsid w:val="00AC14FC"/>
    <w:rsid w:val="00AC1B87"/>
    <w:rsid w:val="00AC1E03"/>
    <w:rsid w:val="00AC3155"/>
    <w:rsid w:val="00AC4CEE"/>
    <w:rsid w:val="00AD0B09"/>
    <w:rsid w:val="00AD2933"/>
    <w:rsid w:val="00AD3089"/>
    <w:rsid w:val="00AD587F"/>
    <w:rsid w:val="00AD79CC"/>
    <w:rsid w:val="00AE0FD1"/>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77AF"/>
    <w:rsid w:val="00B17AD8"/>
    <w:rsid w:val="00B20F7B"/>
    <w:rsid w:val="00B21A92"/>
    <w:rsid w:val="00B21D7F"/>
    <w:rsid w:val="00B2288F"/>
    <w:rsid w:val="00B244B9"/>
    <w:rsid w:val="00B24AB2"/>
    <w:rsid w:val="00B24DBE"/>
    <w:rsid w:val="00B26C1E"/>
    <w:rsid w:val="00B2738B"/>
    <w:rsid w:val="00B278D2"/>
    <w:rsid w:val="00B30195"/>
    <w:rsid w:val="00B3074F"/>
    <w:rsid w:val="00B3103A"/>
    <w:rsid w:val="00B31509"/>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5F72"/>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6059"/>
    <w:rsid w:val="00BA6DBC"/>
    <w:rsid w:val="00BA6DD7"/>
    <w:rsid w:val="00BA7E4C"/>
    <w:rsid w:val="00BB0801"/>
    <w:rsid w:val="00BB1BAE"/>
    <w:rsid w:val="00BB27FC"/>
    <w:rsid w:val="00BB5F03"/>
    <w:rsid w:val="00BC10FE"/>
    <w:rsid w:val="00BC1BA1"/>
    <w:rsid w:val="00BC30D1"/>
    <w:rsid w:val="00BC43C3"/>
    <w:rsid w:val="00BC6C6E"/>
    <w:rsid w:val="00BD0305"/>
    <w:rsid w:val="00BD18EA"/>
    <w:rsid w:val="00BD25BD"/>
    <w:rsid w:val="00BD26AB"/>
    <w:rsid w:val="00BD4FB4"/>
    <w:rsid w:val="00BD56CC"/>
    <w:rsid w:val="00BD5B45"/>
    <w:rsid w:val="00BD6A7F"/>
    <w:rsid w:val="00BD7095"/>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91C"/>
    <w:rsid w:val="00C129F0"/>
    <w:rsid w:val="00C12B80"/>
    <w:rsid w:val="00C1553C"/>
    <w:rsid w:val="00C16738"/>
    <w:rsid w:val="00C16A07"/>
    <w:rsid w:val="00C213F3"/>
    <w:rsid w:val="00C2196C"/>
    <w:rsid w:val="00C25196"/>
    <w:rsid w:val="00C25A49"/>
    <w:rsid w:val="00C30103"/>
    <w:rsid w:val="00C306CA"/>
    <w:rsid w:val="00C35BFC"/>
    <w:rsid w:val="00C36244"/>
    <w:rsid w:val="00C362AF"/>
    <w:rsid w:val="00C36818"/>
    <w:rsid w:val="00C36AC8"/>
    <w:rsid w:val="00C36E73"/>
    <w:rsid w:val="00C40157"/>
    <w:rsid w:val="00C42096"/>
    <w:rsid w:val="00C43FC3"/>
    <w:rsid w:val="00C45232"/>
    <w:rsid w:val="00C4735A"/>
    <w:rsid w:val="00C503A0"/>
    <w:rsid w:val="00C505D4"/>
    <w:rsid w:val="00C50A39"/>
    <w:rsid w:val="00C51E90"/>
    <w:rsid w:val="00C53ECE"/>
    <w:rsid w:val="00C55E4E"/>
    <w:rsid w:val="00C5726E"/>
    <w:rsid w:val="00C6048F"/>
    <w:rsid w:val="00C607F2"/>
    <w:rsid w:val="00C61777"/>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EBC"/>
    <w:rsid w:val="00C91F7F"/>
    <w:rsid w:val="00C96C4F"/>
    <w:rsid w:val="00CA3F3D"/>
    <w:rsid w:val="00CA3FE4"/>
    <w:rsid w:val="00CA5FC8"/>
    <w:rsid w:val="00CB1985"/>
    <w:rsid w:val="00CB40F4"/>
    <w:rsid w:val="00CB50DD"/>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23BF"/>
    <w:rsid w:val="00D2253B"/>
    <w:rsid w:val="00D22A67"/>
    <w:rsid w:val="00D24115"/>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6F6E"/>
    <w:rsid w:val="00D777C9"/>
    <w:rsid w:val="00D77E6E"/>
    <w:rsid w:val="00D80B6D"/>
    <w:rsid w:val="00D82E2D"/>
    <w:rsid w:val="00D8513A"/>
    <w:rsid w:val="00D87CCE"/>
    <w:rsid w:val="00D9306C"/>
    <w:rsid w:val="00DA087D"/>
    <w:rsid w:val="00DA1662"/>
    <w:rsid w:val="00DA327C"/>
    <w:rsid w:val="00DA576C"/>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96C"/>
    <w:rsid w:val="00DF2A53"/>
    <w:rsid w:val="00DF388B"/>
    <w:rsid w:val="00DF5CAA"/>
    <w:rsid w:val="00DF5E95"/>
    <w:rsid w:val="00E02125"/>
    <w:rsid w:val="00E0358E"/>
    <w:rsid w:val="00E04F24"/>
    <w:rsid w:val="00E04F7B"/>
    <w:rsid w:val="00E06CEA"/>
    <w:rsid w:val="00E11435"/>
    <w:rsid w:val="00E121F2"/>
    <w:rsid w:val="00E166F1"/>
    <w:rsid w:val="00E16928"/>
    <w:rsid w:val="00E16FE8"/>
    <w:rsid w:val="00E17539"/>
    <w:rsid w:val="00E211E6"/>
    <w:rsid w:val="00E23F1D"/>
    <w:rsid w:val="00E24FED"/>
    <w:rsid w:val="00E25085"/>
    <w:rsid w:val="00E2591F"/>
    <w:rsid w:val="00E343B0"/>
    <w:rsid w:val="00E364A9"/>
    <w:rsid w:val="00E36E36"/>
    <w:rsid w:val="00E400AA"/>
    <w:rsid w:val="00E40BF0"/>
    <w:rsid w:val="00E41EE8"/>
    <w:rsid w:val="00E42149"/>
    <w:rsid w:val="00E4768E"/>
    <w:rsid w:val="00E47BA7"/>
    <w:rsid w:val="00E515C8"/>
    <w:rsid w:val="00E53945"/>
    <w:rsid w:val="00E55682"/>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D2A49"/>
    <w:rsid w:val="00ED4C36"/>
    <w:rsid w:val="00EE4761"/>
    <w:rsid w:val="00EE520F"/>
    <w:rsid w:val="00EE591F"/>
    <w:rsid w:val="00EE6C6D"/>
    <w:rsid w:val="00EE7BDD"/>
    <w:rsid w:val="00EF1568"/>
    <w:rsid w:val="00EF56AC"/>
    <w:rsid w:val="00EF5EE0"/>
    <w:rsid w:val="00EF62F8"/>
    <w:rsid w:val="00F0275F"/>
    <w:rsid w:val="00F040CA"/>
    <w:rsid w:val="00F04FF5"/>
    <w:rsid w:val="00F06420"/>
    <w:rsid w:val="00F06844"/>
    <w:rsid w:val="00F0734C"/>
    <w:rsid w:val="00F10CFA"/>
    <w:rsid w:val="00F1214E"/>
    <w:rsid w:val="00F12CDD"/>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52462"/>
    <w:rsid w:val="00F53850"/>
    <w:rsid w:val="00F542F8"/>
    <w:rsid w:val="00F61061"/>
    <w:rsid w:val="00F63179"/>
    <w:rsid w:val="00F63E7A"/>
    <w:rsid w:val="00F64A9E"/>
    <w:rsid w:val="00F6505F"/>
    <w:rsid w:val="00F655E3"/>
    <w:rsid w:val="00F65A7D"/>
    <w:rsid w:val="00F739AD"/>
    <w:rsid w:val="00F76B0E"/>
    <w:rsid w:val="00F7782E"/>
    <w:rsid w:val="00F77BD8"/>
    <w:rsid w:val="00F8482C"/>
    <w:rsid w:val="00F84DCA"/>
    <w:rsid w:val="00F93799"/>
    <w:rsid w:val="00F94B22"/>
    <w:rsid w:val="00F95B39"/>
    <w:rsid w:val="00F968E3"/>
    <w:rsid w:val="00F97A8C"/>
    <w:rsid w:val="00FA0F28"/>
    <w:rsid w:val="00FA1AF3"/>
    <w:rsid w:val="00FA255B"/>
    <w:rsid w:val="00FA4A11"/>
    <w:rsid w:val="00FA6E14"/>
    <w:rsid w:val="00FB551F"/>
    <w:rsid w:val="00FB6C4F"/>
    <w:rsid w:val="00FB7593"/>
    <w:rsid w:val="00FC1254"/>
    <w:rsid w:val="00FC33AA"/>
    <w:rsid w:val="00FC5217"/>
    <w:rsid w:val="00FD08A6"/>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DB0F9970-3872-4087-BC2A-F17C3466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E539-FCB3-4937-BB3C-B7229F50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4</Pages>
  <Words>1189</Words>
  <Characters>7019</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 Baštýřová</dc:creator>
  <cp:keywords/>
  <dc:description/>
  <cp:lastModifiedBy>Michaela Sahulová</cp:lastModifiedBy>
  <cp:revision>1</cp:revision>
  <dcterms:created xsi:type="dcterms:W3CDTF">2024-02-20T20:06:00Z</dcterms:created>
  <dcterms:modified xsi:type="dcterms:W3CDTF">2024-03-14T15:52:00Z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