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Arial" w:hAnsi="Arial" w:cs="Arial"/>
          <w:sz w:val="20"/>
          <w:szCs w:val="20"/>
        </w:rPr>
      </w:sdtEndPr>
      <w:sdtContent>
        <w:p w14:paraId="7ED014A1" w14:textId="55F827D2" w:rsidR="00D80B6D" w:rsidRPr="00B346ED" w:rsidRDefault="00D80B6D" w:rsidP="00B346ED">
          <w:pPr>
            <w:rPr>
              <w:highlight w:val="yellow"/>
            </w:rPr>
          </w:pPr>
        </w:p>
        <w:p w14:paraId="0FB45B67" w14:textId="77777777"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b/>
              <w:sz w:val="24"/>
            </w:rPr>
            <w:t>INDEX HYPOTEČNÍCH ÚVĚRŮ</w:t>
          </w:r>
          <w:r w:rsidRPr="007443AD">
            <w:rPr>
              <w:rFonts w:asciiTheme="minorHAnsi" w:hAnsiTheme="minorHAnsi" w:cstheme="minorHAnsi"/>
              <w:sz w:val="24"/>
            </w:rPr>
            <w:t xml:space="preserve"> | </w:t>
          </w:r>
          <w:r w:rsidRPr="007443AD">
            <w:rPr>
              <w:rFonts w:asciiTheme="minorHAnsi" w:hAnsiTheme="minorHAnsi" w:cstheme="minorHAnsi"/>
              <w:b/>
              <w:sz w:val="24"/>
            </w:rPr>
            <w:t xml:space="preserve">FIXINDEX </w:t>
          </w:r>
        </w:p>
        <w:p w14:paraId="03C4DE47" w14:textId="137DE246" w:rsidR="0009776B" w:rsidRDefault="00D80B6D" w:rsidP="005F65A1">
          <w:pPr>
            <w:spacing w:before="230"/>
            <w:ind w:left="165"/>
            <w:jc w:val="center"/>
            <w:rPr>
              <w:rFonts w:asciiTheme="minorHAnsi" w:hAnsiTheme="minorHAnsi" w:cstheme="minorHAnsi"/>
              <w:sz w:val="24"/>
            </w:rPr>
          </w:pPr>
          <w:r w:rsidRPr="007443AD">
            <w:rPr>
              <w:rFonts w:asciiTheme="minorHAnsi" w:hAnsiTheme="minorHAnsi" w:cstheme="minorHAnsi"/>
              <w:sz w:val="24"/>
            </w:rPr>
            <w:t xml:space="preserve">INDEX PODÍLOVÝCH FONDŮ </w:t>
          </w:r>
        </w:p>
        <w:p w14:paraId="5F5E486E" w14:textId="2A454C45" w:rsidR="004B5B94" w:rsidRPr="007443AD" w:rsidRDefault="004B5B94" w:rsidP="005F65A1">
          <w:pPr>
            <w:spacing w:before="230"/>
            <w:ind w:left="165"/>
            <w:jc w:val="center"/>
            <w:rPr>
              <w:rFonts w:asciiTheme="minorHAnsi" w:hAnsiTheme="minorHAnsi" w:cstheme="minorHAnsi"/>
              <w:sz w:val="24"/>
            </w:rPr>
          </w:pPr>
          <w:r>
            <w:rPr>
              <w:rFonts w:asciiTheme="minorHAnsi" w:hAnsiTheme="minorHAnsi" w:cstheme="minorHAnsi"/>
              <w:sz w:val="24"/>
            </w:rPr>
            <w:t>REALINDEX</w:t>
          </w:r>
        </w:p>
        <w:p w14:paraId="32900BCE" w14:textId="5904F9FC"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sz w:val="24"/>
            </w:rPr>
            <w:t>P</w:t>
          </w:r>
          <w:r w:rsidR="005F65A1" w:rsidRPr="007443AD">
            <w:rPr>
              <w:rFonts w:asciiTheme="minorHAnsi" w:hAnsiTheme="minorHAnsi" w:cstheme="minorHAnsi"/>
              <w:sz w:val="24"/>
            </w:rPr>
            <w:t>OV</w:t>
          </w:r>
          <w:r w:rsidRPr="007443AD">
            <w:rPr>
              <w:rFonts w:asciiTheme="minorHAnsi" w:hAnsiTheme="minorHAnsi" w:cstheme="minorHAnsi"/>
              <w:sz w:val="24"/>
            </w:rPr>
            <w:t xml:space="preserve">INDEX </w:t>
          </w:r>
        </w:p>
        <w:p w14:paraId="5B21B8A6" w14:textId="77777777"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sz w:val="24"/>
            </w:rPr>
            <w:t xml:space="preserve">INDEX SPOTŘEBITELSKÝCH ÚVĚRŮ  </w:t>
          </w:r>
        </w:p>
        <w:p w14:paraId="720CCDBB" w14:textId="77777777" w:rsidR="00D80B6D" w:rsidRPr="00D84B7D" w:rsidRDefault="00D80B6D" w:rsidP="00D80B6D">
          <w:pPr>
            <w:pStyle w:val="Zkladntext"/>
            <w:spacing w:before="240"/>
            <w:rPr>
              <w:sz w:val="20"/>
              <w:highlight w:val="yellow"/>
            </w:rPr>
          </w:pPr>
        </w:p>
        <w:p w14:paraId="703D71F2" w14:textId="77777777" w:rsidR="00D80B6D" w:rsidRPr="00D84B7D" w:rsidRDefault="00D80B6D" w:rsidP="00D80B6D">
          <w:pPr>
            <w:pStyle w:val="Zkladntext"/>
            <w:rPr>
              <w:sz w:val="20"/>
              <w:highlight w:val="yellow"/>
            </w:rPr>
          </w:pPr>
        </w:p>
        <w:p w14:paraId="00494A3A" w14:textId="77777777" w:rsidR="00D80B6D" w:rsidRPr="00D84B7D" w:rsidRDefault="00D80B6D" w:rsidP="00D80B6D">
          <w:pPr>
            <w:pStyle w:val="Zkladntext"/>
            <w:rPr>
              <w:sz w:val="20"/>
              <w:highlight w:val="yellow"/>
            </w:rPr>
          </w:pPr>
          <w:r w:rsidRPr="00D84B7D">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D84B7D" w:rsidRDefault="00D80B6D" w:rsidP="00D80B6D">
          <w:pPr>
            <w:pStyle w:val="Zkladntext"/>
            <w:rPr>
              <w:sz w:val="20"/>
              <w:highlight w:val="yellow"/>
            </w:rPr>
          </w:pPr>
        </w:p>
        <w:p w14:paraId="2A5F355C" w14:textId="77777777" w:rsidR="00D80B6D" w:rsidRPr="00D84B7D" w:rsidRDefault="00D80B6D" w:rsidP="00D80B6D">
          <w:pPr>
            <w:pStyle w:val="Zkladntext"/>
            <w:rPr>
              <w:sz w:val="20"/>
              <w:highlight w:val="yellow"/>
            </w:rPr>
          </w:pPr>
        </w:p>
        <w:p w14:paraId="218EE6CB" w14:textId="77777777" w:rsidR="00D80B6D" w:rsidRPr="00D84B7D" w:rsidRDefault="00D80B6D" w:rsidP="00D80B6D">
          <w:pPr>
            <w:pStyle w:val="Zkladntext"/>
            <w:rPr>
              <w:sz w:val="20"/>
              <w:highlight w:val="yellow"/>
            </w:rPr>
          </w:pPr>
        </w:p>
        <w:p w14:paraId="0238B3AB" w14:textId="77777777" w:rsidR="00D80B6D" w:rsidRPr="00D84B7D" w:rsidRDefault="00D80B6D" w:rsidP="00D80B6D">
          <w:pPr>
            <w:pStyle w:val="Zkladntext"/>
            <w:rPr>
              <w:sz w:val="20"/>
              <w:highlight w:val="yellow"/>
            </w:rPr>
          </w:pPr>
        </w:p>
        <w:p w14:paraId="54516A42" w14:textId="77777777" w:rsidR="00D80B6D" w:rsidRPr="00D84B7D" w:rsidRDefault="00D80B6D" w:rsidP="00D80B6D">
          <w:pPr>
            <w:pStyle w:val="Zkladntext"/>
            <w:rPr>
              <w:sz w:val="20"/>
              <w:highlight w:val="yellow"/>
            </w:rPr>
          </w:pPr>
        </w:p>
        <w:p w14:paraId="5266363A" w14:textId="77777777" w:rsidR="00D80B6D" w:rsidRPr="00D84B7D" w:rsidRDefault="00D80B6D" w:rsidP="00D80B6D">
          <w:pPr>
            <w:pStyle w:val="Zkladntext"/>
            <w:rPr>
              <w:sz w:val="20"/>
              <w:highlight w:val="yellow"/>
            </w:rPr>
          </w:pPr>
        </w:p>
        <w:p w14:paraId="363B2E28" w14:textId="77777777" w:rsidR="00D80B6D" w:rsidRPr="00D84B7D" w:rsidRDefault="00D80B6D" w:rsidP="00D80B6D">
          <w:pPr>
            <w:pStyle w:val="Zkladntext"/>
            <w:rPr>
              <w:sz w:val="20"/>
              <w:highlight w:val="yellow"/>
            </w:rPr>
          </w:pPr>
        </w:p>
        <w:p w14:paraId="17667B44" w14:textId="77777777" w:rsidR="00D80B6D" w:rsidRPr="00D84B7D" w:rsidRDefault="00D80B6D" w:rsidP="00D80B6D">
          <w:pPr>
            <w:pStyle w:val="Zkladntext"/>
            <w:jc w:val="both"/>
            <w:rPr>
              <w:rFonts w:ascii="Arial" w:hAnsi="Arial" w:cs="Arial"/>
              <w:sz w:val="20"/>
              <w:highlight w:val="yellow"/>
            </w:rPr>
          </w:pPr>
        </w:p>
        <w:p w14:paraId="5193A529" w14:textId="77777777" w:rsidR="00D80B6D" w:rsidRPr="00D84B7D" w:rsidRDefault="00D80B6D" w:rsidP="00D80B6D">
          <w:pPr>
            <w:pStyle w:val="Zkladntext"/>
            <w:jc w:val="both"/>
            <w:rPr>
              <w:rFonts w:ascii="Arial" w:hAnsi="Arial" w:cs="Arial"/>
              <w:b/>
              <w:sz w:val="20"/>
              <w:highlight w:val="yellow"/>
            </w:rPr>
          </w:pPr>
        </w:p>
        <w:p w14:paraId="2833FE59" w14:textId="77777777" w:rsidR="00D80B6D" w:rsidRPr="00D84B7D" w:rsidRDefault="00D80B6D" w:rsidP="00D80B6D">
          <w:pPr>
            <w:pStyle w:val="Zkladntext"/>
            <w:jc w:val="both"/>
            <w:rPr>
              <w:rFonts w:ascii="Arial" w:hAnsi="Arial" w:cs="Arial"/>
              <w:b/>
              <w:sz w:val="20"/>
              <w:highlight w:val="yellow"/>
            </w:rPr>
          </w:pPr>
        </w:p>
        <w:p w14:paraId="6DB157BF" w14:textId="77777777" w:rsidR="00D80B6D" w:rsidRPr="00D84B7D" w:rsidRDefault="00D80B6D" w:rsidP="00D80B6D">
          <w:pPr>
            <w:pStyle w:val="Zkladntext"/>
            <w:jc w:val="both"/>
            <w:rPr>
              <w:rFonts w:ascii="Arial" w:hAnsi="Arial" w:cs="Arial"/>
              <w:b/>
              <w:sz w:val="20"/>
              <w:highlight w:val="yellow"/>
            </w:rPr>
          </w:pPr>
        </w:p>
        <w:p w14:paraId="47803C2A" w14:textId="77777777" w:rsidR="00D80B6D" w:rsidRPr="00D84B7D" w:rsidRDefault="00D80B6D" w:rsidP="00D80B6D">
          <w:pPr>
            <w:pStyle w:val="Zkladntext"/>
            <w:jc w:val="both"/>
            <w:rPr>
              <w:rFonts w:ascii="Arial" w:hAnsi="Arial" w:cs="Arial"/>
              <w:b/>
              <w:sz w:val="20"/>
              <w:highlight w:val="yellow"/>
            </w:rPr>
          </w:pPr>
        </w:p>
        <w:p w14:paraId="1D90E1D0" w14:textId="77777777" w:rsidR="00D80B6D" w:rsidRPr="00D84B7D" w:rsidRDefault="00D80B6D" w:rsidP="00D80B6D">
          <w:pPr>
            <w:pStyle w:val="Zkladntext"/>
            <w:jc w:val="both"/>
            <w:rPr>
              <w:rFonts w:ascii="Arial" w:hAnsi="Arial" w:cs="Arial"/>
              <w:b/>
              <w:sz w:val="20"/>
              <w:highlight w:val="yellow"/>
            </w:rPr>
          </w:pPr>
        </w:p>
        <w:p w14:paraId="5A33B823" w14:textId="77777777" w:rsidR="00D80B6D" w:rsidRPr="00D84B7D" w:rsidRDefault="00D80B6D" w:rsidP="00D80B6D">
          <w:pPr>
            <w:pStyle w:val="Zkladntext"/>
            <w:jc w:val="both"/>
            <w:rPr>
              <w:rFonts w:ascii="Arial" w:hAnsi="Arial" w:cs="Arial"/>
              <w:b/>
              <w:sz w:val="20"/>
              <w:highlight w:val="yellow"/>
            </w:rPr>
          </w:pPr>
        </w:p>
        <w:p w14:paraId="0D2BECD0" w14:textId="77777777" w:rsidR="00D80B6D" w:rsidRPr="00D84B7D" w:rsidRDefault="00D80B6D" w:rsidP="00D80B6D">
          <w:pPr>
            <w:pStyle w:val="Zkladntext"/>
            <w:jc w:val="both"/>
            <w:rPr>
              <w:rFonts w:ascii="Arial" w:hAnsi="Arial" w:cs="Arial"/>
              <w:b/>
              <w:sz w:val="20"/>
              <w:highlight w:val="yellow"/>
            </w:rPr>
          </w:pPr>
        </w:p>
        <w:p w14:paraId="69288FB9" w14:textId="77777777" w:rsidR="00D80B6D" w:rsidRPr="00D84B7D" w:rsidRDefault="00D80B6D" w:rsidP="00D80B6D">
          <w:pPr>
            <w:pStyle w:val="Zkladntext"/>
            <w:jc w:val="both"/>
            <w:rPr>
              <w:rFonts w:ascii="Arial" w:hAnsi="Arial" w:cs="Arial"/>
              <w:b/>
              <w:sz w:val="20"/>
              <w:highlight w:val="yellow"/>
            </w:rPr>
          </w:pPr>
        </w:p>
        <w:p w14:paraId="541E93D5" w14:textId="77777777" w:rsidR="00D80B6D" w:rsidRPr="00D84B7D" w:rsidRDefault="00D80B6D" w:rsidP="00D80B6D">
          <w:pPr>
            <w:pStyle w:val="Zkladntext"/>
            <w:jc w:val="both"/>
            <w:rPr>
              <w:rFonts w:ascii="Arial" w:hAnsi="Arial" w:cs="Arial"/>
              <w:b/>
              <w:sz w:val="20"/>
              <w:highlight w:val="yellow"/>
            </w:rPr>
          </w:pPr>
        </w:p>
        <w:p w14:paraId="341A343C" w14:textId="77777777" w:rsidR="00D80B6D" w:rsidRPr="00D84B7D" w:rsidRDefault="00D80B6D" w:rsidP="00D80B6D">
          <w:pPr>
            <w:pStyle w:val="Zkladntext"/>
            <w:jc w:val="both"/>
            <w:rPr>
              <w:rFonts w:ascii="Arial" w:hAnsi="Arial" w:cs="Arial"/>
              <w:b/>
              <w:sz w:val="20"/>
              <w:highlight w:val="yellow"/>
            </w:rPr>
          </w:pPr>
        </w:p>
        <w:p w14:paraId="6C52C42D" w14:textId="77777777" w:rsidR="00D80B6D" w:rsidRPr="00D84B7D" w:rsidRDefault="00D80B6D" w:rsidP="00D80B6D">
          <w:pPr>
            <w:pStyle w:val="Zkladntext"/>
            <w:jc w:val="both"/>
            <w:rPr>
              <w:rFonts w:ascii="Arial" w:hAnsi="Arial" w:cs="Arial"/>
              <w:b/>
              <w:sz w:val="20"/>
              <w:highlight w:val="yellow"/>
            </w:rPr>
          </w:pPr>
        </w:p>
        <w:p w14:paraId="3E3CDF25" w14:textId="77777777" w:rsidR="00D80B6D" w:rsidRPr="00D84B7D" w:rsidRDefault="00D80B6D" w:rsidP="00D80B6D">
          <w:pPr>
            <w:pStyle w:val="Zkladntext"/>
            <w:jc w:val="both"/>
            <w:rPr>
              <w:rFonts w:ascii="Arial" w:hAnsi="Arial" w:cs="Arial"/>
              <w:b/>
              <w:sz w:val="20"/>
              <w:highlight w:val="yellow"/>
            </w:rPr>
          </w:pPr>
        </w:p>
        <w:p w14:paraId="40495E64" w14:textId="77777777" w:rsidR="00D80B6D" w:rsidRPr="00D84B7D" w:rsidRDefault="00D80B6D" w:rsidP="00D80B6D">
          <w:pPr>
            <w:pStyle w:val="Zkladntext"/>
            <w:jc w:val="both"/>
            <w:rPr>
              <w:rFonts w:ascii="Arial" w:hAnsi="Arial" w:cs="Arial"/>
              <w:b/>
              <w:sz w:val="20"/>
              <w:highlight w:val="yellow"/>
            </w:rPr>
          </w:pPr>
        </w:p>
        <w:p w14:paraId="59B6F4E6" w14:textId="77777777" w:rsidR="00D80B6D" w:rsidRPr="00D84B7D" w:rsidRDefault="00D80B6D" w:rsidP="00D80B6D">
          <w:pPr>
            <w:pStyle w:val="Zkladntext"/>
            <w:jc w:val="both"/>
            <w:rPr>
              <w:rFonts w:ascii="Arial" w:hAnsi="Arial" w:cs="Arial"/>
              <w:b/>
              <w:sz w:val="20"/>
              <w:highlight w:val="yellow"/>
            </w:rPr>
          </w:pPr>
        </w:p>
        <w:p w14:paraId="5ADDFBD6" w14:textId="77777777" w:rsidR="00D80B6D" w:rsidRPr="00D84B7D" w:rsidRDefault="00D80B6D" w:rsidP="00D80B6D">
          <w:pPr>
            <w:pStyle w:val="Zkladntext"/>
            <w:jc w:val="both"/>
            <w:rPr>
              <w:rFonts w:ascii="Arial" w:hAnsi="Arial" w:cs="Arial"/>
              <w:b/>
              <w:sz w:val="20"/>
              <w:highlight w:val="yellow"/>
            </w:rPr>
          </w:pPr>
        </w:p>
        <w:p w14:paraId="1CB27DF8" w14:textId="77777777" w:rsidR="007B358E" w:rsidRPr="00D84B7D" w:rsidRDefault="007B358E" w:rsidP="00D80B6D">
          <w:pPr>
            <w:pStyle w:val="Zkladntext"/>
            <w:jc w:val="both"/>
            <w:rPr>
              <w:rFonts w:ascii="Arial" w:hAnsi="Arial" w:cs="Arial"/>
              <w:b/>
              <w:sz w:val="20"/>
              <w:highlight w:val="yellow"/>
            </w:rPr>
          </w:pPr>
        </w:p>
        <w:p w14:paraId="3A61C564" w14:textId="77777777" w:rsidR="0068617E" w:rsidRPr="00D84B7D" w:rsidRDefault="0068617E" w:rsidP="00D80B6D">
          <w:pPr>
            <w:pStyle w:val="Zkladntext"/>
            <w:jc w:val="both"/>
            <w:rPr>
              <w:rFonts w:ascii="Arial" w:hAnsi="Arial" w:cs="Arial"/>
              <w:b/>
              <w:sz w:val="20"/>
              <w:highlight w:val="yellow"/>
            </w:rPr>
          </w:pPr>
        </w:p>
        <w:p w14:paraId="1414E639" w14:textId="77777777" w:rsidR="0068617E" w:rsidRPr="00D84B7D" w:rsidRDefault="0068617E" w:rsidP="00D80B6D">
          <w:pPr>
            <w:pStyle w:val="Zkladntext"/>
            <w:jc w:val="both"/>
            <w:rPr>
              <w:rFonts w:ascii="Arial" w:hAnsi="Arial" w:cs="Arial"/>
              <w:b/>
              <w:sz w:val="20"/>
              <w:highlight w:val="yellow"/>
            </w:rPr>
          </w:pPr>
        </w:p>
        <w:p w14:paraId="3660AEB6" w14:textId="77777777" w:rsidR="005B7E46" w:rsidRDefault="005B7E46" w:rsidP="00D80B6D">
          <w:pPr>
            <w:pStyle w:val="Zkladntext"/>
            <w:jc w:val="both"/>
            <w:rPr>
              <w:rFonts w:ascii="Arial" w:hAnsi="Arial" w:cs="Arial"/>
              <w:b/>
              <w:sz w:val="20"/>
            </w:rPr>
          </w:pPr>
        </w:p>
        <w:p w14:paraId="51D468A4" w14:textId="77777777" w:rsidR="005B7E46" w:rsidRDefault="005B7E46" w:rsidP="00D80B6D">
          <w:pPr>
            <w:pStyle w:val="Zkladntext"/>
            <w:jc w:val="both"/>
            <w:rPr>
              <w:rFonts w:ascii="Arial" w:hAnsi="Arial" w:cs="Arial"/>
              <w:b/>
              <w:sz w:val="20"/>
            </w:rPr>
          </w:pPr>
        </w:p>
        <w:p w14:paraId="2F2ED302" w14:textId="77777777" w:rsidR="005B7E46" w:rsidRDefault="005B7E46" w:rsidP="00D80B6D">
          <w:pPr>
            <w:pStyle w:val="Zkladntext"/>
            <w:jc w:val="both"/>
            <w:rPr>
              <w:rFonts w:ascii="Arial" w:hAnsi="Arial" w:cs="Arial"/>
              <w:b/>
              <w:sz w:val="20"/>
            </w:rPr>
          </w:pPr>
        </w:p>
        <w:p w14:paraId="6C828C12" w14:textId="77777777" w:rsidR="005B7E46" w:rsidRDefault="005B7E46" w:rsidP="00D80B6D">
          <w:pPr>
            <w:pStyle w:val="Zkladntext"/>
            <w:jc w:val="both"/>
            <w:rPr>
              <w:rFonts w:ascii="Arial" w:hAnsi="Arial" w:cs="Arial"/>
              <w:b/>
              <w:sz w:val="20"/>
            </w:rPr>
          </w:pPr>
        </w:p>
        <w:p w14:paraId="49B23CF7" w14:textId="77777777" w:rsidR="005B7E46" w:rsidRDefault="005B7E46" w:rsidP="00D80B6D">
          <w:pPr>
            <w:pStyle w:val="Zkladntext"/>
            <w:jc w:val="both"/>
            <w:rPr>
              <w:rFonts w:ascii="Arial" w:hAnsi="Arial" w:cs="Arial"/>
              <w:b/>
              <w:sz w:val="20"/>
            </w:rPr>
          </w:pPr>
        </w:p>
        <w:p w14:paraId="17EC9300" w14:textId="77777777" w:rsidR="005B7E46" w:rsidRDefault="005B7E46" w:rsidP="00D80B6D">
          <w:pPr>
            <w:pStyle w:val="Zkladntext"/>
            <w:jc w:val="both"/>
            <w:rPr>
              <w:rFonts w:ascii="Arial" w:hAnsi="Arial" w:cs="Arial"/>
              <w:b/>
              <w:sz w:val="20"/>
            </w:rPr>
          </w:pPr>
        </w:p>
        <w:p w14:paraId="11132A3F" w14:textId="5D367D7A" w:rsidR="00D80B6D" w:rsidRPr="00D84B7D" w:rsidRDefault="00D80B6D" w:rsidP="00D80B6D">
          <w:pPr>
            <w:pStyle w:val="Zkladntext"/>
            <w:jc w:val="both"/>
            <w:rPr>
              <w:rFonts w:ascii="Arial" w:hAnsi="Arial" w:cs="Arial"/>
              <w:b/>
              <w:sz w:val="20"/>
            </w:rPr>
          </w:pPr>
          <w:r w:rsidRPr="00D84B7D">
            <w:rPr>
              <w:rFonts w:ascii="Arial" w:hAnsi="Arial" w:cs="Arial"/>
              <w:b/>
              <w:sz w:val="20"/>
            </w:rPr>
            <w:t>O společnosti Broker Consulting</w:t>
          </w:r>
        </w:p>
        <w:p w14:paraId="27485CC6" w14:textId="77777777" w:rsidR="00D80B6D" w:rsidRPr="005B7E46" w:rsidRDefault="00D80B6D" w:rsidP="00D80B6D">
          <w:pPr>
            <w:jc w:val="both"/>
            <w:rPr>
              <w:rFonts w:asciiTheme="minorHAnsi" w:hAnsiTheme="minorHAnsi" w:cstheme="minorHAnsi"/>
              <w:sz w:val="20"/>
              <w:szCs w:val="20"/>
            </w:rPr>
          </w:pPr>
        </w:p>
        <w:p w14:paraId="08070DCC" w14:textId="269FF1F2" w:rsidR="00792EE9" w:rsidRPr="005B7E46" w:rsidRDefault="00792EE9" w:rsidP="00792EE9">
          <w:pPr>
            <w:jc w:val="both"/>
            <w:rPr>
              <w:rStyle w:val="dn"/>
              <w:rFonts w:asciiTheme="minorHAnsi" w:hAnsiTheme="minorHAnsi" w:cstheme="minorHAnsi"/>
              <w:sz w:val="20"/>
              <w:szCs w:val="20"/>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w:t>
          </w:r>
          <w:r w:rsidR="00B8133C">
            <w:rPr>
              <w:rFonts w:asciiTheme="minorHAnsi" w:hAnsiTheme="minorHAnsi" w:cstheme="minorHAnsi"/>
              <w:sz w:val="20"/>
              <w:szCs w:val="20"/>
            </w:rPr>
            <w:t>) ve více než 150 kancelářích</w:t>
          </w:r>
          <w:r w:rsidR="00CD6257" w:rsidRPr="005B7E46">
            <w:rPr>
              <w:rFonts w:asciiTheme="minorHAnsi" w:hAnsiTheme="minorHAnsi" w:cstheme="minorHAnsi"/>
              <w:sz w:val="20"/>
              <w:szCs w:val="20"/>
            </w:rPr>
            <w:t xml:space="preserve"> </w:t>
          </w:r>
          <w:r w:rsidR="00B8133C">
            <w:rPr>
              <w:rFonts w:asciiTheme="minorHAnsi" w:hAnsiTheme="minorHAnsi" w:cstheme="minorHAnsi"/>
              <w:sz w:val="20"/>
              <w:szCs w:val="20"/>
            </w:rPr>
            <w:t>a na několika desítkách poboček</w:t>
          </w:r>
          <w:r w:rsidR="00B2198E">
            <w:rPr>
              <w:rFonts w:asciiTheme="minorHAnsi" w:hAnsiTheme="minorHAnsi" w:cstheme="minorHAnsi"/>
              <w:sz w:val="20"/>
              <w:szCs w:val="20"/>
            </w:rPr>
            <w:t xml:space="preserve"> Broker Point Premium</w:t>
          </w:r>
          <w:r w:rsidRPr="005B7E46">
            <w:rPr>
              <w:rFonts w:asciiTheme="minorHAnsi" w:hAnsiTheme="minorHAnsi" w:cstheme="minorHAnsi"/>
              <w:sz w:val="20"/>
              <w:szCs w:val="20"/>
            </w:rPr>
            <w: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w:t>
          </w:r>
          <w:r w:rsidR="00B2198E">
            <w:rPr>
              <w:rFonts w:asciiTheme="minorHAnsi" w:hAnsiTheme="minorHAnsi" w:cstheme="minorHAnsi"/>
              <w:sz w:val="20"/>
              <w:szCs w:val="20"/>
            </w:rPr>
            <w:t xml:space="preserve"> služby společně, to je Broker Point Premium</w:t>
          </w:r>
          <w:r w:rsidR="004D6BA6">
            <w:rPr>
              <w:rFonts w:asciiTheme="minorHAnsi" w:hAnsiTheme="minorHAnsi" w:cstheme="minorHAnsi"/>
              <w:sz w:val="20"/>
              <w:szCs w:val="20"/>
            </w:rPr>
            <w:t>,</w:t>
          </w:r>
          <w:r w:rsidR="00961519" w:rsidRPr="00961519">
            <w:rPr>
              <w:rFonts w:asciiTheme="minorHAnsi" w:hAnsiTheme="minorHAnsi" w:cstheme="minorHAnsi"/>
              <w:sz w:val="20"/>
              <w:szCs w:val="20"/>
            </w:rPr>
            <w:t xml:space="preserve"> </w:t>
          </w:r>
          <w:r w:rsidR="00961519">
            <w:rPr>
              <w:rFonts w:asciiTheme="minorHAnsi" w:hAnsiTheme="minorHAnsi" w:cstheme="minorHAnsi"/>
              <w:sz w:val="20"/>
              <w:szCs w:val="20"/>
            </w:rPr>
            <w:t xml:space="preserve">jehož přináší společnost Broker Consulting, která za vedení franšízy a její podporu získala ocenění </w:t>
          </w:r>
          <w:proofErr w:type="spellStart"/>
          <w:r w:rsidR="00961519" w:rsidRPr="00A0680F">
            <w:rPr>
              <w:rFonts w:asciiTheme="minorHAnsi" w:hAnsiTheme="minorHAnsi" w:cstheme="minorHAnsi"/>
              <w:b/>
              <w:color w:val="FF0000"/>
              <w:sz w:val="20"/>
              <w:szCs w:val="20"/>
            </w:rPr>
            <w:t>Franchisor</w:t>
          </w:r>
          <w:proofErr w:type="spellEnd"/>
          <w:r w:rsidR="00961519" w:rsidRPr="00A0680F">
            <w:rPr>
              <w:rFonts w:asciiTheme="minorHAnsi" w:hAnsiTheme="minorHAnsi" w:cstheme="minorHAnsi"/>
              <w:b/>
              <w:color w:val="FF0000"/>
              <w:sz w:val="20"/>
              <w:szCs w:val="20"/>
            </w:rPr>
            <w:t xml:space="preserve"> roku 2022</w:t>
          </w:r>
          <w:r w:rsidR="00961519" w:rsidRPr="00A0680F">
            <w:rPr>
              <w:rFonts w:asciiTheme="minorHAnsi" w:hAnsiTheme="minorHAnsi" w:cstheme="minorHAnsi"/>
              <w:color w:val="FF0000"/>
              <w:sz w:val="20"/>
              <w:szCs w:val="20"/>
            </w:rPr>
            <w:t xml:space="preserve"> </w:t>
          </w:r>
          <w:r w:rsidR="00961519">
            <w:rPr>
              <w:rFonts w:asciiTheme="minorHAnsi" w:hAnsiTheme="minorHAnsi" w:cstheme="minorHAnsi"/>
              <w:sz w:val="20"/>
              <w:szCs w:val="20"/>
            </w:rPr>
            <w:t xml:space="preserve">od České asociace </w:t>
          </w:r>
          <w:proofErr w:type="spellStart"/>
          <w:r w:rsidR="00961519">
            <w:rPr>
              <w:rFonts w:asciiTheme="minorHAnsi" w:hAnsiTheme="minorHAnsi" w:cstheme="minorHAnsi"/>
              <w:sz w:val="20"/>
              <w:szCs w:val="20"/>
            </w:rPr>
            <w:t>franchisingu</w:t>
          </w:r>
          <w:proofErr w:type="spellEnd"/>
          <w:r w:rsidR="008D373A" w:rsidRPr="005B7E46">
            <w:rPr>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Více</w:t>
          </w:r>
          <w:proofErr w:type="spellEnd"/>
          <w:r w:rsidRPr="005B7E46">
            <w:rPr>
              <w:rStyle w:val="dn"/>
              <w:rFonts w:asciiTheme="minorHAnsi" w:hAnsiTheme="minorHAnsi" w:cstheme="minorHAnsi"/>
              <w:sz w:val="20"/>
              <w:szCs w:val="20"/>
            </w:rPr>
            <w:t xml:space="preserve"> na </w:t>
          </w:r>
          <w:hyperlink r:id="rId9" w:history="1">
            <w:r w:rsidR="007B232E"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sidR="00B2198E">
              <w:rPr>
                <w:rStyle w:val="Hypertextovodkaz"/>
                <w:rFonts w:asciiTheme="minorHAnsi" w:hAnsiTheme="minorHAnsi" w:cstheme="minorHAnsi"/>
                <w:color w:val="auto"/>
                <w:sz w:val="20"/>
                <w:szCs w:val="20"/>
              </w:rPr>
              <w:t>brokerpointy</w:t>
            </w:r>
            <w:r w:rsidR="007B232E" w:rsidRPr="005B7E46">
              <w:rPr>
                <w:rStyle w:val="Hypertextovodkaz"/>
                <w:rFonts w:asciiTheme="minorHAnsi" w:hAnsiTheme="minorHAnsi" w:cstheme="minorHAnsi"/>
                <w:color w:val="auto"/>
                <w:sz w:val="20"/>
                <w:szCs w:val="20"/>
              </w:rPr>
              <w:t>.cz</w:t>
            </w:r>
          </w:hyperlink>
          <w:r w:rsidR="007B232E" w:rsidRPr="005B7E46">
            <w:rPr>
              <w:rStyle w:val="Hypertextovodkaz"/>
              <w:rFonts w:asciiTheme="minorHAnsi" w:hAnsiTheme="minorHAnsi" w:cstheme="minorHAnsi"/>
              <w:color w:val="auto"/>
              <w:sz w:val="20"/>
              <w:szCs w:val="20"/>
              <w:u w:val="none"/>
            </w:rPr>
            <w:t xml:space="preserve">, </w:t>
          </w:r>
          <w:r w:rsidR="00B2198E">
            <w:rPr>
              <w:rStyle w:val="Hypertextovodkaz"/>
              <w:rFonts w:asciiTheme="minorHAnsi" w:hAnsiTheme="minorHAnsi" w:cstheme="minorHAnsi"/>
              <w:color w:val="auto"/>
              <w:sz w:val="20"/>
              <w:szCs w:val="20"/>
              <w:u w:val="none"/>
            </w:rPr>
            <w:t>brokerpoint</w:t>
          </w:r>
          <w:hyperlink r:id="rId11" w:history="1">
            <w:r w:rsidR="007B232E" w:rsidRPr="005B7E46">
              <w:rPr>
                <w:rStyle w:val="Hypertextovodkaz"/>
                <w:rFonts w:asciiTheme="minorHAnsi" w:hAnsiTheme="minorHAnsi" w:cstheme="minorHAnsi"/>
                <w:color w:val="auto"/>
                <w:sz w:val="20"/>
                <w:szCs w:val="20"/>
              </w:rPr>
              <w: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007B232E" w:rsidRPr="005B7E46">
            <w:rPr>
              <w:rStyle w:val="Hypertextovodkaz"/>
              <w:rFonts w:asciiTheme="minorHAnsi" w:hAnsiTheme="minorHAnsi" w:cstheme="minorHAnsi"/>
              <w:color w:val="auto"/>
              <w:sz w:val="20"/>
              <w:szCs w:val="20"/>
              <w:u w:val="none"/>
            </w:rPr>
            <w:t xml:space="preserve">. </w:t>
          </w:r>
          <w:proofErr w:type="spellStart"/>
          <w:r w:rsidRPr="005B7E46">
            <w:rPr>
              <w:rStyle w:val="dn"/>
              <w:rFonts w:asciiTheme="minorHAnsi" w:hAnsiTheme="minorHAnsi" w:cstheme="minorHAnsi"/>
              <w:sz w:val="20"/>
              <w:szCs w:val="20"/>
            </w:rPr>
            <w:t>Navštivte</w:t>
          </w:r>
          <w:proofErr w:type="spellEnd"/>
          <w:r w:rsidRPr="005B7E46">
            <w:rPr>
              <w:rStyle w:val="dn"/>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také</w:t>
          </w:r>
          <w:proofErr w:type="spellEnd"/>
          <w:r w:rsidRPr="005B7E46">
            <w:rPr>
              <w:rStyle w:val="dn"/>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náš</w:t>
          </w:r>
          <w:proofErr w:type="spellEnd"/>
          <w:r w:rsidRPr="005B7E46">
            <w:rPr>
              <w:rStyle w:val="dn"/>
              <w:rFonts w:asciiTheme="minorHAnsi" w:hAnsiTheme="minorHAnsi" w:cstheme="minorHAnsi"/>
              <w:sz w:val="20"/>
              <w:szCs w:val="20"/>
            </w:rPr>
            <w:t xml:space="preserve"> </w:t>
          </w:r>
          <w:hyperlink r:id="rId13" w:history="1">
            <w:proofErr w:type="spellStart"/>
            <w:r w:rsidRPr="005B7E46">
              <w:rPr>
                <w:rStyle w:val="Hypertextovodkaz"/>
                <w:rFonts w:asciiTheme="minorHAnsi" w:hAnsiTheme="minorHAnsi" w:cstheme="minorHAnsi"/>
                <w:color w:val="auto"/>
                <w:sz w:val="20"/>
                <w:szCs w:val="20"/>
              </w:rPr>
              <w:t>Facebook</w:t>
            </w:r>
            <w:proofErr w:type="spellEnd"/>
          </w:hyperlink>
          <w:r w:rsidR="005B7E46" w:rsidRPr="005B7E46">
            <w:rPr>
              <w:rStyle w:val="dn"/>
              <w:rFonts w:asciiTheme="minorHAnsi" w:hAnsiTheme="minorHAnsi" w:cstheme="minorHAnsi"/>
              <w:sz w:val="20"/>
              <w:szCs w:val="20"/>
            </w:rPr>
            <w:t xml:space="preserve">, </w:t>
          </w:r>
          <w:hyperlink r:id="rId14" w:history="1">
            <w:proofErr w:type="spellStart"/>
            <w:r w:rsidRPr="005B7E46">
              <w:rPr>
                <w:rStyle w:val="Hypertextovodkaz"/>
                <w:rFonts w:asciiTheme="minorHAnsi" w:hAnsiTheme="minorHAnsi" w:cstheme="minorHAnsi"/>
                <w:color w:val="auto"/>
                <w:sz w:val="20"/>
                <w:szCs w:val="20"/>
              </w:rPr>
              <w:t>LinkedIN</w:t>
            </w:r>
            <w:proofErr w:type="spellEnd"/>
          </w:hyperlink>
          <w:r w:rsidR="005B7E46" w:rsidRPr="005B7E46">
            <w:rPr>
              <w:rStyle w:val="dn"/>
              <w:rFonts w:asciiTheme="minorHAnsi" w:hAnsiTheme="minorHAnsi" w:cstheme="minorHAnsi"/>
              <w:sz w:val="20"/>
              <w:szCs w:val="20"/>
            </w:rPr>
            <w:t xml:space="preserve"> Broker Consulting, Twitter </w:t>
          </w:r>
          <w:r w:rsidR="005B7E46" w:rsidRPr="005B7E46">
            <w:rPr>
              <w:rFonts w:asciiTheme="minorHAnsi" w:hAnsiTheme="minorHAnsi" w:cstheme="minorHAnsi"/>
              <w:sz w:val="20"/>
              <w:szCs w:val="20"/>
              <w:shd w:val="clear" w:color="auto" w:fill="FFFFFF"/>
            </w:rPr>
            <w:t>@</w:t>
          </w:r>
          <w:proofErr w:type="spellStart"/>
          <w:r w:rsidR="005B7E46" w:rsidRPr="005B7E46">
            <w:rPr>
              <w:rFonts w:asciiTheme="minorHAnsi" w:hAnsiTheme="minorHAnsi" w:cstheme="minorHAnsi"/>
              <w:sz w:val="20"/>
              <w:szCs w:val="20"/>
              <w:shd w:val="clear" w:color="auto" w:fill="FFFFFF"/>
            </w:rPr>
            <w:t>BC_oficialni</w:t>
          </w:r>
          <w:proofErr w:type="spellEnd"/>
          <w:r w:rsidR="005B7E46" w:rsidRPr="005B7E46">
            <w:rPr>
              <w:rFonts w:asciiTheme="minorHAnsi" w:hAnsiTheme="minorHAnsi" w:cstheme="minorHAnsi"/>
              <w:sz w:val="20"/>
              <w:szCs w:val="20"/>
              <w:shd w:val="clear" w:color="auto" w:fill="FFFFFF"/>
            </w:rPr>
            <w:t xml:space="preserve">, </w:t>
          </w:r>
          <w:r w:rsidRPr="005B7E46">
            <w:rPr>
              <w:rStyle w:val="dn"/>
              <w:rFonts w:asciiTheme="minorHAnsi" w:hAnsiTheme="minorHAnsi" w:cstheme="minorHAnsi"/>
              <w:sz w:val="20"/>
              <w:szCs w:val="20"/>
            </w:rPr>
            <w:t xml:space="preserve"> </w:t>
          </w:r>
          <w:hyperlink r:id="rId15" w:history="1">
            <w:proofErr w:type="spellStart"/>
            <w:r w:rsidRPr="005B7E46">
              <w:rPr>
                <w:rStyle w:val="Hypertextovodkaz"/>
                <w:rFonts w:asciiTheme="minorHAnsi" w:hAnsiTheme="minorHAnsi" w:cstheme="minorHAnsi"/>
                <w:color w:val="auto"/>
                <w:sz w:val="20"/>
                <w:szCs w:val="20"/>
              </w:rPr>
              <w:t>Facebook</w:t>
            </w:r>
            <w:proofErr w:type="spellEnd"/>
          </w:hyperlink>
          <w:r w:rsidRPr="005B7E46">
            <w:rPr>
              <w:rStyle w:val="dn"/>
              <w:rFonts w:asciiTheme="minorHAnsi" w:hAnsiTheme="minorHAnsi" w:cstheme="minorHAnsi"/>
              <w:sz w:val="20"/>
              <w:szCs w:val="20"/>
            </w:rPr>
            <w:t xml:space="preserve"> a </w:t>
          </w:r>
          <w:hyperlink r:id="rId16" w:history="1">
            <w:proofErr w:type="spellStart"/>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proofErr w:type="spellEnd"/>
          <w:r w:rsidR="00B2198E">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3F0EC976" w14:textId="3496D289" w:rsidR="00D80B6D" w:rsidRPr="006545F8" w:rsidRDefault="00D80B6D" w:rsidP="0068617E">
          <w:pPr>
            <w:pStyle w:val="Zkladntext"/>
            <w:jc w:val="both"/>
            <w:rPr>
              <w:rFonts w:ascii="Arial" w:hAnsi="Arial" w:cs="Arial"/>
              <w:sz w:val="20"/>
              <w:highlight w:val="yellow"/>
            </w:rPr>
            <w:sectPr w:rsidR="00D80B6D" w:rsidRPr="006545F8" w:rsidSect="00D80B6D">
              <w:headerReference w:type="even" r:id="rId17"/>
              <w:headerReference w:type="default" r:id="rId18"/>
              <w:footerReference w:type="even" r:id="rId19"/>
              <w:footerReference w:type="default" r:id="rId20"/>
              <w:headerReference w:type="first" r:id="rId21"/>
              <w:footerReference w:type="first" r:id="rId22"/>
              <w:pgSz w:w="11910" w:h="16840"/>
              <w:pgMar w:top="960" w:right="740" w:bottom="0" w:left="720" w:header="708" w:footer="708" w:gutter="0"/>
              <w:cols w:space="708"/>
            </w:sectPr>
          </w:pPr>
        </w:p>
        <w:p w14:paraId="4F038982" w14:textId="77777777" w:rsidR="00203BD4" w:rsidRDefault="00203BD4" w:rsidP="0025264B">
          <w:pPr>
            <w:rPr>
              <w:rFonts w:ascii="Arial" w:hAnsi="Arial" w:cs="Arial"/>
              <w:sz w:val="20"/>
              <w:szCs w:val="20"/>
              <w:highlight w:val="yellow"/>
            </w:rPr>
          </w:pPr>
        </w:p>
        <w:p w14:paraId="35539C65" w14:textId="06F0629B" w:rsidR="00D31127" w:rsidRPr="006545F8" w:rsidRDefault="0078013F" w:rsidP="0025264B">
          <w:pPr>
            <w:rPr>
              <w:rFonts w:ascii="Arial" w:hAnsi="Arial" w:cs="Arial"/>
              <w:sz w:val="20"/>
              <w:szCs w:val="20"/>
              <w:highlight w:val="yellow"/>
            </w:rPr>
            <w:sectPr w:rsidR="00D31127" w:rsidRPr="006545F8" w:rsidSect="00D80B6D">
              <w:headerReference w:type="even" r:id="rId23"/>
              <w:headerReference w:type="default" r:id="rId24"/>
              <w:footerReference w:type="even" r:id="rId25"/>
              <w:footerReference w:type="default" r:id="rId26"/>
              <w:headerReference w:type="first" r:id="rId27"/>
              <w:footerReference w:type="first" r:id="rId28"/>
              <w:pgSz w:w="11910" w:h="16840"/>
              <w:pgMar w:top="1418" w:right="740" w:bottom="420" w:left="720" w:header="340" w:footer="223" w:gutter="0"/>
              <w:pgNumType w:start="0"/>
              <w:cols w:space="708"/>
              <w:titlePg/>
              <w:docGrid w:linePitch="299"/>
            </w:sectPr>
          </w:pPr>
        </w:p>
      </w:sdtContent>
    </w:sdt>
    <w:p w14:paraId="16780204" w14:textId="71C1D66D" w:rsidR="00241DC1" w:rsidRPr="00C20789" w:rsidRDefault="00C00EEF" w:rsidP="00241DC1">
      <w:pPr>
        <w:pStyle w:val="Odstavecseseznamem"/>
        <w:spacing w:after="240"/>
        <w:ind w:left="720" w:firstLine="0"/>
        <w:jc w:val="center"/>
        <w:rPr>
          <w:rFonts w:asciiTheme="minorHAnsi" w:hAnsiTheme="minorHAnsi" w:cstheme="minorHAnsi"/>
          <w:b/>
          <w:sz w:val="26"/>
          <w:szCs w:val="26"/>
        </w:rPr>
      </w:pPr>
      <w:r>
        <w:rPr>
          <w:rFonts w:asciiTheme="minorHAnsi" w:hAnsiTheme="minorHAnsi" w:cstheme="minorHAnsi"/>
          <w:b/>
          <w:sz w:val="26"/>
          <w:szCs w:val="26"/>
        </w:rPr>
        <w:t xml:space="preserve">INDEX: Sazby u hypoték v lednu lehce klesly </w:t>
      </w:r>
    </w:p>
    <w:p w14:paraId="5C85FDF8" w14:textId="77777777" w:rsidR="008F715C" w:rsidRPr="008F715C" w:rsidRDefault="008F715C" w:rsidP="008F715C">
      <w:pPr>
        <w:pStyle w:val="Odstavecseseznamem"/>
        <w:numPr>
          <w:ilvl w:val="0"/>
          <w:numId w:val="9"/>
        </w:numPr>
        <w:ind w:right="40"/>
        <w:rPr>
          <w:rFonts w:asciiTheme="minorHAnsi" w:eastAsiaTheme="minorHAnsi" w:hAnsiTheme="minorHAnsi" w:cstheme="minorHAnsi"/>
          <w:b/>
          <w:sz w:val="21"/>
          <w:szCs w:val="21"/>
          <w:lang w:bidi="ar-SA"/>
        </w:rPr>
      </w:pPr>
      <w:r w:rsidRPr="008F715C">
        <w:rPr>
          <w:rFonts w:asciiTheme="minorHAnsi" w:eastAsiaTheme="minorHAnsi" w:hAnsiTheme="minorHAnsi" w:cstheme="minorHAnsi"/>
          <w:b/>
          <w:sz w:val="21"/>
          <w:szCs w:val="21"/>
          <w:lang w:bidi="ar-SA"/>
        </w:rPr>
        <w:t>Broker Consulting Index hypotečních úvěrů dosáhl v lednu 2024 hodnoty 5,62 procenta.</w:t>
      </w:r>
    </w:p>
    <w:p w14:paraId="1B6CFB9F" w14:textId="77777777" w:rsidR="008F715C" w:rsidRPr="008F715C" w:rsidRDefault="008F715C" w:rsidP="008F715C">
      <w:pPr>
        <w:pStyle w:val="Odstavecseseznamem"/>
        <w:numPr>
          <w:ilvl w:val="0"/>
          <w:numId w:val="9"/>
        </w:numPr>
        <w:ind w:right="40"/>
        <w:rPr>
          <w:rFonts w:asciiTheme="minorHAnsi" w:eastAsiaTheme="minorHAnsi" w:hAnsiTheme="minorHAnsi" w:cstheme="minorHAnsi"/>
          <w:b/>
          <w:sz w:val="21"/>
          <w:szCs w:val="21"/>
          <w:lang w:bidi="ar-SA"/>
        </w:rPr>
      </w:pPr>
      <w:r w:rsidRPr="008F715C">
        <w:rPr>
          <w:rFonts w:asciiTheme="minorHAnsi" w:eastAsiaTheme="minorHAnsi" w:hAnsiTheme="minorHAnsi" w:cstheme="minorHAnsi"/>
          <w:b/>
          <w:sz w:val="21"/>
          <w:szCs w:val="21"/>
          <w:lang w:bidi="ar-SA"/>
        </w:rPr>
        <w:t xml:space="preserve">Lednový předstihový ukazatel opět klesl o 11 bazických bodů na hodnotu 5,70 procenta. </w:t>
      </w:r>
    </w:p>
    <w:p w14:paraId="3EFDC526" w14:textId="77777777" w:rsidR="008F715C" w:rsidRPr="008F715C" w:rsidRDefault="008F715C" w:rsidP="008F715C">
      <w:pPr>
        <w:pStyle w:val="Odstavecseseznamem"/>
        <w:numPr>
          <w:ilvl w:val="0"/>
          <w:numId w:val="9"/>
        </w:numPr>
        <w:ind w:right="40"/>
        <w:rPr>
          <w:rFonts w:asciiTheme="minorHAnsi" w:eastAsiaTheme="minorHAnsi" w:hAnsiTheme="minorHAnsi" w:cstheme="minorHAnsi"/>
          <w:b/>
          <w:sz w:val="21"/>
          <w:szCs w:val="21"/>
          <w:lang w:bidi="ar-SA"/>
        </w:rPr>
      </w:pPr>
      <w:r w:rsidRPr="008F715C">
        <w:rPr>
          <w:rFonts w:asciiTheme="minorHAnsi" w:eastAsiaTheme="minorHAnsi" w:hAnsiTheme="minorHAnsi" w:cstheme="minorHAnsi"/>
          <w:b/>
          <w:sz w:val="21"/>
          <w:szCs w:val="21"/>
          <w:lang w:bidi="ar-SA"/>
        </w:rPr>
        <w:t xml:space="preserve">Rok 2024 přinese podle odborníků další pozvolné snižování sazeb u hypoték. Ty by se mohly na konci roku pohybovat v rozmezí 3,5 až 4,5 procenta. </w:t>
      </w:r>
    </w:p>
    <w:p w14:paraId="18525D95" w14:textId="2F0CF656" w:rsidR="00A803EF" w:rsidRPr="00B24985" w:rsidRDefault="002B4265" w:rsidP="00D15619">
      <w:pPr>
        <w:spacing w:before="200" w:after="200"/>
        <w:ind w:right="40"/>
        <w:rPr>
          <w:rFonts w:asciiTheme="minorHAnsi" w:hAnsiTheme="minorHAnsi" w:cstheme="minorHAnsi"/>
          <w:b/>
          <w:sz w:val="21"/>
          <w:szCs w:val="21"/>
        </w:rPr>
      </w:pPr>
      <w:r w:rsidRPr="00B24985">
        <w:rPr>
          <w:rFonts w:asciiTheme="minorHAnsi" w:hAnsiTheme="minorHAnsi" w:cstheme="minorHAnsi"/>
          <w:b/>
          <w:i/>
          <w:sz w:val="21"/>
          <w:szCs w:val="21"/>
        </w:rPr>
        <w:t xml:space="preserve">Praha, </w:t>
      </w:r>
      <w:r w:rsidR="008F715C" w:rsidRPr="00B24985">
        <w:rPr>
          <w:rFonts w:asciiTheme="minorHAnsi" w:hAnsiTheme="minorHAnsi" w:cstheme="minorHAnsi"/>
          <w:b/>
          <w:i/>
          <w:sz w:val="21"/>
          <w:szCs w:val="21"/>
        </w:rPr>
        <w:t>5</w:t>
      </w:r>
      <w:r w:rsidR="00241DC1" w:rsidRPr="00B24985">
        <w:rPr>
          <w:rFonts w:asciiTheme="minorHAnsi" w:hAnsiTheme="minorHAnsi" w:cstheme="minorHAnsi"/>
          <w:b/>
          <w:i/>
          <w:sz w:val="21"/>
          <w:szCs w:val="21"/>
        </w:rPr>
        <w:t>.</w:t>
      </w:r>
      <w:r w:rsidR="00C00EEF" w:rsidRPr="00B24985">
        <w:rPr>
          <w:rFonts w:asciiTheme="minorHAnsi" w:hAnsiTheme="minorHAnsi" w:cstheme="minorHAnsi"/>
          <w:b/>
          <w:i/>
          <w:sz w:val="21"/>
          <w:szCs w:val="21"/>
        </w:rPr>
        <w:t xml:space="preserve"> února</w:t>
      </w:r>
      <w:r w:rsidR="00241DC1" w:rsidRPr="00B24985">
        <w:rPr>
          <w:rFonts w:asciiTheme="minorHAnsi" w:hAnsiTheme="minorHAnsi" w:cstheme="minorHAnsi"/>
          <w:b/>
          <w:i/>
          <w:sz w:val="21"/>
          <w:szCs w:val="21"/>
        </w:rPr>
        <w:t xml:space="preserve"> </w:t>
      </w:r>
      <w:r w:rsidR="000878FB" w:rsidRPr="00B24985">
        <w:rPr>
          <w:rFonts w:asciiTheme="minorHAnsi" w:hAnsiTheme="minorHAnsi" w:cstheme="minorHAnsi"/>
          <w:b/>
          <w:i/>
          <w:sz w:val="21"/>
          <w:szCs w:val="21"/>
        </w:rPr>
        <w:t xml:space="preserve">2024 </w:t>
      </w:r>
      <w:r w:rsidR="00241DC1" w:rsidRPr="00B24985">
        <w:rPr>
          <w:rFonts w:asciiTheme="minorHAnsi" w:hAnsiTheme="minorHAnsi" w:cstheme="minorHAnsi"/>
          <w:b/>
          <w:i/>
          <w:sz w:val="21"/>
          <w:szCs w:val="21"/>
        </w:rPr>
        <w:t xml:space="preserve">- </w:t>
      </w:r>
      <w:r w:rsidR="00176E93" w:rsidRPr="00B24985">
        <w:rPr>
          <w:rFonts w:asciiTheme="minorHAnsi" w:hAnsiTheme="minorHAnsi" w:cstheme="minorHAnsi"/>
          <w:b/>
          <w:i/>
          <w:sz w:val="21"/>
          <w:szCs w:val="21"/>
        </w:rPr>
        <w:t xml:space="preserve"> </w:t>
      </w:r>
      <w:r w:rsidR="008F715C" w:rsidRPr="00B24985">
        <w:rPr>
          <w:rFonts w:asciiTheme="minorHAnsi" w:hAnsiTheme="minorHAnsi" w:cstheme="minorHAnsi"/>
          <w:b/>
          <w:sz w:val="21"/>
          <w:szCs w:val="21"/>
        </w:rPr>
        <w:t>V lednu 2024 Broker Consulting Index hypotečních úvěrů mírně poklesl na hodnotu</w:t>
      </w:r>
      <w:r w:rsidR="001B6694" w:rsidRPr="00B24985">
        <w:rPr>
          <w:rFonts w:asciiTheme="minorHAnsi" w:hAnsiTheme="minorHAnsi" w:cstheme="minorHAnsi"/>
          <w:b/>
          <w:sz w:val="21"/>
          <w:szCs w:val="21"/>
        </w:rPr>
        <w:t xml:space="preserve"> 5,62 procenta</w:t>
      </w:r>
      <w:r w:rsidR="008F715C" w:rsidRPr="00B24985">
        <w:rPr>
          <w:rFonts w:asciiTheme="minorHAnsi" w:hAnsiTheme="minorHAnsi" w:cstheme="minorHAnsi"/>
          <w:b/>
          <w:sz w:val="21"/>
          <w:szCs w:val="21"/>
        </w:rPr>
        <w:t>. V porovnání s předchozí</w:t>
      </w:r>
      <w:r w:rsidR="001B6694" w:rsidRPr="00B24985">
        <w:rPr>
          <w:rFonts w:asciiTheme="minorHAnsi" w:hAnsiTheme="minorHAnsi" w:cstheme="minorHAnsi"/>
          <w:b/>
          <w:sz w:val="21"/>
          <w:szCs w:val="21"/>
        </w:rPr>
        <w:t>m</w:t>
      </w:r>
      <w:r w:rsidR="008F715C" w:rsidRPr="00B24985">
        <w:rPr>
          <w:rFonts w:asciiTheme="minorHAnsi" w:hAnsiTheme="minorHAnsi" w:cstheme="minorHAnsi"/>
          <w:b/>
          <w:sz w:val="21"/>
          <w:szCs w:val="21"/>
        </w:rPr>
        <w:t xml:space="preserve"> měsícem se jedná o snížení 0,09</w:t>
      </w:r>
      <w:r w:rsidR="001B6694" w:rsidRPr="00B24985">
        <w:rPr>
          <w:rFonts w:asciiTheme="minorHAnsi" w:hAnsiTheme="minorHAnsi" w:cstheme="minorHAnsi"/>
          <w:b/>
          <w:sz w:val="21"/>
          <w:szCs w:val="21"/>
        </w:rPr>
        <w:t xml:space="preserve"> </w:t>
      </w:r>
      <w:r w:rsidR="008F715C" w:rsidRPr="00B24985">
        <w:rPr>
          <w:rFonts w:asciiTheme="minorHAnsi" w:hAnsiTheme="minorHAnsi" w:cstheme="minorHAnsi"/>
          <w:b/>
          <w:sz w:val="21"/>
          <w:szCs w:val="21"/>
        </w:rPr>
        <w:t>p</w:t>
      </w:r>
      <w:r w:rsidR="001B6694" w:rsidRPr="00B24985">
        <w:rPr>
          <w:rFonts w:asciiTheme="minorHAnsi" w:hAnsiTheme="minorHAnsi" w:cstheme="minorHAnsi"/>
          <w:b/>
          <w:sz w:val="21"/>
          <w:szCs w:val="21"/>
        </w:rPr>
        <w:t xml:space="preserve">rocentního bodu. Další pokles </w:t>
      </w:r>
      <w:r w:rsidR="008F715C" w:rsidRPr="00B24985">
        <w:rPr>
          <w:rFonts w:asciiTheme="minorHAnsi" w:hAnsiTheme="minorHAnsi" w:cstheme="minorHAnsi"/>
          <w:b/>
          <w:sz w:val="21"/>
          <w:szCs w:val="21"/>
        </w:rPr>
        <w:t>v</w:t>
      </w:r>
      <w:r w:rsidR="001B6694" w:rsidRPr="00B24985">
        <w:rPr>
          <w:rFonts w:asciiTheme="minorHAnsi" w:hAnsiTheme="minorHAnsi" w:cstheme="minorHAnsi"/>
          <w:b/>
          <w:sz w:val="21"/>
          <w:szCs w:val="21"/>
        </w:rPr>
        <w:t xml:space="preserve"> následujícím období předpovídá </w:t>
      </w:r>
      <w:r w:rsidR="008F715C" w:rsidRPr="00B24985">
        <w:rPr>
          <w:rFonts w:asciiTheme="minorHAnsi" w:hAnsiTheme="minorHAnsi" w:cstheme="minorHAnsi"/>
          <w:b/>
          <w:sz w:val="21"/>
          <w:szCs w:val="21"/>
        </w:rPr>
        <w:t>lednový předstihový ukazatel, kte</w:t>
      </w:r>
      <w:r w:rsidR="001B6694" w:rsidRPr="00B24985">
        <w:rPr>
          <w:rFonts w:asciiTheme="minorHAnsi" w:hAnsiTheme="minorHAnsi" w:cstheme="minorHAnsi"/>
          <w:b/>
          <w:sz w:val="21"/>
          <w:szCs w:val="21"/>
        </w:rPr>
        <w:t>rý se zastavil na hodnotě 5,70 procenta (o</w:t>
      </w:r>
      <w:r w:rsidR="008F715C" w:rsidRPr="00B24985">
        <w:rPr>
          <w:rFonts w:asciiTheme="minorHAnsi" w:hAnsiTheme="minorHAnsi" w:cstheme="minorHAnsi"/>
          <w:b/>
          <w:sz w:val="21"/>
          <w:szCs w:val="21"/>
        </w:rPr>
        <w:t>proti</w:t>
      </w:r>
      <w:r w:rsidR="001B6694" w:rsidRPr="00B24985">
        <w:rPr>
          <w:rFonts w:asciiTheme="minorHAnsi" w:hAnsiTheme="minorHAnsi" w:cstheme="minorHAnsi"/>
          <w:b/>
          <w:sz w:val="21"/>
          <w:szCs w:val="21"/>
        </w:rPr>
        <w:t xml:space="preserve"> prosincovému výsledku nižší </w:t>
      </w:r>
      <w:r w:rsidR="008F715C" w:rsidRPr="00B24985">
        <w:rPr>
          <w:rFonts w:asciiTheme="minorHAnsi" w:hAnsiTheme="minorHAnsi" w:cstheme="minorHAnsi"/>
          <w:b/>
          <w:sz w:val="21"/>
          <w:szCs w:val="21"/>
        </w:rPr>
        <w:t>o 11 bazických bodů</w:t>
      </w:r>
      <w:r w:rsidR="001B6694" w:rsidRPr="00B24985">
        <w:rPr>
          <w:rFonts w:asciiTheme="minorHAnsi" w:hAnsiTheme="minorHAnsi" w:cstheme="minorHAnsi"/>
          <w:b/>
          <w:sz w:val="21"/>
          <w:szCs w:val="21"/>
        </w:rPr>
        <w:t>)</w:t>
      </w:r>
      <w:r w:rsidR="008F715C" w:rsidRPr="00B24985">
        <w:rPr>
          <w:rFonts w:asciiTheme="minorHAnsi" w:hAnsiTheme="minorHAnsi" w:cstheme="minorHAnsi"/>
          <w:b/>
          <w:sz w:val="21"/>
          <w:szCs w:val="21"/>
        </w:rPr>
        <w:t xml:space="preserve">. Vzhledem k prosincovému rozhodnutí České národní banky o snížení dvoutýdenní </w:t>
      </w:r>
      <w:proofErr w:type="spellStart"/>
      <w:r w:rsidR="008F715C" w:rsidRPr="00B24985">
        <w:rPr>
          <w:rFonts w:asciiTheme="minorHAnsi" w:hAnsiTheme="minorHAnsi" w:cstheme="minorHAnsi"/>
          <w:b/>
          <w:sz w:val="21"/>
          <w:szCs w:val="21"/>
        </w:rPr>
        <w:t>repo</w:t>
      </w:r>
      <w:proofErr w:type="spellEnd"/>
      <w:r w:rsidR="008F715C" w:rsidRPr="00B24985">
        <w:rPr>
          <w:rFonts w:asciiTheme="minorHAnsi" w:hAnsiTheme="minorHAnsi" w:cstheme="minorHAnsi"/>
          <w:b/>
          <w:sz w:val="21"/>
          <w:szCs w:val="21"/>
        </w:rPr>
        <w:t xml:space="preserve"> sazby už některé banky mírně upravily své úrokové sazby směrem dolů. Podle analytiků nelze v nejbližší době očekávat skokové </w:t>
      </w:r>
      <w:r w:rsidR="001B6694" w:rsidRPr="00B24985">
        <w:rPr>
          <w:rFonts w:asciiTheme="minorHAnsi" w:hAnsiTheme="minorHAnsi" w:cstheme="minorHAnsi"/>
          <w:b/>
          <w:sz w:val="21"/>
          <w:szCs w:val="21"/>
        </w:rPr>
        <w:t>poklesy. Na konci roku by se</w:t>
      </w:r>
      <w:r w:rsidR="008F715C" w:rsidRPr="00B24985">
        <w:rPr>
          <w:rFonts w:asciiTheme="minorHAnsi" w:hAnsiTheme="minorHAnsi" w:cstheme="minorHAnsi"/>
          <w:b/>
          <w:sz w:val="21"/>
          <w:szCs w:val="21"/>
        </w:rPr>
        <w:t xml:space="preserve"> úroková sazba u hypoték mohla pohybovat v rozmezí 3,5 – 4</w:t>
      </w:r>
      <w:r w:rsidR="001B6694" w:rsidRPr="00B24985">
        <w:rPr>
          <w:rFonts w:asciiTheme="minorHAnsi" w:hAnsiTheme="minorHAnsi" w:cstheme="minorHAnsi"/>
          <w:b/>
          <w:sz w:val="21"/>
          <w:szCs w:val="21"/>
        </w:rPr>
        <w:t>,5 procenty</w:t>
      </w:r>
      <w:r w:rsidR="008F715C" w:rsidRPr="00B24985">
        <w:rPr>
          <w:rFonts w:asciiTheme="minorHAnsi" w:hAnsiTheme="minorHAnsi" w:cstheme="minorHAnsi"/>
          <w:b/>
          <w:sz w:val="21"/>
          <w:szCs w:val="21"/>
        </w:rPr>
        <w:t xml:space="preserve">. </w:t>
      </w:r>
      <w:r w:rsidR="008A618B">
        <w:rPr>
          <w:rFonts w:asciiTheme="minorHAnsi" w:hAnsiTheme="minorHAnsi" w:cstheme="minorHAnsi"/>
          <w:b/>
          <w:sz w:val="21"/>
          <w:szCs w:val="21"/>
        </w:rPr>
        <w:t xml:space="preserve">Nadále trvá </w:t>
      </w:r>
      <w:r w:rsidR="008F715C" w:rsidRPr="00B24985">
        <w:rPr>
          <w:rFonts w:asciiTheme="minorHAnsi" w:hAnsiTheme="minorHAnsi" w:cstheme="minorHAnsi"/>
          <w:b/>
          <w:sz w:val="21"/>
          <w:szCs w:val="21"/>
        </w:rPr>
        <w:t xml:space="preserve">doporučení spíše kratších fixací úrokových sazeb </w:t>
      </w:r>
      <w:r w:rsidR="008A618B">
        <w:rPr>
          <w:rFonts w:asciiTheme="minorHAnsi" w:hAnsiTheme="minorHAnsi" w:cstheme="minorHAnsi"/>
          <w:b/>
          <w:sz w:val="21"/>
          <w:szCs w:val="21"/>
        </w:rPr>
        <w:t xml:space="preserve">u </w:t>
      </w:r>
      <w:r w:rsidR="008F715C" w:rsidRPr="00B24985">
        <w:rPr>
          <w:rFonts w:asciiTheme="minorHAnsi" w:hAnsiTheme="minorHAnsi" w:cstheme="minorHAnsi"/>
          <w:b/>
          <w:sz w:val="21"/>
          <w:szCs w:val="21"/>
        </w:rPr>
        <w:t>hypoték.</w:t>
      </w:r>
    </w:p>
    <w:p w14:paraId="2AF13468" w14:textId="48561437" w:rsidR="00B24985" w:rsidRPr="00B24985" w:rsidRDefault="00C568D7" w:rsidP="00E65551">
      <w:pPr>
        <w:spacing w:after="240"/>
        <w:ind w:right="40"/>
        <w:rPr>
          <w:rFonts w:asciiTheme="minorHAnsi" w:hAnsiTheme="minorHAnsi" w:cstheme="minorHAnsi"/>
          <w:bCs/>
          <w:sz w:val="21"/>
          <w:szCs w:val="21"/>
        </w:rPr>
      </w:pPr>
      <w:r w:rsidRPr="00B24985">
        <w:rPr>
          <w:rFonts w:asciiTheme="minorHAnsi" w:hAnsiTheme="minorHAnsi" w:cstheme="minorHAnsi"/>
          <w:bCs/>
          <w:sz w:val="21"/>
          <w:szCs w:val="21"/>
        </w:rPr>
        <w:t>Lednový Broker Consulting I</w:t>
      </w:r>
      <w:r w:rsidR="00BD3267">
        <w:rPr>
          <w:rFonts w:asciiTheme="minorHAnsi" w:hAnsiTheme="minorHAnsi" w:cstheme="minorHAnsi"/>
          <w:bCs/>
          <w:sz w:val="21"/>
          <w:szCs w:val="21"/>
        </w:rPr>
        <w:t xml:space="preserve">ndex hypotečních úvěrů dosáhl </w:t>
      </w:r>
      <w:r w:rsidRPr="00B24985">
        <w:rPr>
          <w:rFonts w:asciiTheme="minorHAnsi" w:hAnsiTheme="minorHAnsi" w:cstheme="minorHAnsi"/>
          <w:bCs/>
          <w:sz w:val="21"/>
          <w:szCs w:val="21"/>
        </w:rPr>
        <w:t xml:space="preserve">hodnoty 5,62 procenta, což je oproti prosincovému průměru pokles o devět bazických bodů. To koresponduje se situací, která na hypotečním trhu vládla v podstatě po celý rok 2023, kdy byly průměrné sazby hypoték stabilní. Nyní odborníci očekávají kontinuální, ale velmi pozvolné klesání. </w:t>
      </w:r>
      <w:r w:rsidRPr="00B24985">
        <w:rPr>
          <w:rFonts w:asciiTheme="minorHAnsi" w:hAnsiTheme="minorHAnsi" w:cstheme="minorHAnsi"/>
          <w:bCs/>
          <w:i/>
          <w:iCs/>
          <w:sz w:val="21"/>
          <w:szCs w:val="21"/>
        </w:rPr>
        <w:t xml:space="preserve">„Prosincový pokles dvoutýdenní </w:t>
      </w:r>
      <w:proofErr w:type="spellStart"/>
      <w:r w:rsidRPr="00B24985">
        <w:rPr>
          <w:rFonts w:asciiTheme="minorHAnsi" w:hAnsiTheme="minorHAnsi" w:cstheme="minorHAnsi"/>
          <w:bCs/>
          <w:i/>
          <w:iCs/>
          <w:sz w:val="21"/>
          <w:szCs w:val="21"/>
        </w:rPr>
        <w:t>repo</w:t>
      </w:r>
      <w:proofErr w:type="spellEnd"/>
      <w:r w:rsidRPr="00B24985">
        <w:rPr>
          <w:rFonts w:asciiTheme="minorHAnsi" w:hAnsiTheme="minorHAnsi" w:cstheme="minorHAnsi"/>
          <w:bCs/>
          <w:i/>
          <w:iCs/>
          <w:sz w:val="21"/>
          <w:szCs w:val="21"/>
        </w:rPr>
        <w:t xml:space="preserve"> sazby úrokové sazby v bankách ovlivňuje jen velmi opatrně. Některé banky již mírně upravily úrokové sazby směrem dolů, ale skokové poklesy nemůžeme v nejbližší době očekávat. Naopak, změna se bude projevovat velmi pozvolna,“</w:t>
      </w:r>
      <w:r w:rsidRPr="00B24985">
        <w:rPr>
          <w:rFonts w:asciiTheme="minorHAnsi" w:hAnsiTheme="minorHAnsi" w:cstheme="minorHAnsi"/>
          <w:bCs/>
          <w:sz w:val="21"/>
          <w:szCs w:val="21"/>
        </w:rPr>
        <w:t xml:space="preserve"> předpovídá </w:t>
      </w:r>
      <w:r w:rsidRPr="00B24985">
        <w:rPr>
          <w:rFonts w:asciiTheme="minorHAnsi" w:hAnsiTheme="minorHAnsi" w:cstheme="minorHAnsi"/>
          <w:b/>
          <w:sz w:val="21"/>
          <w:szCs w:val="21"/>
        </w:rPr>
        <w:t>Michaela Pudilová, analytička hypotečních a spotřebitelských úvěrů ze společnosti Broker Consulting.</w:t>
      </w:r>
      <w:r w:rsidRPr="00B24985">
        <w:rPr>
          <w:rFonts w:asciiTheme="minorHAnsi" w:hAnsiTheme="minorHAnsi" w:cstheme="minorHAnsi"/>
          <w:bCs/>
          <w:sz w:val="21"/>
          <w:szCs w:val="21"/>
        </w:rPr>
        <w:t xml:space="preserve"> </w:t>
      </w:r>
    </w:p>
    <w:p w14:paraId="487693AC" w14:textId="553234A3" w:rsidR="00B24985" w:rsidRPr="00B24985" w:rsidRDefault="00B24985" w:rsidP="00E65551">
      <w:pPr>
        <w:spacing w:before="240" w:after="240"/>
        <w:ind w:right="40"/>
        <w:rPr>
          <w:rFonts w:asciiTheme="minorHAnsi" w:hAnsiTheme="minorHAnsi" w:cstheme="minorHAnsi"/>
          <w:b/>
          <w:sz w:val="21"/>
          <w:szCs w:val="21"/>
        </w:rPr>
      </w:pPr>
      <w:r w:rsidRPr="00B24985">
        <w:rPr>
          <w:rFonts w:asciiTheme="minorHAnsi" w:hAnsiTheme="minorHAnsi" w:cstheme="minorHAnsi"/>
          <w:b/>
          <w:noProof/>
          <w:sz w:val="21"/>
          <w:szCs w:val="21"/>
          <w:lang w:bidi="ar-SA"/>
        </w:rPr>
        <w:drawing>
          <wp:inline distT="0" distB="0" distL="0" distR="0" wp14:anchorId="12463206" wp14:editId="2F636942">
            <wp:extent cx="6635750" cy="29527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 BC Index hypotečních úvěrů - leden 2024.jpg"/>
                    <pic:cNvPicPr/>
                  </pic:nvPicPr>
                  <pic:blipFill>
                    <a:blip r:embed="rId29">
                      <a:extLst>
                        <a:ext uri="{28A0092B-C50C-407E-A947-70E740481C1C}">
                          <a14:useLocalDpi xmlns:a14="http://schemas.microsoft.com/office/drawing/2010/main" val="0"/>
                        </a:ext>
                      </a:extLst>
                    </a:blip>
                    <a:stretch>
                      <a:fillRect/>
                    </a:stretch>
                  </pic:blipFill>
                  <pic:spPr>
                    <a:xfrm>
                      <a:off x="0" y="0"/>
                      <a:ext cx="6635750" cy="2952750"/>
                    </a:xfrm>
                    <a:prstGeom prst="rect">
                      <a:avLst/>
                    </a:prstGeom>
                  </pic:spPr>
                </pic:pic>
              </a:graphicData>
            </a:graphic>
          </wp:inline>
        </w:drawing>
      </w:r>
    </w:p>
    <w:p w14:paraId="4BAC76FF" w14:textId="77777777" w:rsidR="00E65551" w:rsidRDefault="00E65551" w:rsidP="00E65551">
      <w:pPr>
        <w:spacing w:after="120"/>
        <w:ind w:right="40"/>
        <w:rPr>
          <w:rFonts w:asciiTheme="minorHAnsi" w:hAnsiTheme="minorHAnsi" w:cstheme="minorHAnsi"/>
          <w:b/>
          <w:sz w:val="21"/>
          <w:szCs w:val="21"/>
        </w:rPr>
      </w:pPr>
    </w:p>
    <w:p w14:paraId="6523ED99" w14:textId="4F495771" w:rsidR="00C568D7" w:rsidRPr="00B24985" w:rsidRDefault="00C568D7" w:rsidP="00E65551">
      <w:pPr>
        <w:spacing w:after="120"/>
        <w:ind w:right="40"/>
        <w:rPr>
          <w:rFonts w:asciiTheme="minorHAnsi" w:hAnsiTheme="minorHAnsi" w:cstheme="minorHAnsi"/>
          <w:b/>
          <w:sz w:val="21"/>
          <w:szCs w:val="21"/>
        </w:rPr>
      </w:pPr>
      <w:r w:rsidRPr="00B24985">
        <w:rPr>
          <w:rFonts w:asciiTheme="minorHAnsi" w:hAnsiTheme="minorHAnsi" w:cstheme="minorHAnsi"/>
          <w:b/>
          <w:sz w:val="21"/>
          <w:szCs w:val="21"/>
        </w:rPr>
        <w:t>Hypotéka zatíží rodinný rozpočet na řadu let</w:t>
      </w:r>
    </w:p>
    <w:p w14:paraId="2E5F0596" w14:textId="1E5982FE" w:rsidR="00C568D7" w:rsidRPr="00B24985" w:rsidRDefault="00C568D7" w:rsidP="00C568D7">
      <w:pPr>
        <w:spacing w:after="120"/>
        <w:rPr>
          <w:rFonts w:asciiTheme="minorHAnsi" w:hAnsiTheme="minorHAnsi" w:cstheme="minorHAnsi"/>
          <w:b/>
          <w:sz w:val="21"/>
          <w:szCs w:val="21"/>
        </w:rPr>
      </w:pPr>
      <w:r w:rsidRPr="00B24985">
        <w:rPr>
          <w:rFonts w:asciiTheme="minorHAnsi" w:hAnsiTheme="minorHAnsi" w:cstheme="minorHAnsi"/>
          <w:bCs/>
          <w:sz w:val="21"/>
          <w:szCs w:val="21"/>
        </w:rPr>
        <w:t xml:space="preserve">S mírným poklesem průměrné </w:t>
      </w:r>
      <w:r w:rsidR="00E65551">
        <w:rPr>
          <w:rFonts w:asciiTheme="minorHAnsi" w:hAnsiTheme="minorHAnsi" w:cstheme="minorHAnsi"/>
          <w:bCs/>
          <w:sz w:val="21"/>
          <w:szCs w:val="21"/>
        </w:rPr>
        <w:t>ú</w:t>
      </w:r>
      <w:r w:rsidRPr="00B24985">
        <w:rPr>
          <w:rFonts w:asciiTheme="minorHAnsi" w:hAnsiTheme="minorHAnsi" w:cstheme="minorHAnsi"/>
          <w:bCs/>
          <w:sz w:val="21"/>
          <w:szCs w:val="21"/>
        </w:rPr>
        <w:t xml:space="preserve">rokové sazby u hypoték počítá také lednový předstihový ukazatel. Jeho hodnota klesla oproti minulému měsíci </w:t>
      </w:r>
      <w:r w:rsidR="00E65551">
        <w:rPr>
          <w:rFonts w:asciiTheme="minorHAnsi" w:hAnsiTheme="minorHAnsi" w:cstheme="minorHAnsi"/>
          <w:bCs/>
          <w:sz w:val="21"/>
          <w:szCs w:val="21"/>
        </w:rPr>
        <w:t>o 0,11procentního bodu na 5,70 procenta</w:t>
      </w:r>
      <w:r w:rsidRPr="00B24985">
        <w:rPr>
          <w:rFonts w:asciiTheme="minorHAnsi" w:hAnsiTheme="minorHAnsi" w:cstheme="minorHAnsi"/>
          <w:bCs/>
          <w:sz w:val="21"/>
          <w:szCs w:val="21"/>
        </w:rPr>
        <w:t xml:space="preserve">. Další vývoj samozřejmě záleží na tom, k jak rychlému snižování úrokových sazeb přistoupí Česká národní banka. </w:t>
      </w:r>
      <w:r w:rsidRPr="00B24985">
        <w:rPr>
          <w:rFonts w:asciiTheme="minorHAnsi" w:hAnsiTheme="minorHAnsi" w:cstheme="minorHAnsi"/>
          <w:bCs/>
          <w:i/>
          <w:iCs/>
          <w:sz w:val="21"/>
          <w:szCs w:val="21"/>
        </w:rPr>
        <w:t xml:space="preserve">„Pokud bude centrální banka snižovat o 0,25procentního bodu na každém letošním zasedání, můžeme očekávat, že na konci roku 2024 budou sazby pro fix na 5 let mezi 3,5 až 4,5 procenty,“ </w:t>
      </w:r>
      <w:r w:rsidRPr="00B24985">
        <w:rPr>
          <w:rFonts w:asciiTheme="minorHAnsi" w:hAnsiTheme="minorHAnsi" w:cstheme="minorHAnsi"/>
          <w:bCs/>
          <w:sz w:val="21"/>
          <w:szCs w:val="21"/>
        </w:rPr>
        <w:t xml:space="preserve">říká </w:t>
      </w:r>
      <w:r w:rsidRPr="00B24985">
        <w:rPr>
          <w:rFonts w:asciiTheme="minorHAnsi" w:hAnsiTheme="minorHAnsi" w:cstheme="minorHAnsi"/>
          <w:b/>
          <w:sz w:val="21"/>
          <w:szCs w:val="21"/>
        </w:rPr>
        <w:t xml:space="preserve">Martin Novák, hlavní analytik společnosti Broker Consulting. </w:t>
      </w:r>
    </w:p>
    <w:p w14:paraId="0E6620C4" w14:textId="50D195F7" w:rsidR="00C568D7" w:rsidRPr="00B24985" w:rsidRDefault="00C568D7" w:rsidP="00C568D7">
      <w:pPr>
        <w:spacing w:after="120"/>
        <w:rPr>
          <w:rFonts w:asciiTheme="minorHAnsi" w:hAnsiTheme="minorHAnsi" w:cstheme="minorHAnsi"/>
          <w:bCs/>
          <w:sz w:val="21"/>
          <w:szCs w:val="21"/>
        </w:rPr>
      </w:pPr>
      <w:r w:rsidRPr="00B24985">
        <w:rPr>
          <w:rFonts w:asciiTheme="minorHAnsi" w:hAnsiTheme="minorHAnsi" w:cstheme="minorHAnsi"/>
          <w:bCs/>
          <w:sz w:val="21"/>
          <w:szCs w:val="21"/>
        </w:rPr>
        <w:t>I přes tento předpokládaný vývoj podle odborníků stále trvá doporučení spíše kratších fixací úrokových sazeb hypoték. „</w:t>
      </w:r>
      <w:r w:rsidRPr="00B24985">
        <w:rPr>
          <w:rFonts w:asciiTheme="minorHAnsi" w:hAnsiTheme="minorHAnsi" w:cstheme="minorHAnsi"/>
          <w:bCs/>
          <w:i/>
          <w:iCs/>
          <w:sz w:val="21"/>
          <w:szCs w:val="21"/>
        </w:rPr>
        <w:t>V tuto chvíli doporučujeme tří maximálně pěti leté fixace podle toho, jaká sazba bude pro klienta výhodnější i s ohledem na budoucí vývoj. S takovým chováním klientů banky počítají a nastavují podle toho své podmínky. Nejkratší sazba na jeden rok se z toho důvodu momentálně nevyplatí,“</w:t>
      </w:r>
      <w:r w:rsidRPr="00B24985">
        <w:rPr>
          <w:rFonts w:asciiTheme="minorHAnsi" w:hAnsiTheme="minorHAnsi" w:cstheme="minorHAnsi"/>
          <w:bCs/>
          <w:sz w:val="21"/>
          <w:szCs w:val="21"/>
        </w:rPr>
        <w:t xml:space="preserve"> radí </w:t>
      </w:r>
      <w:r w:rsidRPr="00B24985">
        <w:rPr>
          <w:rFonts w:asciiTheme="minorHAnsi" w:hAnsiTheme="minorHAnsi" w:cstheme="minorHAnsi"/>
          <w:b/>
          <w:sz w:val="21"/>
          <w:szCs w:val="21"/>
        </w:rPr>
        <w:t xml:space="preserve">Martin Novák </w:t>
      </w:r>
      <w:r w:rsidRPr="00B24985">
        <w:rPr>
          <w:rFonts w:asciiTheme="minorHAnsi" w:hAnsiTheme="minorHAnsi" w:cstheme="minorHAnsi"/>
          <w:bCs/>
          <w:sz w:val="21"/>
          <w:szCs w:val="21"/>
        </w:rPr>
        <w:t>a</w:t>
      </w:r>
      <w:r w:rsidR="00E65551">
        <w:rPr>
          <w:rFonts w:asciiTheme="minorHAnsi" w:hAnsiTheme="minorHAnsi" w:cstheme="minorHAnsi"/>
          <w:bCs/>
          <w:sz w:val="21"/>
          <w:szCs w:val="21"/>
        </w:rPr>
        <w:t xml:space="preserve"> zároveň</w:t>
      </w:r>
      <w:r w:rsidRPr="00B24985">
        <w:rPr>
          <w:rFonts w:asciiTheme="minorHAnsi" w:hAnsiTheme="minorHAnsi" w:cstheme="minorHAnsi"/>
          <w:bCs/>
          <w:sz w:val="21"/>
          <w:szCs w:val="21"/>
        </w:rPr>
        <w:t xml:space="preserve"> dodává, že by tím ale nemělo být ovlivněno rozhodnutí vzít si hypotéku. Před tímto rozhodnutím je spíš nutné zvážit dva aspekty: Spočítat si příjmy a výdaje a podle toho </w:t>
      </w:r>
      <w:r w:rsidR="00E65551">
        <w:rPr>
          <w:rFonts w:asciiTheme="minorHAnsi" w:hAnsiTheme="minorHAnsi" w:cstheme="minorHAnsi"/>
          <w:bCs/>
          <w:sz w:val="21"/>
          <w:szCs w:val="21"/>
        </w:rPr>
        <w:t xml:space="preserve">se </w:t>
      </w:r>
      <w:r w:rsidRPr="00B24985">
        <w:rPr>
          <w:rFonts w:asciiTheme="minorHAnsi" w:hAnsiTheme="minorHAnsi" w:cstheme="minorHAnsi"/>
          <w:bCs/>
          <w:sz w:val="21"/>
          <w:szCs w:val="21"/>
        </w:rPr>
        <w:t xml:space="preserve">zodpovědně rozhodnout, zda bude splácení hypotéky </w:t>
      </w:r>
      <w:r w:rsidR="00E65551">
        <w:rPr>
          <w:rFonts w:asciiTheme="minorHAnsi" w:hAnsiTheme="minorHAnsi" w:cstheme="minorHAnsi"/>
          <w:bCs/>
          <w:sz w:val="21"/>
          <w:szCs w:val="21"/>
        </w:rPr>
        <w:t xml:space="preserve">bez problémů. Také je potřeba </w:t>
      </w:r>
      <w:r w:rsidRPr="00B24985">
        <w:rPr>
          <w:rFonts w:asciiTheme="minorHAnsi" w:hAnsiTheme="minorHAnsi" w:cstheme="minorHAnsi"/>
          <w:bCs/>
          <w:sz w:val="21"/>
          <w:szCs w:val="21"/>
        </w:rPr>
        <w:t xml:space="preserve">počítat s tím, že </w:t>
      </w:r>
      <w:r w:rsidR="00E65551">
        <w:rPr>
          <w:rFonts w:asciiTheme="minorHAnsi" w:hAnsiTheme="minorHAnsi" w:cstheme="minorHAnsi"/>
          <w:bCs/>
          <w:sz w:val="21"/>
          <w:szCs w:val="21"/>
        </w:rPr>
        <w:t xml:space="preserve">úvěr na </w:t>
      </w:r>
      <w:r w:rsidRPr="00B24985">
        <w:rPr>
          <w:rFonts w:asciiTheme="minorHAnsi" w:hAnsiTheme="minorHAnsi" w:cstheme="minorHAnsi"/>
          <w:bCs/>
          <w:sz w:val="21"/>
          <w:szCs w:val="21"/>
        </w:rPr>
        <w:lastRenderedPageBreak/>
        <w:t>bydlení zatíží rodinný rozpočet na mnoho let</w:t>
      </w:r>
      <w:r w:rsidR="00985386">
        <w:rPr>
          <w:rFonts w:asciiTheme="minorHAnsi" w:hAnsiTheme="minorHAnsi" w:cstheme="minorHAnsi"/>
          <w:bCs/>
          <w:sz w:val="21"/>
          <w:szCs w:val="21"/>
        </w:rPr>
        <w:t xml:space="preserve"> dopředu</w:t>
      </w:r>
      <w:r w:rsidRPr="00B24985">
        <w:rPr>
          <w:rFonts w:asciiTheme="minorHAnsi" w:hAnsiTheme="minorHAnsi" w:cstheme="minorHAnsi"/>
          <w:bCs/>
          <w:sz w:val="21"/>
          <w:szCs w:val="21"/>
        </w:rPr>
        <w:t xml:space="preserve">. </w:t>
      </w:r>
    </w:p>
    <w:p w14:paraId="7F03A770" w14:textId="77777777" w:rsidR="00C568D7" w:rsidRPr="00B24985" w:rsidRDefault="00C568D7" w:rsidP="00C568D7">
      <w:pPr>
        <w:spacing w:after="120"/>
        <w:rPr>
          <w:rFonts w:asciiTheme="minorHAnsi" w:hAnsiTheme="minorHAnsi" w:cstheme="minorHAnsi"/>
          <w:b/>
          <w:sz w:val="21"/>
          <w:szCs w:val="21"/>
        </w:rPr>
      </w:pPr>
      <w:r w:rsidRPr="00B24985">
        <w:rPr>
          <w:rFonts w:asciiTheme="minorHAnsi" w:hAnsiTheme="minorHAnsi" w:cstheme="minorHAnsi"/>
          <w:b/>
          <w:sz w:val="21"/>
          <w:szCs w:val="21"/>
        </w:rPr>
        <w:t>Předčasné splacení hypotéky bude mít nové podmínky</w:t>
      </w:r>
    </w:p>
    <w:p w14:paraId="4A3B6248" w14:textId="7E4B34BC" w:rsidR="00C568D7" w:rsidRPr="00B24985" w:rsidRDefault="00C568D7" w:rsidP="00C568D7">
      <w:pPr>
        <w:spacing w:after="120"/>
        <w:rPr>
          <w:rFonts w:eastAsia="Times New Roman"/>
          <w:sz w:val="21"/>
          <w:szCs w:val="21"/>
        </w:rPr>
      </w:pPr>
      <w:r w:rsidRPr="00B24985">
        <w:rPr>
          <w:rFonts w:asciiTheme="minorHAnsi" w:hAnsiTheme="minorHAnsi" w:cstheme="minorHAnsi"/>
          <w:bCs/>
          <w:sz w:val="21"/>
          <w:szCs w:val="21"/>
        </w:rPr>
        <w:t xml:space="preserve">Splatit hypoteční úvěr dříve, než bylo původně sjednáno s bankou a osvobodit se tím od mandatorního nákladu není pro Čechy vůbec raritou. Aktuální pravidla pro předčasné splacení byla ale upravena poměrně vágně, což mění novela schválená na konci minulého roku. Od září 2024 začnou u hypoték platit nová pravidla předčasného splacení, zákon jasně stanovuje pokutu a výpočet její výše. Změny se dotknou zcela nových smluv, tak i těch stávajících, to ale až od začátku nové fixace. </w:t>
      </w:r>
      <w:r w:rsidRPr="00B24985">
        <w:rPr>
          <w:rFonts w:asciiTheme="minorHAnsi" w:hAnsiTheme="minorHAnsi" w:cstheme="minorHAnsi"/>
          <w:bCs/>
          <w:i/>
          <w:iCs/>
          <w:sz w:val="21"/>
          <w:szCs w:val="21"/>
        </w:rPr>
        <w:t xml:space="preserve">„Celkový limit náhrady je stanoven na maximálně na jedno procento z předčasně splácené částky, maximálně čtvrt procenta za každý rok do konce fixace,“ </w:t>
      </w:r>
      <w:r w:rsidR="00243384">
        <w:rPr>
          <w:rFonts w:asciiTheme="minorHAnsi" w:hAnsiTheme="minorHAnsi" w:cstheme="minorHAnsi"/>
          <w:b/>
          <w:sz w:val="21"/>
          <w:szCs w:val="21"/>
        </w:rPr>
        <w:t>popisuje</w:t>
      </w:r>
      <w:r w:rsidRPr="00B24985">
        <w:rPr>
          <w:rFonts w:asciiTheme="minorHAnsi" w:hAnsiTheme="minorHAnsi" w:cstheme="minorHAnsi"/>
          <w:b/>
          <w:sz w:val="21"/>
          <w:szCs w:val="21"/>
        </w:rPr>
        <w:t xml:space="preserve"> </w:t>
      </w:r>
      <w:r w:rsidR="00243384">
        <w:rPr>
          <w:rFonts w:asciiTheme="minorHAnsi" w:hAnsiTheme="minorHAnsi" w:cstheme="minorHAnsi"/>
          <w:b/>
          <w:sz w:val="21"/>
          <w:szCs w:val="21"/>
        </w:rPr>
        <w:t xml:space="preserve">Michaela </w:t>
      </w:r>
      <w:r w:rsidRPr="00B24985">
        <w:rPr>
          <w:rFonts w:asciiTheme="minorHAnsi" w:hAnsiTheme="minorHAnsi" w:cstheme="minorHAnsi"/>
          <w:b/>
          <w:sz w:val="21"/>
          <w:szCs w:val="21"/>
        </w:rPr>
        <w:t>Pudilová</w:t>
      </w:r>
      <w:r w:rsidRPr="00B24985">
        <w:rPr>
          <w:rFonts w:asciiTheme="minorHAnsi" w:hAnsiTheme="minorHAnsi" w:cstheme="minorHAnsi"/>
          <w:bCs/>
          <w:sz w:val="21"/>
          <w:szCs w:val="21"/>
        </w:rPr>
        <w:t xml:space="preserve">. Podle </w:t>
      </w:r>
      <w:r w:rsidR="00243384">
        <w:rPr>
          <w:rFonts w:asciiTheme="minorHAnsi" w:hAnsiTheme="minorHAnsi" w:cstheme="minorHAnsi"/>
          <w:bCs/>
          <w:sz w:val="21"/>
          <w:szCs w:val="21"/>
        </w:rPr>
        <w:t>analytiků z </w:t>
      </w:r>
      <w:proofErr w:type="gramStart"/>
      <w:r w:rsidR="00243384">
        <w:rPr>
          <w:rFonts w:asciiTheme="minorHAnsi" w:hAnsiTheme="minorHAnsi" w:cstheme="minorHAnsi"/>
          <w:bCs/>
          <w:sz w:val="21"/>
          <w:szCs w:val="21"/>
        </w:rPr>
        <w:t>Broker</w:t>
      </w:r>
      <w:proofErr w:type="gramEnd"/>
      <w:r w:rsidR="00243384">
        <w:rPr>
          <w:rFonts w:asciiTheme="minorHAnsi" w:hAnsiTheme="minorHAnsi" w:cstheme="minorHAnsi"/>
          <w:bCs/>
          <w:sz w:val="21"/>
          <w:szCs w:val="21"/>
        </w:rPr>
        <w:t xml:space="preserve"> Consulting</w:t>
      </w:r>
      <w:r w:rsidRPr="00B24985">
        <w:rPr>
          <w:rFonts w:asciiTheme="minorHAnsi" w:hAnsiTheme="minorHAnsi" w:cstheme="minorHAnsi"/>
          <w:bCs/>
          <w:sz w:val="21"/>
          <w:szCs w:val="21"/>
        </w:rPr>
        <w:t xml:space="preserve"> právě tato úprava přinese na trh s hypotečními úvěry určité uklidnění, protože klient si nyní jednoduše spočítá, jaká bude pokuta za mimořádnou splátku a nebude muset čekat, jak se k ní jeho banka postaví.</w:t>
      </w:r>
      <w:r w:rsidRPr="00B24985">
        <w:rPr>
          <w:rFonts w:eastAsia="Times New Roman"/>
          <w:sz w:val="21"/>
          <w:szCs w:val="21"/>
        </w:rPr>
        <w:t xml:space="preserve"> </w:t>
      </w:r>
    </w:p>
    <w:p w14:paraId="31C4C770" w14:textId="69BEFF67" w:rsidR="00C568D7" w:rsidRPr="00B24985" w:rsidRDefault="00C568D7" w:rsidP="00C568D7">
      <w:pPr>
        <w:spacing w:after="120"/>
        <w:rPr>
          <w:rFonts w:asciiTheme="minorHAnsi" w:hAnsiTheme="minorHAnsi" w:cstheme="minorHAnsi"/>
          <w:bCs/>
          <w:sz w:val="21"/>
          <w:szCs w:val="21"/>
        </w:rPr>
      </w:pPr>
      <w:r w:rsidRPr="00B24985">
        <w:rPr>
          <w:rFonts w:asciiTheme="minorHAnsi" w:hAnsiTheme="minorHAnsi" w:cstheme="minorHAnsi"/>
          <w:bCs/>
          <w:sz w:val="21"/>
          <w:szCs w:val="21"/>
        </w:rPr>
        <w:t>Vedle jasného stanovení výpočtu pokuty za předčasné splacení úvěru novela také rozšiřuje možnosti předčasného splacení bez poplatků v těžkých životních situacích. To platí například pro vypořádání společného jmění manželů při rozvodu. Předčasné splacení zdarma bylo podle aktuálně platné úpravy možné například v případě smrti dlužníka nebo jeho partnera nebo v případě událostí jako je invalidita. „</w:t>
      </w:r>
      <w:r w:rsidRPr="005E7AEF">
        <w:rPr>
          <w:rFonts w:asciiTheme="minorHAnsi" w:hAnsiTheme="minorHAnsi" w:cstheme="minorHAnsi"/>
          <w:bCs/>
          <w:i/>
          <w:sz w:val="21"/>
          <w:szCs w:val="21"/>
        </w:rPr>
        <w:t>Díky zakotvení pokuty do zákona si myslím, že by hypoteční úvěry mohly částečně zlevnit. Poskytování těchto úvěrů je totiž obchod jako každý jiný a má i svá rizika pro banky. Pro ty byly rizikové právě mimořádné splátky. Banky pak tato rizika promítaly koncovým klientům do výše sazby, leckdy sice jen o 0,1procentního bodu, ale přec</w:t>
      </w:r>
      <w:r w:rsidRPr="00B24985">
        <w:rPr>
          <w:rFonts w:asciiTheme="minorHAnsi" w:hAnsiTheme="minorHAnsi" w:cstheme="minorHAnsi"/>
          <w:bCs/>
          <w:sz w:val="21"/>
          <w:szCs w:val="21"/>
        </w:rPr>
        <w:t xml:space="preserve">i,“ uzavírá </w:t>
      </w:r>
      <w:r w:rsidRPr="005E7AEF">
        <w:rPr>
          <w:rFonts w:asciiTheme="minorHAnsi" w:hAnsiTheme="minorHAnsi" w:cstheme="minorHAnsi"/>
          <w:b/>
          <w:bCs/>
          <w:sz w:val="21"/>
          <w:szCs w:val="21"/>
        </w:rPr>
        <w:t>Martin Novák</w:t>
      </w:r>
      <w:r w:rsidRPr="00B24985">
        <w:rPr>
          <w:rFonts w:asciiTheme="minorHAnsi" w:hAnsiTheme="minorHAnsi" w:cstheme="minorHAnsi"/>
          <w:bCs/>
          <w:sz w:val="21"/>
          <w:szCs w:val="21"/>
        </w:rPr>
        <w:t>.</w:t>
      </w:r>
    </w:p>
    <w:p w14:paraId="7E86B385" w14:textId="77777777" w:rsidR="00C568D7" w:rsidRDefault="00C568D7" w:rsidP="00C568D7">
      <w:pPr>
        <w:pBdr>
          <w:bottom w:val="single" w:sz="4" w:space="1" w:color="auto"/>
        </w:pBdr>
        <w:spacing w:before="200" w:after="200"/>
        <w:ind w:right="40"/>
        <w:rPr>
          <w:rFonts w:asciiTheme="minorHAnsi" w:hAnsiTheme="minorHAnsi" w:cstheme="minorHAnsi"/>
          <w:b/>
          <w:i/>
          <w:noProof/>
          <w:color w:val="FF0000"/>
          <w:sz w:val="21"/>
          <w:szCs w:val="21"/>
          <w:lang w:bidi="ar-SA"/>
        </w:rPr>
      </w:pPr>
      <w:bookmarkStart w:id="0" w:name="_GoBack"/>
      <w:bookmarkEnd w:id="0"/>
    </w:p>
    <w:p w14:paraId="06153168" w14:textId="4D2CA7A0" w:rsidR="00236A37" w:rsidRPr="00AB7BAF" w:rsidRDefault="00C42CA5" w:rsidP="007B1851">
      <w:pPr>
        <w:spacing w:before="240" w:after="120"/>
        <w:rPr>
          <w:rFonts w:asciiTheme="minorHAnsi" w:hAnsiTheme="minorHAnsi" w:cstheme="minorHAnsi"/>
          <w:sz w:val="21"/>
          <w:szCs w:val="21"/>
        </w:rPr>
      </w:pPr>
      <w:r w:rsidRPr="00AB7BAF">
        <w:rPr>
          <w:rFonts w:asciiTheme="minorHAnsi" w:hAnsiTheme="minorHAnsi" w:cstheme="minorHAnsi"/>
          <w:sz w:val="21"/>
          <w:szCs w:val="21"/>
        </w:rPr>
        <w:t>Broker Consulting Index hypotečních úvěrů je analytický nástroj</w:t>
      </w:r>
      <w:r w:rsidR="00113603" w:rsidRPr="00AB7BAF">
        <w:rPr>
          <w:rFonts w:asciiTheme="minorHAnsi" w:hAnsiTheme="minorHAnsi" w:cstheme="minorHAnsi"/>
          <w:sz w:val="21"/>
          <w:szCs w:val="21"/>
        </w:rPr>
        <w:t xml:space="preserve"> znázorňující</w:t>
      </w:r>
      <w:r w:rsidRPr="00AB7BAF">
        <w:rPr>
          <w:rFonts w:asciiTheme="minorHAnsi" w:hAnsiTheme="minorHAnsi" w:cstheme="minorHAnsi"/>
          <w:sz w:val="21"/>
          <w:szCs w:val="21"/>
        </w:rPr>
        <w:t xml:space="preserve"> průměrnou úrokovou sazbu u hypotečních úvěrů, </w:t>
      </w:r>
      <w:r w:rsidR="00113603" w:rsidRPr="00AB7BAF">
        <w:rPr>
          <w:rFonts w:asciiTheme="minorHAnsi" w:hAnsiTheme="minorHAnsi" w:cstheme="minorHAnsi"/>
          <w:sz w:val="21"/>
          <w:szCs w:val="21"/>
        </w:rPr>
        <w:t>které</w:t>
      </w:r>
      <w:r w:rsidRPr="00AB7BAF">
        <w:rPr>
          <w:rFonts w:asciiTheme="minorHAnsi" w:hAnsiTheme="minorHAnsi" w:cstheme="minorHAnsi"/>
          <w:sz w:val="21"/>
          <w:szCs w:val="21"/>
        </w:rPr>
        <w:t xml:space="preserve"> zprostředkovali konzultanti Broker Consulting a pobočky OK POINT u kteréhokoli poskytovatele hypotečních úvěrů. Jedná se o vážený aritmetický průměr, kdy hlavní vahou je objem úvěru. Tedy čím vyšší úvěr, tím jeho sazba </w:t>
      </w:r>
      <w:r w:rsidR="00113603" w:rsidRPr="00AB7BAF">
        <w:rPr>
          <w:rFonts w:asciiTheme="minorHAnsi" w:hAnsiTheme="minorHAnsi" w:cstheme="minorHAnsi"/>
          <w:sz w:val="21"/>
          <w:szCs w:val="21"/>
        </w:rPr>
        <w:t xml:space="preserve">vstupuje </w:t>
      </w:r>
      <w:r w:rsidRPr="00AB7BAF">
        <w:rPr>
          <w:rFonts w:asciiTheme="minorHAnsi" w:hAnsiTheme="minorHAnsi" w:cstheme="minorHAnsi"/>
          <w:sz w:val="21"/>
          <w:szCs w:val="21"/>
        </w:rPr>
        <w:t xml:space="preserve">do indexu větší vahou. </w:t>
      </w:r>
      <w:r w:rsidRPr="00AB7BAF">
        <w:rPr>
          <w:rFonts w:asciiTheme="minorHAnsi" w:hAnsiTheme="minorHAnsi" w:cstheme="minorHAnsi"/>
          <w:b/>
          <w:sz w:val="21"/>
          <w:szCs w:val="21"/>
        </w:rPr>
        <w:t xml:space="preserve">Výhodou metody výpočtu </w:t>
      </w:r>
      <w:r w:rsidR="00C7532A" w:rsidRPr="00AB7BAF">
        <w:rPr>
          <w:rFonts w:asciiTheme="minorHAnsi" w:hAnsiTheme="minorHAnsi" w:cstheme="minorHAnsi"/>
          <w:b/>
          <w:sz w:val="21"/>
          <w:szCs w:val="21"/>
        </w:rPr>
        <w:t xml:space="preserve">indexu </w:t>
      </w:r>
      <w:r w:rsidRPr="00AB7BAF">
        <w:rPr>
          <w:rFonts w:asciiTheme="minorHAnsi" w:hAnsiTheme="minorHAnsi" w:cstheme="minorHAnsi"/>
          <w:b/>
          <w:sz w:val="21"/>
          <w:szCs w:val="21"/>
        </w:rPr>
        <w:t>je skutečnost, že se do statistiky dostávají pouze skutečně schválené úvěry, a to bez výjimky všechny.</w:t>
      </w:r>
      <w:r w:rsidRPr="00AB7BAF">
        <w:rPr>
          <w:rFonts w:asciiTheme="minorHAnsi" w:hAnsiTheme="minorHAnsi" w:cstheme="minorHAnsi"/>
          <w:sz w:val="21"/>
          <w:szCs w:val="21"/>
        </w:rPr>
        <w:t xml:space="preserve"> Nemůže tak dojít ke zkreslení informací a index není závislý na dodávkách třetích stran. </w:t>
      </w:r>
    </w:p>
    <w:p w14:paraId="70EFA666" w14:textId="4A6CAE48" w:rsidR="002E6DB6" w:rsidRPr="00AB7BAF" w:rsidRDefault="00C42CA5" w:rsidP="007B1851">
      <w:pPr>
        <w:spacing w:after="120"/>
        <w:rPr>
          <w:rFonts w:asciiTheme="minorHAnsi" w:hAnsiTheme="minorHAnsi" w:cstheme="minorHAnsi"/>
          <w:sz w:val="21"/>
          <w:szCs w:val="21"/>
        </w:rPr>
      </w:pPr>
      <w:r w:rsidRPr="00AB7BAF">
        <w:rPr>
          <w:rFonts w:asciiTheme="minorHAnsi" w:hAnsiTheme="minorHAnsi" w:cstheme="minorHAnsi"/>
          <w:sz w:val="21"/>
          <w:szCs w:val="21"/>
        </w:rPr>
        <w:t>V principu se Broker Consulting Index hypotečních úvěrů počítá ze sazeb, které jsou v danou chvíli pro daného klienta nejnižší na trhu</w:t>
      </w:r>
      <w:r w:rsidR="00FA2D1E" w:rsidRPr="00AB7BAF">
        <w:rPr>
          <w:rFonts w:asciiTheme="minorHAnsi" w:hAnsiTheme="minorHAnsi" w:cstheme="minorHAnsi"/>
          <w:sz w:val="21"/>
          <w:szCs w:val="21"/>
        </w:rPr>
        <w:t>,</w:t>
      </w:r>
      <w:r w:rsidRPr="00AB7BAF">
        <w:rPr>
          <w:rFonts w:asciiTheme="minorHAnsi" w:hAnsiTheme="minorHAnsi" w:cstheme="minorHAnsi"/>
          <w:sz w:val="21"/>
          <w:szCs w:val="21"/>
        </w:rPr>
        <w:t xml:space="preserve"> </w:t>
      </w:r>
      <w:r w:rsidR="00FA2D1E" w:rsidRPr="00AB7BAF">
        <w:rPr>
          <w:rFonts w:asciiTheme="minorHAnsi" w:hAnsiTheme="minorHAnsi" w:cstheme="minorHAnsi"/>
          <w:sz w:val="21"/>
          <w:szCs w:val="21"/>
        </w:rPr>
        <w:t>a</w:t>
      </w:r>
      <w:r w:rsidRPr="00AB7BAF">
        <w:rPr>
          <w:rFonts w:asciiTheme="minorHAnsi" w:hAnsiTheme="minorHAnsi" w:cstheme="minorHAnsi"/>
          <w:sz w:val="21"/>
          <w:szCs w:val="21"/>
        </w:rPr>
        <w:t xml:space="preserve">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přesahujícím 13 miliard korun. </w:t>
      </w:r>
    </w:p>
    <w:p w14:paraId="4A4E372E" w14:textId="0BB6F940" w:rsidR="00CA1806" w:rsidRDefault="002E6DB6" w:rsidP="00C21F84">
      <w:pPr>
        <w:pBdr>
          <w:bottom w:val="single" w:sz="4" w:space="1" w:color="auto"/>
        </w:pBdr>
        <w:spacing w:after="120"/>
        <w:rPr>
          <w:rFonts w:asciiTheme="minorHAnsi" w:hAnsiTheme="minorHAnsi" w:cstheme="minorHAnsi"/>
          <w:sz w:val="21"/>
          <w:szCs w:val="21"/>
        </w:rPr>
      </w:pPr>
      <w:r w:rsidRPr="00AB7BAF">
        <w:rPr>
          <w:rFonts w:asciiTheme="minorHAnsi" w:hAnsiTheme="minorHAnsi" w:cstheme="minorHAnsi"/>
          <w:color w:val="000000"/>
          <w:sz w:val="21"/>
          <w:szCs w:val="21"/>
        </w:rPr>
        <w:t>Předstihový ukazatel Broker Consulting Indexu hypotečních úvěrů a jeho výpočet rea</w:t>
      </w:r>
      <w:r w:rsidR="008C75D3" w:rsidRPr="00AB7BAF">
        <w:rPr>
          <w:rFonts w:asciiTheme="minorHAnsi" w:hAnsiTheme="minorHAnsi" w:cstheme="minorHAnsi"/>
          <w:color w:val="000000"/>
          <w:sz w:val="21"/>
          <w:szCs w:val="21"/>
        </w:rPr>
        <w:t>guje na potřebu aktuálního výhledu výše sazeb, ve kterém se budou v daném měsíci poskytovat hypoteční úvěry zprostředkovávané od většiny bankovních institucí v tuzemsku. Ve výpočtu jde o aritmetick</w:t>
      </w:r>
      <w:r w:rsidR="00057F54" w:rsidRPr="00AB7BAF">
        <w:rPr>
          <w:rFonts w:asciiTheme="minorHAnsi" w:hAnsiTheme="minorHAnsi" w:cstheme="minorHAnsi"/>
          <w:color w:val="000000"/>
          <w:sz w:val="21"/>
          <w:szCs w:val="21"/>
        </w:rPr>
        <w:t>ý průměr nabízených úrokových sazeb</w:t>
      </w:r>
      <w:r w:rsidR="00807AD4" w:rsidRPr="00AB7BAF">
        <w:rPr>
          <w:rFonts w:asciiTheme="minorHAnsi" w:hAnsiTheme="minorHAnsi" w:cstheme="minorHAnsi"/>
          <w:color w:val="000000"/>
          <w:sz w:val="21"/>
          <w:szCs w:val="21"/>
        </w:rPr>
        <w:t xml:space="preserve"> v konkrétním </w:t>
      </w:r>
      <w:r w:rsidR="008C75D3" w:rsidRPr="00AB7BAF">
        <w:rPr>
          <w:rFonts w:asciiTheme="minorHAnsi" w:hAnsiTheme="minorHAnsi" w:cstheme="minorHAnsi"/>
          <w:color w:val="000000"/>
          <w:sz w:val="21"/>
          <w:szCs w:val="21"/>
        </w:rPr>
        <w:t>měsíci, ve kterém se zveřejňují hodnoty Broker Consulting Indexu hypotečních úvěrů.</w:t>
      </w:r>
      <w:r w:rsidR="00CC3D3D" w:rsidRPr="00AB7BAF">
        <w:rPr>
          <w:rFonts w:asciiTheme="minorHAnsi" w:hAnsiTheme="minorHAnsi" w:cstheme="minorHAnsi"/>
          <w:color w:val="000000"/>
          <w:sz w:val="21"/>
          <w:szCs w:val="21"/>
        </w:rPr>
        <w:t xml:space="preserve"> Vzhledem ke statisti</w:t>
      </w:r>
      <w:r w:rsidR="004919CC" w:rsidRPr="00AB7BAF">
        <w:rPr>
          <w:rFonts w:asciiTheme="minorHAnsi" w:hAnsiTheme="minorHAnsi" w:cstheme="minorHAnsi"/>
          <w:color w:val="000000"/>
          <w:sz w:val="21"/>
          <w:szCs w:val="21"/>
        </w:rPr>
        <w:t>ce preferovaných fixací byla při výpoč</w:t>
      </w:r>
      <w:r w:rsidR="00CC3D3D" w:rsidRPr="00AB7BAF">
        <w:rPr>
          <w:rFonts w:asciiTheme="minorHAnsi" w:hAnsiTheme="minorHAnsi" w:cstheme="minorHAnsi"/>
          <w:color w:val="000000"/>
          <w:sz w:val="21"/>
          <w:szCs w:val="21"/>
        </w:rPr>
        <w:t>t</w:t>
      </w:r>
      <w:r w:rsidR="004919CC" w:rsidRPr="00AB7BAF">
        <w:rPr>
          <w:rFonts w:asciiTheme="minorHAnsi" w:hAnsiTheme="minorHAnsi" w:cstheme="minorHAnsi"/>
          <w:color w:val="000000"/>
          <w:sz w:val="21"/>
          <w:szCs w:val="21"/>
        </w:rPr>
        <w:t>u zohledněna</w:t>
      </w:r>
      <w:r w:rsidR="00CC3D3D" w:rsidRPr="00AB7BAF">
        <w:rPr>
          <w:rFonts w:asciiTheme="minorHAnsi" w:hAnsiTheme="minorHAnsi" w:cstheme="minorHAnsi"/>
          <w:color w:val="000000"/>
          <w:sz w:val="21"/>
          <w:szCs w:val="21"/>
        </w:rPr>
        <w:t xml:space="preserve"> pětiletá fixace úrokových sazeb.</w:t>
      </w:r>
    </w:p>
    <w:p w14:paraId="0584C559" w14:textId="77777777" w:rsidR="00C21F84" w:rsidRPr="00C21F84" w:rsidRDefault="00C21F84" w:rsidP="00C21F84">
      <w:pPr>
        <w:pBdr>
          <w:bottom w:val="single" w:sz="4" w:space="1" w:color="auto"/>
        </w:pBdr>
        <w:spacing w:after="120"/>
        <w:rPr>
          <w:rFonts w:asciiTheme="minorHAnsi" w:hAnsiTheme="minorHAnsi" w:cstheme="minorHAnsi"/>
          <w:sz w:val="21"/>
          <w:szCs w:val="21"/>
        </w:rPr>
      </w:pPr>
    </w:p>
    <w:p w14:paraId="5FCF3C96" w14:textId="79E57602" w:rsidR="00B01F39" w:rsidRPr="00C21F84" w:rsidRDefault="00C947C0" w:rsidP="007B1851">
      <w:pPr>
        <w:rPr>
          <w:rFonts w:asciiTheme="minorHAnsi" w:hAnsiTheme="minorHAnsi" w:cstheme="minorHAnsi"/>
          <w:i/>
          <w:color w:val="1D1D1B"/>
          <w:w w:val="105"/>
          <w:sz w:val="20"/>
          <w:szCs w:val="20"/>
        </w:rPr>
      </w:pPr>
      <w:r w:rsidRPr="00C21F84">
        <w:rPr>
          <w:rFonts w:asciiTheme="minorHAnsi" w:hAnsiTheme="minorHAnsi" w:cstheme="minorHAnsi"/>
          <w:b/>
          <w:sz w:val="20"/>
          <w:szCs w:val="20"/>
        </w:rPr>
        <w:t>P</w:t>
      </w:r>
      <w:r w:rsidR="00B37F41" w:rsidRPr="00C21F84">
        <w:rPr>
          <w:rFonts w:asciiTheme="minorHAnsi" w:hAnsiTheme="minorHAnsi" w:cstheme="minorHAnsi"/>
          <w:b/>
          <w:sz w:val="20"/>
          <w:szCs w:val="20"/>
        </w:rPr>
        <w:t>oznámka pro média:</w:t>
      </w:r>
      <w:r w:rsidR="00B37F41" w:rsidRPr="00C21F84">
        <w:rPr>
          <w:rFonts w:asciiTheme="minorHAnsi" w:hAnsiTheme="minorHAnsi" w:cstheme="minorHAnsi"/>
          <w:sz w:val="20"/>
          <w:szCs w:val="20"/>
        </w:rPr>
        <w:t xml:space="preserve"> </w:t>
      </w:r>
      <w:r w:rsidR="00B37F41" w:rsidRPr="00C21F84">
        <w:rPr>
          <w:rFonts w:asciiTheme="minorHAnsi" w:hAnsiTheme="minorHAnsi" w:cstheme="minorHAnsi"/>
          <w:color w:val="1D1D1B"/>
          <w:w w:val="105"/>
          <w:sz w:val="20"/>
          <w:szCs w:val="20"/>
        </w:rPr>
        <w:t>Broker</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Consulting</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Indexy</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je</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možné</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volně</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spacing w:val="2"/>
          <w:w w:val="105"/>
          <w:sz w:val="20"/>
          <w:szCs w:val="20"/>
        </w:rPr>
        <w:t>publikovat</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pouze</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s</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označením</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„Broker</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Consulting</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Index“</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spacing w:val="-3"/>
          <w:w w:val="105"/>
          <w:sz w:val="20"/>
          <w:szCs w:val="20"/>
        </w:rPr>
        <w:t>(</w:t>
      </w:r>
      <w:r w:rsidR="00B37F41" w:rsidRPr="00C21F84">
        <w:rPr>
          <w:rFonts w:asciiTheme="minorHAnsi" w:hAnsiTheme="minorHAnsi" w:cstheme="minorHAnsi"/>
          <w:i/>
          <w:color w:val="1D1D1B"/>
          <w:spacing w:val="-3"/>
          <w:w w:val="105"/>
          <w:sz w:val="20"/>
          <w:szCs w:val="20"/>
        </w:rPr>
        <w:t>např.</w:t>
      </w:r>
      <w:r w:rsidR="00B37F41" w:rsidRPr="00C21F84">
        <w:rPr>
          <w:rFonts w:asciiTheme="minorHAnsi" w:hAnsiTheme="minorHAnsi" w:cstheme="minorHAnsi"/>
          <w:i/>
          <w:color w:val="1D1D1B"/>
          <w:spacing w:val="-8"/>
          <w:w w:val="105"/>
          <w:sz w:val="20"/>
          <w:szCs w:val="20"/>
        </w:rPr>
        <w:t xml:space="preserve"> </w:t>
      </w:r>
      <w:r w:rsidR="00B37F41" w:rsidRPr="00C21F84">
        <w:rPr>
          <w:rFonts w:asciiTheme="minorHAnsi" w:hAnsiTheme="minorHAnsi" w:cstheme="minorHAnsi"/>
          <w:i/>
          <w:color w:val="1D1D1B"/>
          <w:w w:val="105"/>
          <w:sz w:val="20"/>
          <w:szCs w:val="20"/>
        </w:rPr>
        <w:t>Broker</w:t>
      </w:r>
      <w:r w:rsidR="00B37F41" w:rsidRPr="00C21F84">
        <w:rPr>
          <w:rFonts w:asciiTheme="minorHAnsi" w:hAnsiTheme="minorHAnsi" w:cstheme="minorHAnsi"/>
          <w:i/>
          <w:color w:val="1D1D1B"/>
          <w:spacing w:val="-9"/>
          <w:w w:val="105"/>
          <w:sz w:val="20"/>
          <w:szCs w:val="20"/>
        </w:rPr>
        <w:t xml:space="preserve"> </w:t>
      </w:r>
      <w:r w:rsidR="00B37F41" w:rsidRPr="00C21F84">
        <w:rPr>
          <w:rFonts w:asciiTheme="minorHAnsi" w:hAnsiTheme="minorHAnsi" w:cstheme="minorHAnsi"/>
          <w:i/>
          <w:color w:val="1D1D1B"/>
          <w:w w:val="105"/>
          <w:sz w:val="20"/>
          <w:szCs w:val="20"/>
        </w:rPr>
        <w:t>Consulting</w:t>
      </w:r>
      <w:r w:rsidR="00B37F41" w:rsidRPr="00C21F84">
        <w:rPr>
          <w:rFonts w:asciiTheme="minorHAnsi" w:hAnsiTheme="minorHAnsi" w:cstheme="minorHAnsi"/>
          <w:i/>
          <w:color w:val="1D1D1B"/>
          <w:spacing w:val="-8"/>
          <w:w w:val="105"/>
          <w:sz w:val="20"/>
          <w:szCs w:val="20"/>
        </w:rPr>
        <w:t xml:space="preserve"> </w:t>
      </w:r>
      <w:r w:rsidR="00B37F41" w:rsidRPr="00C21F84">
        <w:rPr>
          <w:rFonts w:asciiTheme="minorHAnsi" w:hAnsiTheme="minorHAnsi" w:cstheme="minorHAnsi"/>
          <w:i/>
          <w:color w:val="1D1D1B"/>
          <w:w w:val="105"/>
          <w:sz w:val="20"/>
          <w:szCs w:val="20"/>
        </w:rPr>
        <w:t>index hypot</w:t>
      </w:r>
      <w:r w:rsidR="00830CE8" w:rsidRPr="00C21F84">
        <w:rPr>
          <w:rFonts w:asciiTheme="minorHAnsi" w:hAnsiTheme="minorHAnsi" w:cstheme="minorHAnsi"/>
          <w:i/>
          <w:color w:val="1D1D1B"/>
          <w:w w:val="105"/>
          <w:sz w:val="20"/>
          <w:szCs w:val="20"/>
        </w:rPr>
        <w:t>e</w:t>
      </w:r>
      <w:r w:rsidR="00B37F41" w:rsidRPr="00C21F84">
        <w:rPr>
          <w:rFonts w:asciiTheme="minorHAnsi" w:hAnsiTheme="minorHAnsi" w:cstheme="minorHAnsi"/>
          <w:i/>
          <w:color w:val="1D1D1B"/>
          <w:w w:val="105"/>
          <w:sz w:val="20"/>
          <w:szCs w:val="20"/>
        </w:rPr>
        <w:t xml:space="preserve">čních úvěrů). Více informací najdete též na webu </w:t>
      </w:r>
      <w:r w:rsidR="00B37F41" w:rsidRPr="00C21F84">
        <w:rPr>
          <w:rStyle w:val="Hypertextovodkaz"/>
          <w:rFonts w:asciiTheme="minorHAnsi" w:hAnsiTheme="minorHAnsi" w:cstheme="minorHAnsi"/>
          <w:i/>
          <w:w w:val="105"/>
          <w:sz w:val="20"/>
          <w:szCs w:val="20"/>
        </w:rPr>
        <w:t>https://www.bcas.cz/onas/pro-media/</w:t>
      </w:r>
      <w:r w:rsidR="00B37F41" w:rsidRPr="00C21F84">
        <w:rPr>
          <w:rFonts w:asciiTheme="minorHAnsi" w:hAnsiTheme="minorHAnsi" w:cstheme="minorHAnsi"/>
          <w:i/>
          <w:color w:val="1D1D1B"/>
          <w:w w:val="105"/>
          <w:sz w:val="20"/>
          <w:szCs w:val="20"/>
        </w:rPr>
        <w:t xml:space="preserve">. </w:t>
      </w:r>
    </w:p>
    <w:p w14:paraId="0BBC87EC" w14:textId="77777777" w:rsidR="001C22FE" w:rsidRPr="00C21F84" w:rsidRDefault="001C22FE" w:rsidP="001C22FE">
      <w:pPr>
        <w:rPr>
          <w:rFonts w:asciiTheme="minorHAnsi" w:hAnsiTheme="minorHAnsi" w:cstheme="minorHAnsi"/>
          <w:b/>
          <w:color w:val="FF0000"/>
          <w:w w:val="105"/>
          <w:sz w:val="20"/>
          <w:szCs w:val="20"/>
        </w:rPr>
      </w:pPr>
    </w:p>
    <w:p w14:paraId="72ED1D97" w14:textId="126A9B30" w:rsidR="001C22FE" w:rsidRPr="00C21F84" w:rsidRDefault="001C22FE" w:rsidP="007B1851">
      <w:pPr>
        <w:rPr>
          <w:rFonts w:asciiTheme="minorHAnsi" w:hAnsiTheme="minorHAnsi" w:cstheme="minorHAnsi"/>
          <w:b/>
          <w:color w:val="1D1D1B"/>
          <w:w w:val="105"/>
          <w:sz w:val="20"/>
          <w:szCs w:val="20"/>
        </w:rPr>
      </w:pPr>
      <w:r w:rsidRPr="00C21F84">
        <w:rPr>
          <w:rFonts w:asciiTheme="minorHAnsi" w:hAnsiTheme="minorHAnsi" w:cstheme="minorHAnsi"/>
          <w:b/>
          <w:color w:val="FF0000"/>
          <w:w w:val="105"/>
          <w:sz w:val="20"/>
          <w:szCs w:val="20"/>
        </w:rPr>
        <w:t>Broker Consulting Indexy je nyní možné sledovat v interaktivní formě na webu</w:t>
      </w:r>
      <w:r w:rsidRPr="00C21F84">
        <w:rPr>
          <w:rFonts w:asciiTheme="minorHAnsi" w:hAnsiTheme="minorHAnsi" w:cstheme="minorHAnsi"/>
          <w:color w:val="1D1D1B"/>
          <w:w w:val="105"/>
          <w:sz w:val="20"/>
          <w:szCs w:val="20"/>
        </w:rPr>
        <w:t>. Zde lze zároveň exportovat zdrojová data ke grafům. Vice dostupné na odkaze</w:t>
      </w:r>
      <w:r w:rsidRPr="00C21F84">
        <w:rPr>
          <w:rFonts w:asciiTheme="minorHAnsi" w:hAnsiTheme="minorHAnsi" w:cstheme="minorHAnsi"/>
          <w:b/>
          <w:color w:val="1D1D1B"/>
          <w:w w:val="105"/>
          <w:sz w:val="20"/>
          <w:szCs w:val="20"/>
        </w:rPr>
        <w:t xml:space="preserve">: </w:t>
      </w:r>
      <w:hyperlink r:id="rId30" w:history="1">
        <w:r w:rsidRPr="00C21F84">
          <w:rPr>
            <w:rStyle w:val="Hypertextovodkaz"/>
            <w:rFonts w:asciiTheme="minorHAnsi" w:hAnsiTheme="minorHAnsi" w:cstheme="minorHAnsi"/>
            <w:b/>
            <w:w w:val="105"/>
            <w:sz w:val="20"/>
            <w:szCs w:val="20"/>
          </w:rPr>
          <w:t>https://www.bcas.cz/o-nas/broker-consulting-index-hypotecnich-uveru/</w:t>
        </w:r>
      </w:hyperlink>
      <w:r w:rsidRPr="00C21F84">
        <w:rPr>
          <w:rFonts w:asciiTheme="minorHAnsi" w:hAnsiTheme="minorHAnsi" w:cstheme="minorHAnsi"/>
          <w:b/>
          <w:color w:val="1D1D1B"/>
          <w:w w:val="105"/>
          <w:sz w:val="20"/>
          <w:szCs w:val="20"/>
        </w:rPr>
        <w:t xml:space="preserve">. </w:t>
      </w:r>
    </w:p>
    <w:p w14:paraId="7DE80F01" w14:textId="5F0A8380" w:rsidR="00CA1806" w:rsidRPr="00C21F84" w:rsidRDefault="00CA1806" w:rsidP="00B27178">
      <w:pPr>
        <w:jc w:val="both"/>
        <w:rPr>
          <w:rFonts w:asciiTheme="minorHAnsi" w:eastAsia="Calibri" w:hAnsiTheme="minorHAnsi" w:cstheme="minorHAnsi"/>
          <w:b/>
          <w:bCs/>
          <w:noProof/>
          <w:sz w:val="20"/>
          <w:szCs w:val="20"/>
        </w:rPr>
      </w:pPr>
    </w:p>
    <w:p w14:paraId="7C1907C0" w14:textId="1D2EC938" w:rsidR="00D60D98" w:rsidRPr="00C21F84" w:rsidRDefault="00D60D98" w:rsidP="00D60D98">
      <w:pPr>
        <w:rPr>
          <w:rFonts w:asciiTheme="minorHAnsi" w:eastAsia="Calibri" w:hAnsiTheme="minorHAnsi" w:cstheme="minorHAnsi"/>
          <w:b/>
          <w:bCs/>
          <w:noProof/>
          <w:sz w:val="20"/>
          <w:szCs w:val="20"/>
        </w:rPr>
      </w:pPr>
      <w:r w:rsidRPr="00C21F84">
        <w:rPr>
          <w:rFonts w:asciiTheme="minorHAnsi" w:eastAsia="Calibri" w:hAnsiTheme="minorHAnsi" w:cstheme="minorHAnsi"/>
          <w:b/>
          <w:bCs/>
          <w:noProof/>
          <w:sz w:val="20"/>
          <w:szCs w:val="20"/>
        </w:rPr>
        <w:t>Kontakt pro média:</w:t>
      </w:r>
    </w:p>
    <w:p w14:paraId="459105C8" w14:textId="1ED04440" w:rsidR="00692610" w:rsidRPr="00C21F84" w:rsidRDefault="003529EF" w:rsidP="00C07D5F">
      <w:pPr>
        <w:rPr>
          <w:rFonts w:asciiTheme="minorHAnsi" w:eastAsia="Calibri" w:hAnsiTheme="minorHAnsi" w:cstheme="minorHAnsi"/>
          <w:bCs/>
          <w:noProof/>
          <w:sz w:val="20"/>
          <w:szCs w:val="20"/>
          <w:lang w:bidi="ar-SA"/>
        </w:rPr>
      </w:pPr>
      <w:r w:rsidRPr="00C21F84">
        <w:rPr>
          <w:rFonts w:asciiTheme="minorHAnsi" w:eastAsia="Calibri" w:hAnsiTheme="minorHAnsi" w:cstheme="minorHAnsi"/>
          <w:bCs/>
          <w:noProof/>
          <w:sz w:val="20"/>
          <w:szCs w:val="20"/>
        </w:rPr>
        <w:t>Michaela Sahulová</w:t>
      </w:r>
    </w:p>
    <w:p w14:paraId="1DBDA364" w14:textId="77777777" w:rsidR="005F2383" w:rsidRPr="00C21F84" w:rsidRDefault="00692610" w:rsidP="00C07D5F">
      <w:pPr>
        <w:pStyle w:val="Bezmezer"/>
        <w:rPr>
          <w:rFonts w:eastAsia="Calibri" w:cstheme="minorHAnsi"/>
          <w:noProof/>
          <w:sz w:val="20"/>
          <w:szCs w:val="20"/>
        </w:rPr>
      </w:pPr>
      <w:r w:rsidRPr="00C21F84">
        <w:rPr>
          <w:rFonts w:eastAsia="Calibri" w:cstheme="minorHAnsi"/>
          <w:noProof/>
          <w:sz w:val="20"/>
          <w:szCs w:val="20"/>
        </w:rPr>
        <w:t>Specialistka PR a externí komunikace</w:t>
      </w:r>
    </w:p>
    <w:p w14:paraId="2B335B50" w14:textId="598C8DDA" w:rsidR="005F2383" w:rsidRPr="00C21F84" w:rsidRDefault="004928CB" w:rsidP="00C07D5F">
      <w:pPr>
        <w:pStyle w:val="Bezmezer"/>
        <w:rPr>
          <w:rFonts w:cstheme="minorHAnsi"/>
          <w:noProof/>
          <w:color w:val="000000" w:themeColor="text1"/>
          <w:sz w:val="20"/>
          <w:szCs w:val="20"/>
        </w:rPr>
      </w:pPr>
      <w:r w:rsidRPr="00C21F84">
        <w:rPr>
          <w:rFonts w:cstheme="minorHAnsi"/>
          <w:noProof/>
          <w:color w:val="000000" w:themeColor="text1"/>
          <w:sz w:val="20"/>
          <w:szCs w:val="20"/>
        </w:rPr>
        <w:lastRenderedPageBreak/>
        <w:t>tel.: +420 731 538</w:t>
      </w:r>
      <w:r w:rsidR="005F2383" w:rsidRPr="00C21F84">
        <w:rPr>
          <w:rFonts w:cstheme="minorHAnsi"/>
          <w:noProof/>
          <w:color w:val="000000" w:themeColor="text1"/>
          <w:sz w:val="20"/>
          <w:szCs w:val="20"/>
        </w:rPr>
        <w:t> </w:t>
      </w:r>
      <w:r w:rsidRPr="00C21F84">
        <w:rPr>
          <w:rFonts w:cstheme="minorHAnsi"/>
          <w:noProof/>
          <w:color w:val="000000" w:themeColor="text1"/>
          <w:sz w:val="20"/>
          <w:szCs w:val="20"/>
        </w:rPr>
        <w:t>373</w:t>
      </w:r>
    </w:p>
    <w:p w14:paraId="025F1B2F" w14:textId="7B529BE3" w:rsidR="00D60D98" w:rsidRPr="00C21F84" w:rsidRDefault="00C07D5F" w:rsidP="00C07D5F">
      <w:pPr>
        <w:pStyle w:val="Bezmezer"/>
        <w:rPr>
          <w:rFonts w:eastAsia="Calibri" w:cstheme="minorHAnsi"/>
          <w:noProof/>
          <w:sz w:val="20"/>
          <w:szCs w:val="20"/>
        </w:rPr>
      </w:pPr>
      <w:r w:rsidRPr="00C21F84">
        <w:rPr>
          <w:rFonts w:cstheme="minorHAnsi"/>
          <w:noProof/>
          <w:color w:val="000000" w:themeColor="text1"/>
          <w:sz w:val="20"/>
          <w:szCs w:val="20"/>
        </w:rPr>
        <w:t>e</w:t>
      </w:r>
      <w:r w:rsidR="00692610" w:rsidRPr="00C21F84">
        <w:rPr>
          <w:rFonts w:eastAsia="Calibri" w:cstheme="minorHAnsi"/>
          <w:noProof/>
          <w:sz w:val="20"/>
          <w:szCs w:val="20"/>
        </w:rPr>
        <w:t xml:space="preserve">-mail: </w:t>
      </w:r>
      <w:hyperlink r:id="rId31" w:history="1">
        <w:r w:rsidR="003529EF" w:rsidRPr="00C21F84">
          <w:rPr>
            <w:rStyle w:val="Hypertextovodkaz"/>
            <w:rFonts w:eastAsia="Calibri" w:cstheme="minorHAnsi"/>
            <w:noProof/>
            <w:sz w:val="20"/>
            <w:szCs w:val="20"/>
          </w:rPr>
          <w:t>michaela.sahulova@bcas.cz</w:t>
        </w:r>
      </w:hyperlink>
      <w:r w:rsidR="00692610" w:rsidRPr="00C21F84">
        <w:rPr>
          <w:rFonts w:eastAsia="Calibri" w:cstheme="minorHAnsi"/>
          <w:noProof/>
          <w:sz w:val="20"/>
          <w:szCs w:val="20"/>
        </w:rPr>
        <w:t xml:space="preserve"> </w:t>
      </w:r>
    </w:p>
    <w:sectPr w:rsidR="00D60D98" w:rsidRPr="00C21F84"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75FED" w14:textId="77777777" w:rsidR="0078013F" w:rsidRDefault="0078013F">
      <w:r>
        <w:separator/>
      </w:r>
    </w:p>
  </w:endnote>
  <w:endnote w:type="continuationSeparator" w:id="0">
    <w:p w14:paraId="2C23C667" w14:textId="77777777" w:rsidR="0078013F" w:rsidRDefault="00780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015TEELig">
    <w:altName w:val="Times New Roman"/>
    <w:charset w:val="EE"/>
    <w:family w:val="auto"/>
    <w:pitch w:val="variable"/>
    <w:sig w:usb0="00000001" w:usb1="00002048" w:usb2="00000000" w:usb3="00000000" w:csb0="00000083" w:csb1="00000000"/>
  </w:font>
  <w:font w:name="Calibri">
    <w:panose1 w:val="020F0502020204030204"/>
    <w:charset w:val="00"/>
    <w:family w:val="swiss"/>
    <w:pitch w:val="variable"/>
    <w:sig w:usb0="E00002FF" w:usb1="4000ACFF" w:usb2="00000001" w:usb3="00000000" w:csb0="0000019F"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F844E" w14:textId="77777777" w:rsidR="00182E22" w:rsidRDefault="00182E2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78013F"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78013F"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78013F"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78013F"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78013F"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78013F"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FC255" w14:textId="77777777" w:rsidR="00182E22" w:rsidRDefault="00182E22">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73A6E" w14:textId="77777777" w:rsidR="0078013F" w:rsidRDefault="0078013F">
      <w:r>
        <w:separator/>
      </w:r>
    </w:p>
  </w:footnote>
  <w:footnote w:type="continuationSeparator" w:id="0">
    <w:p w14:paraId="7A01E381" w14:textId="77777777" w:rsidR="0078013F" w:rsidRDefault="00780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49F15" w14:textId="77777777" w:rsidR="00182E22" w:rsidRDefault="00182E2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7443AD" w:rsidRDefault="00D80B6D" w:rsidP="00E95698">
    <w:pPr>
      <w:tabs>
        <w:tab w:val="left" w:pos="8633"/>
      </w:tabs>
      <w:spacing w:before="80"/>
      <w:ind w:firstLine="2880"/>
      <w:rPr>
        <w:rFonts w:asciiTheme="minorHAnsi" w:hAnsiTheme="minorHAnsi" w:cstheme="minorHAnsi"/>
        <w:sz w:val="52"/>
      </w:rPr>
    </w:pPr>
    <w:r w:rsidRPr="007443A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7443A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7443AD">
      <w:rPr>
        <w:rFonts w:asciiTheme="minorHAnsi" w:hAnsiTheme="minorHAnsi" w:cstheme="minorHAnsi"/>
        <w:color w:val="1D1D1B"/>
        <w:sz w:val="48"/>
      </w:rPr>
      <w:t xml:space="preserve">BROKER CONSULTING </w:t>
    </w:r>
    <w:r w:rsidRPr="007443AD">
      <w:rPr>
        <w:rFonts w:asciiTheme="minorHAnsi" w:hAnsiTheme="minorHAnsi" w:cstheme="minorHAnsi"/>
        <w:color w:val="CD1719"/>
        <w:sz w:val="52"/>
      </w:rPr>
      <w:t>INDEX</w:t>
    </w:r>
  </w:p>
  <w:p w14:paraId="2B920E62"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5E83C" w14:textId="77777777" w:rsidR="00182E22" w:rsidRDefault="00182E22">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43C085E5" w14:textId="62CDD8CE" w:rsidR="000F4B6C" w:rsidRDefault="00D40C89" w:rsidP="00D40C89">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HYPOTEČNÍCH ÚVĚRŮ &amp; FIXINDEX</w:t>
    </w:r>
  </w:p>
  <w:p w14:paraId="0E033147" w14:textId="77777777" w:rsidR="00D40C89" w:rsidRPr="00D40C89" w:rsidRDefault="00D40C89" w:rsidP="00D40C89">
    <w:pPr>
      <w:spacing w:before="85"/>
      <w:ind w:left="1440" w:firstLine="720"/>
      <w:rPr>
        <w:rFonts w:ascii="Arial" w:hAnsi="Arial" w:cs="Arial"/>
        <w:color w:val="E52713"/>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7443AD" w:rsidRDefault="009F59EE" w:rsidP="009F59EE">
    <w:pPr>
      <w:pStyle w:val="Nadpis2"/>
      <w:ind w:left="1440" w:firstLine="720"/>
      <w:rPr>
        <w:rFonts w:asciiTheme="minorHAnsi" w:hAnsiTheme="minorHAnsi" w:cstheme="minorHAnsi"/>
      </w:rPr>
    </w:pPr>
    <w:r w:rsidRPr="007443AD">
      <w:rPr>
        <w:rFonts w:asciiTheme="minorHAnsi" w:hAnsiTheme="minorHAnsi" w:cstheme="minorHAnsi"/>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7443AD">
      <w:rPr>
        <w:rFonts w:asciiTheme="minorHAnsi" w:hAnsiTheme="minorHAnsi" w:cstheme="minorHAnsi"/>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7443AD">
      <w:rPr>
        <w:rFonts w:asciiTheme="minorHAnsi" w:hAnsiTheme="minorHAnsi" w:cstheme="minorHAnsi"/>
        <w:color w:val="1D1D1B"/>
      </w:rPr>
      <w:t>BROKER CONSULTING</w:t>
    </w:r>
  </w:p>
  <w:p w14:paraId="3FF270D6" w14:textId="6799F236" w:rsidR="00D40C89" w:rsidRPr="007443AD" w:rsidRDefault="009F59EE" w:rsidP="00D40C89">
    <w:pPr>
      <w:spacing w:before="85"/>
      <w:ind w:left="1440" w:firstLine="720"/>
      <w:rPr>
        <w:rFonts w:asciiTheme="minorHAnsi" w:hAnsiTheme="minorHAnsi" w:cstheme="minorHAnsi"/>
        <w:color w:val="E52713"/>
        <w:sz w:val="28"/>
        <w:szCs w:val="28"/>
      </w:rPr>
    </w:pPr>
    <w:r w:rsidRPr="007443AD">
      <w:rPr>
        <w:rFonts w:asciiTheme="minorHAnsi" w:hAnsiTheme="minorHAnsi" w:cstheme="minorHAnsi"/>
        <w:color w:val="E52713"/>
        <w:sz w:val="28"/>
        <w:szCs w:val="28"/>
      </w:rPr>
      <w:t xml:space="preserve">INDEX </w:t>
    </w:r>
    <w:r w:rsidR="002A1185" w:rsidRPr="007443AD">
      <w:rPr>
        <w:rFonts w:asciiTheme="minorHAnsi" w:hAnsiTheme="minorHAnsi" w:cstheme="minorHAnsi"/>
        <w:color w:val="E52713"/>
        <w:sz w:val="28"/>
        <w:szCs w:val="28"/>
      </w:rPr>
      <w:t>HYPOTEČNÍCH ÚVĚRŮ</w:t>
    </w:r>
    <w:r w:rsidR="00D40C89" w:rsidRPr="007443AD">
      <w:rPr>
        <w:rFonts w:asciiTheme="minorHAnsi" w:hAnsiTheme="minorHAnsi" w:cstheme="minorHAnsi"/>
        <w:color w:val="E52713"/>
        <w:sz w:val="28"/>
        <w:szCs w:val="28"/>
      </w:rPr>
      <w:t xml:space="preserve"> &amp; FIXINDEX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631C5"/>
    <w:multiLevelType w:val="hybridMultilevel"/>
    <w:tmpl w:val="37368C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2" w15:restartNumberingAfterBreak="0">
    <w:nsid w:val="3A62021C"/>
    <w:multiLevelType w:val="hybridMultilevel"/>
    <w:tmpl w:val="40EC06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45325D01"/>
    <w:multiLevelType w:val="hybridMultilevel"/>
    <w:tmpl w:val="20B04784"/>
    <w:lvl w:ilvl="0" w:tplc="67E89344">
      <w:start w:val="6"/>
      <w:numFmt w:val="bullet"/>
      <w:lvlText w:val="-"/>
      <w:lvlJc w:val="left"/>
      <w:pPr>
        <w:ind w:left="720" w:hanging="360"/>
      </w:pPr>
      <w:rPr>
        <w:rFonts w:ascii="Arial" w:eastAsia="F015TEELig"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5D60C79"/>
    <w:multiLevelType w:val="hybridMultilevel"/>
    <w:tmpl w:val="78CEF0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914760E"/>
    <w:multiLevelType w:val="hybridMultilevel"/>
    <w:tmpl w:val="7B56EE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9E675A0"/>
    <w:multiLevelType w:val="hybridMultilevel"/>
    <w:tmpl w:val="B462C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2B60605"/>
    <w:multiLevelType w:val="hybridMultilevel"/>
    <w:tmpl w:val="482ABF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5E63C89"/>
    <w:multiLevelType w:val="hybridMultilevel"/>
    <w:tmpl w:val="03AAFA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6"/>
  </w:num>
  <w:num w:numId="5">
    <w:abstractNumId w:val="7"/>
  </w:num>
  <w:num w:numId="6">
    <w:abstractNumId w:val="3"/>
  </w:num>
  <w:num w:numId="7">
    <w:abstractNumId w:val="9"/>
  </w:num>
  <w:num w:numId="8">
    <w:abstractNumId w:val="0"/>
  </w:num>
  <w:num w:numId="9">
    <w:abstractNumId w:val="5"/>
  </w:num>
  <w:num w:numId="10">
    <w:abstractNumId w:val="2"/>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306F"/>
    <w:rsid w:val="00004919"/>
    <w:rsid w:val="00005B61"/>
    <w:rsid w:val="00011DF6"/>
    <w:rsid w:val="00014FB5"/>
    <w:rsid w:val="0001597B"/>
    <w:rsid w:val="00020EC7"/>
    <w:rsid w:val="0002230E"/>
    <w:rsid w:val="000226F3"/>
    <w:rsid w:val="00026F23"/>
    <w:rsid w:val="000277AC"/>
    <w:rsid w:val="00027C83"/>
    <w:rsid w:val="0003028F"/>
    <w:rsid w:val="00030E97"/>
    <w:rsid w:val="00032D94"/>
    <w:rsid w:val="0003332D"/>
    <w:rsid w:val="00033FD7"/>
    <w:rsid w:val="000374D7"/>
    <w:rsid w:val="00037DAF"/>
    <w:rsid w:val="000400E4"/>
    <w:rsid w:val="000412FA"/>
    <w:rsid w:val="0004477D"/>
    <w:rsid w:val="00044EC5"/>
    <w:rsid w:val="00045D86"/>
    <w:rsid w:val="00046AF6"/>
    <w:rsid w:val="0004776E"/>
    <w:rsid w:val="0005423A"/>
    <w:rsid w:val="00057F54"/>
    <w:rsid w:val="000611E3"/>
    <w:rsid w:val="00061BF6"/>
    <w:rsid w:val="00070652"/>
    <w:rsid w:val="00074B2B"/>
    <w:rsid w:val="000766E7"/>
    <w:rsid w:val="00080E7A"/>
    <w:rsid w:val="00081616"/>
    <w:rsid w:val="000823D3"/>
    <w:rsid w:val="00082D29"/>
    <w:rsid w:val="0008331F"/>
    <w:rsid w:val="000845CA"/>
    <w:rsid w:val="000851AC"/>
    <w:rsid w:val="000853D4"/>
    <w:rsid w:val="00087894"/>
    <w:rsid w:val="000878FB"/>
    <w:rsid w:val="0009257D"/>
    <w:rsid w:val="00092AEE"/>
    <w:rsid w:val="00092BB7"/>
    <w:rsid w:val="00092C6B"/>
    <w:rsid w:val="00094C16"/>
    <w:rsid w:val="00096425"/>
    <w:rsid w:val="0009776B"/>
    <w:rsid w:val="000A080B"/>
    <w:rsid w:val="000A6CF9"/>
    <w:rsid w:val="000B187C"/>
    <w:rsid w:val="000B6DD9"/>
    <w:rsid w:val="000C181E"/>
    <w:rsid w:val="000C2DA6"/>
    <w:rsid w:val="000C5541"/>
    <w:rsid w:val="000C6D26"/>
    <w:rsid w:val="000C7564"/>
    <w:rsid w:val="000D0013"/>
    <w:rsid w:val="000D14E2"/>
    <w:rsid w:val="000D2CFC"/>
    <w:rsid w:val="000D4AFB"/>
    <w:rsid w:val="000D6DDC"/>
    <w:rsid w:val="000D7158"/>
    <w:rsid w:val="000E01C2"/>
    <w:rsid w:val="000E19B2"/>
    <w:rsid w:val="000E1C76"/>
    <w:rsid w:val="000E3D86"/>
    <w:rsid w:val="000E568C"/>
    <w:rsid w:val="000E5D32"/>
    <w:rsid w:val="000E6E14"/>
    <w:rsid w:val="000F4B6C"/>
    <w:rsid w:val="000F50BC"/>
    <w:rsid w:val="000F6249"/>
    <w:rsid w:val="000F6EBE"/>
    <w:rsid w:val="00101CEC"/>
    <w:rsid w:val="00103109"/>
    <w:rsid w:val="00105248"/>
    <w:rsid w:val="00106E26"/>
    <w:rsid w:val="001117DE"/>
    <w:rsid w:val="00111C28"/>
    <w:rsid w:val="00113603"/>
    <w:rsid w:val="001153E3"/>
    <w:rsid w:val="00117AE4"/>
    <w:rsid w:val="00120113"/>
    <w:rsid w:val="001214E7"/>
    <w:rsid w:val="00122208"/>
    <w:rsid w:val="00122CEB"/>
    <w:rsid w:val="0012361F"/>
    <w:rsid w:val="00125B97"/>
    <w:rsid w:val="0012657A"/>
    <w:rsid w:val="00126BEC"/>
    <w:rsid w:val="00127234"/>
    <w:rsid w:val="0013044E"/>
    <w:rsid w:val="00131A69"/>
    <w:rsid w:val="001327CE"/>
    <w:rsid w:val="00132E53"/>
    <w:rsid w:val="00136D8D"/>
    <w:rsid w:val="00137003"/>
    <w:rsid w:val="0013717C"/>
    <w:rsid w:val="00140987"/>
    <w:rsid w:val="00145622"/>
    <w:rsid w:val="001516CA"/>
    <w:rsid w:val="001524FB"/>
    <w:rsid w:val="00154308"/>
    <w:rsid w:val="00154AC2"/>
    <w:rsid w:val="0015559F"/>
    <w:rsid w:val="00156082"/>
    <w:rsid w:val="00160686"/>
    <w:rsid w:val="00160E1C"/>
    <w:rsid w:val="00161352"/>
    <w:rsid w:val="00161830"/>
    <w:rsid w:val="001620E3"/>
    <w:rsid w:val="00162D8E"/>
    <w:rsid w:val="0016482C"/>
    <w:rsid w:val="0016556A"/>
    <w:rsid w:val="001675AF"/>
    <w:rsid w:val="0016771F"/>
    <w:rsid w:val="00174317"/>
    <w:rsid w:val="00175545"/>
    <w:rsid w:val="001767A5"/>
    <w:rsid w:val="00176E93"/>
    <w:rsid w:val="00177C18"/>
    <w:rsid w:val="00182A92"/>
    <w:rsid w:val="00182E22"/>
    <w:rsid w:val="00187310"/>
    <w:rsid w:val="00192716"/>
    <w:rsid w:val="00194831"/>
    <w:rsid w:val="00194B5D"/>
    <w:rsid w:val="001A0A5C"/>
    <w:rsid w:val="001A1A56"/>
    <w:rsid w:val="001A2D08"/>
    <w:rsid w:val="001A54DD"/>
    <w:rsid w:val="001A5AC8"/>
    <w:rsid w:val="001A61A5"/>
    <w:rsid w:val="001A7D2F"/>
    <w:rsid w:val="001B1E41"/>
    <w:rsid w:val="001B2A07"/>
    <w:rsid w:val="001B2C03"/>
    <w:rsid w:val="001B3B31"/>
    <w:rsid w:val="001B4F4B"/>
    <w:rsid w:val="001B501B"/>
    <w:rsid w:val="001B58E7"/>
    <w:rsid w:val="001B6694"/>
    <w:rsid w:val="001B6D7A"/>
    <w:rsid w:val="001B7936"/>
    <w:rsid w:val="001C22FE"/>
    <w:rsid w:val="001D015A"/>
    <w:rsid w:val="001D30C7"/>
    <w:rsid w:val="001D33FA"/>
    <w:rsid w:val="001D36F0"/>
    <w:rsid w:val="001D3DFC"/>
    <w:rsid w:val="001D42DB"/>
    <w:rsid w:val="001D45F5"/>
    <w:rsid w:val="001D5EFC"/>
    <w:rsid w:val="001E02C2"/>
    <w:rsid w:val="001E0A89"/>
    <w:rsid w:val="001E1597"/>
    <w:rsid w:val="001E4209"/>
    <w:rsid w:val="001F1D14"/>
    <w:rsid w:val="001F2399"/>
    <w:rsid w:val="001F4D74"/>
    <w:rsid w:val="001F7194"/>
    <w:rsid w:val="001F71BA"/>
    <w:rsid w:val="001F7577"/>
    <w:rsid w:val="002019F3"/>
    <w:rsid w:val="0020207A"/>
    <w:rsid w:val="00202F22"/>
    <w:rsid w:val="00203BD4"/>
    <w:rsid w:val="00206E92"/>
    <w:rsid w:val="00207D22"/>
    <w:rsid w:val="00212C2E"/>
    <w:rsid w:val="0021395D"/>
    <w:rsid w:val="002141AF"/>
    <w:rsid w:val="00216B81"/>
    <w:rsid w:val="00216F2E"/>
    <w:rsid w:val="00217E92"/>
    <w:rsid w:val="00220529"/>
    <w:rsid w:val="002220C9"/>
    <w:rsid w:val="00223FFD"/>
    <w:rsid w:val="00224AF1"/>
    <w:rsid w:val="00224E6E"/>
    <w:rsid w:val="00225CEC"/>
    <w:rsid w:val="00225D70"/>
    <w:rsid w:val="00232B0D"/>
    <w:rsid w:val="00233BF3"/>
    <w:rsid w:val="002368F3"/>
    <w:rsid w:val="00236A37"/>
    <w:rsid w:val="00241313"/>
    <w:rsid w:val="00241AA2"/>
    <w:rsid w:val="00241DC1"/>
    <w:rsid w:val="0024212A"/>
    <w:rsid w:val="00242669"/>
    <w:rsid w:val="00243384"/>
    <w:rsid w:val="002447CA"/>
    <w:rsid w:val="0025080B"/>
    <w:rsid w:val="0025183C"/>
    <w:rsid w:val="00251F32"/>
    <w:rsid w:val="0025264B"/>
    <w:rsid w:val="00252DB1"/>
    <w:rsid w:val="00253C9E"/>
    <w:rsid w:val="0025428A"/>
    <w:rsid w:val="002555D2"/>
    <w:rsid w:val="00257978"/>
    <w:rsid w:val="002619DC"/>
    <w:rsid w:val="002676E8"/>
    <w:rsid w:val="00270B59"/>
    <w:rsid w:val="00270DB3"/>
    <w:rsid w:val="002717C9"/>
    <w:rsid w:val="0027235F"/>
    <w:rsid w:val="0027691A"/>
    <w:rsid w:val="00277D20"/>
    <w:rsid w:val="00280730"/>
    <w:rsid w:val="0028081F"/>
    <w:rsid w:val="00281C61"/>
    <w:rsid w:val="00285767"/>
    <w:rsid w:val="0028607C"/>
    <w:rsid w:val="002863CE"/>
    <w:rsid w:val="0029566F"/>
    <w:rsid w:val="002961B5"/>
    <w:rsid w:val="00296B24"/>
    <w:rsid w:val="002A1185"/>
    <w:rsid w:val="002A208F"/>
    <w:rsid w:val="002A498A"/>
    <w:rsid w:val="002A61B7"/>
    <w:rsid w:val="002B01AF"/>
    <w:rsid w:val="002B094E"/>
    <w:rsid w:val="002B1E20"/>
    <w:rsid w:val="002B2A94"/>
    <w:rsid w:val="002B3C6D"/>
    <w:rsid w:val="002B4265"/>
    <w:rsid w:val="002B4919"/>
    <w:rsid w:val="002B4B98"/>
    <w:rsid w:val="002B6F4E"/>
    <w:rsid w:val="002B7650"/>
    <w:rsid w:val="002C06E2"/>
    <w:rsid w:val="002C0E94"/>
    <w:rsid w:val="002C26EB"/>
    <w:rsid w:val="002C6C42"/>
    <w:rsid w:val="002C7D70"/>
    <w:rsid w:val="002D23B9"/>
    <w:rsid w:val="002D3534"/>
    <w:rsid w:val="002D49F7"/>
    <w:rsid w:val="002D64A2"/>
    <w:rsid w:val="002E0400"/>
    <w:rsid w:val="002E1A01"/>
    <w:rsid w:val="002E1A0D"/>
    <w:rsid w:val="002E6173"/>
    <w:rsid w:val="002E6DB6"/>
    <w:rsid w:val="002F002B"/>
    <w:rsid w:val="002F06AC"/>
    <w:rsid w:val="002F09BA"/>
    <w:rsid w:val="002F46B0"/>
    <w:rsid w:val="002F485A"/>
    <w:rsid w:val="002F5550"/>
    <w:rsid w:val="002F62C4"/>
    <w:rsid w:val="002F7818"/>
    <w:rsid w:val="002F7EC2"/>
    <w:rsid w:val="003006A5"/>
    <w:rsid w:val="003015E0"/>
    <w:rsid w:val="0030207B"/>
    <w:rsid w:val="00303778"/>
    <w:rsid w:val="00303A6E"/>
    <w:rsid w:val="003046FE"/>
    <w:rsid w:val="0030751A"/>
    <w:rsid w:val="00307CF8"/>
    <w:rsid w:val="00307E95"/>
    <w:rsid w:val="00307FEB"/>
    <w:rsid w:val="003128F8"/>
    <w:rsid w:val="00313D42"/>
    <w:rsid w:val="00322E5E"/>
    <w:rsid w:val="00323B17"/>
    <w:rsid w:val="003243A6"/>
    <w:rsid w:val="003247B0"/>
    <w:rsid w:val="0032734F"/>
    <w:rsid w:val="00330918"/>
    <w:rsid w:val="003310D8"/>
    <w:rsid w:val="0033296E"/>
    <w:rsid w:val="003337A9"/>
    <w:rsid w:val="0033431C"/>
    <w:rsid w:val="0033488F"/>
    <w:rsid w:val="00340E70"/>
    <w:rsid w:val="00342F85"/>
    <w:rsid w:val="00347557"/>
    <w:rsid w:val="00352435"/>
    <w:rsid w:val="003529EF"/>
    <w:rsid w:val="00355366"/>
    <w:rsid w:val="003555BB"/>
    <w:rsid w:val="003629B6"/>
    <w:rsid w:val="00362BFF"/>
    <w:rsid w:val="003640C8"/>
    <w:rsid w:val="00364C11"/>
    <w:rsid w:val="00371225"/>
    <w:rsid w:val="003721AD"/>
    <w:rsid w:val="00376086"/>
    <w:rsid w:val="003761D9"/>
    <w:rsid w:val="00380608"/>
    <w:rsid w:val="00380E0A"/>
    <w:rsid w:val="00382546"/>
    <w:rsid w:val="00382EAD"/>
    <w:rsid w:val="00383DC5"/>
    <w:rsid w:val="00385EED"/>
    <w:rsid w:val="00386A43"/>
    <w:rsid w:val="00390B58"/>
    <w:rsid w:val="00395F41"/>
    <w:rsid w:val="003967DF"/>
    <w:rsid w:val="003A156E"/>
    <w:rsid w:val="003A291C"/>
    <w:rsid w:val="003A3DE2"/>
    <w:rsid w:val="003A4860"/>
    <w:rsid w:val="003A4D47"/>
    <w:rsid w:val="003A6435"/>
    <w:rsid w:val="003A7D32"/>
    <w:rsid w:val="003B0E4F"/>
    <w:rsid w:val="003B1966"/>
    <w:rsid w:val="003B5B25"/>
    <w:rsid w:val="003B60CA"/>
    <w:rsid w:val="003B7BDD"/>
    <w:rsid w:val="003C0CBE"/>
    <w:rsid w:val="003C1344"/>
    <w:rsid w:val="003C3421"/>
    <w:rsid w:val="003C5D0A"/>
    <w:rsid w:val="003D1987"/>
    <w:rsid w:val="003D3AE8"/>
    <w:rsid w:val="003D69A7"/>
    <w:rsid w:val="003E1308"/>
    <w:rsid w:val="003F07E8"/>
    <w:rsid w:val="003F472F"/>
    <w:rsid w:val="003F79EC"/>
    <w:rsid w:val="00400129"/>
    <w:rsid w:val="004005D9"/>
    <w:rsid w:val="00400A5A"/>
    <w:rsid w:val="00407AE9"/>
    <w:rsid w:val="004120C7"/>
    <w:rsid w:val="0041257F"/>
    <w:rsid w:val="0042193A"/>
    <w:rsid w:val="004267DE"/>
    <w:rsid w:val="00430ABD"/>
    <w:rsid w:val="00431631"/>
    <w:rsid w:val="00432FD5"/>
    <w:rsid w:val="00434C5D"/>
    <w:rsid w:val="004350F6"/>
    <w:rsid w:val="00435115"/>
    <w:rsid w:val="00441028"/>
    <w:rsid w:val="00444432"/>
    <w:rsid w:val="00445D0A"/>
    <w:rsid w:val="00450DBC"/>
    <w:rsid w:val="00451896"/>
    <w:rsid w:val="00451B7B"/>
    <w:rsid w:val="0045292A"/>
    <w:rsid w:val="004540ED"/>
    <w:rsid w:val="00454843"/>
    <w:rsid w:val="004564BC"/>
    <w:rsid w:val="004565C7"/>
    <w:rsid w:val="004627B9"/>
    <w:rsid w:val="00465E53"/>
    <w:rsid w:val="00466329"/>
    <w:rsid w:val="00473219"/>
    <w:rsid w:val="00477DCC"/>
    <w:rsid w:val="00477FFA"/>
    <w:rsid w:val="004813B2"/>
    <w:rsid w:val="00481D66"/>
    <w:rsid w:val="00483579"/>
    <w:rsid w:val="004835F4"/>
    <w:rsid w:val="00487B6B"/>
    <w:rsid w:val="004919CC"/>
    <w:rsid w:val="004928CB"/>
    <w:rsid w:val="00492941"/>
    <w:rsid w:val="00495AFF"/>
    <w:rsid w:val="00495E14"/>
    <w:rsid w:val="004A08FC"/>
    <w:rsid w:val="004A3439"/>
    <w:rsid w:val="004B1364"/>
    <w:rsid w:val="004B2C5B"/>
    <w:rsid w:val="004B5104"/>
    <w:rsid w:val="004B5797"/>
    <w:rsid w:val="004B5B94"/>
    <w:rsid w:val="004B6304"/>
    <w:rsid w:val="004B64B3"/>
    <w:rsid w:val="004B6AF3"/>
    <w:rsid w:val="004C0179"/>
    <w:rsid w:val="004C0CEF"/>
    <w:rsid w:val="004C0D41"/>
    <w:rsid w:val="004C3F71"/>
    <w:rsid w:val="004C61F5"/>
    <w:rsid w:val="004D14C1"/>
    <w:rsid w:val="004D2C46"/>
    <w:rsid w:val="004D3578"/>
    <w:rsid w:val="004D4D9F"/>
    <w:rsid w:val="004D6BA6"/>
    <w:rsid w:val="004E2983"/>
    <w:rsid w:val="004E3BA4"/>
    <w:rsid w:val="004E4E81"/>
    <w:rsid w:val="004E4E9F"/>
    <w:rsid w:val="004E67DB"/>
    <w:rsid w:val="004F1934"/>
    <w:rsid w:val="004F1E84"/>
    <w:rsid w:val="005042D1"/>
    <w:rsid w:val="00506098"/>
    <w:rsid w:val="00506161"/>
    <w:rsid w:val="0050659B"/>
    <w:rsid w:val="00506889"/>
    <w:rsid w:val="00510050"/>
    <w:rsid w:val="00512D6B"/>
    <w:rsid w:val="00512FF6"/>
    <w:rsid w:val="005153F7"/>
    <w:rsid w:val="0052216B"/>
    <w:rsid w:val="005224C1"/>
    <w:rsid w:val="0052338B"/>
    <w:rsid w:val="00523D4C"/>
    <w:rsid w:val="005275F9"/>
    <w:rsid w:val="0053153F"/>
    <w:rsid w:val="00532F2D"/>
    <w:rsid w:val="005339D0"/>
    <w:rsid w:val="00534E75"/>
    <w:rsid w:val="00536954"/>
    <w:rsid w:val="005379BC"/>
    <w:rsid w:val="00540606"/>
    <w:rsid w:val="00541870"/>
    <w:rsid w:val="0054297E"/>
    <w:rsid w:val="005436EC"/>
    <w:rsid w:val="00544A37"/>
    <w:rsid w:val="005455B0"/>
    <w:rsid w:val="0055263D"/>
    <w:rsid w:val="00552E2B"/>
    <w:rsid w:val="0055303C"/>
    <w:rsid w:val="00553369"/>
    <w:rsid w:val="00554574"/>
    <w:rsid w:val="0055553F"/>
    <w:rsid w:val="0056150F"/>
    <w:rsid w:val="005678E0"/>
    <w:rsid w:val="005729F4"/>
    <w:rsid w:val="00576F58"/>
    <w:rsid w:val="005773B2"/>
    <w:rsid w:val="00577D19"/>
    <w:rsid w:val="0058062A"/>
    <w:rsid w:val="005834AE"/>
    <w:rsid w:val="0058666A"/>
    <w:rsid w:val="00586BEF"/>
    <w:rsid w:val="005875EC"/>
    <w:rsid w:val="00590434"/>
    <w:rsid w:val="00594050"/>
    <w:rsid w:val="0059432A"/>
    <w:rsid w:val="0059452A"/>
    <w:rsid w:val="005956E9"/>
    <w:rsid w:val="005A0ABD"/>
    <w:rsid w:val="005A2637"/>
    <w:rsid w:val="005A37E5"/>
    <w:rsid w:val="005A4497"/>
    <w:rsid w:val="005A5BBA"/>
    <w:rsid w:val="005A5F08"/>
    <w:rsid w:val="005A60B4"/>
    <w:rsid w:val="005A7A64"/>
    <w:rsid w:val="005B0E8E"/>
    <w:rsid w:val="005B31D7"/>
    <w:rsid w:val="005B4E77"/>
    <w:rsid w:val="005B5427"/>
    <w:rsid w:val="005B5CA8"/>
    <w:rsid w:val="005B6889"/>
    <w:rsid w:val="005B68FA"/>
    <w:rsid w:val="005B7492"/>
    <w:rsid w:val="005B7E46"/>
    <w:rsid w:val="005C0D63"/>
    <w:rsid w:val="005C41F6"/>
    <w:rsid w:val="005C48C1"/>
    <w:rsid w:val="005C7059"/>
    <w:rsid w:val="005D189A"/>
    <w:rsid w:val="005D4DA7"/>
    <w:rsid w:val="005D6963"/>
    <w:rsid w:val="005E3212"/>
    <w:rsid w:val="005E45D8"/>
    <w:rsid w:val="005E4855"/>
    <w:rsid w:val="005E7AEF"/>
    <w:rsid w:val="005F18D4"/>
    <w:rsid w:val="005F2383"/>
    <w:rsid w:val="005F57A1"/>
    <w:rsid w:val="005F65A1"/>
    <w:rsid w:val="005F7741"/>
    <w:rsid w:val="00600788"/>
    <w:rsid w:val="00600BA3"/>
    <w:rsid w:val="00605C5D"/>
    <w:rsid w:val="006106F0"/>
    <w:rsid w:val="006110E7"/>
    <w:rsid w:val="00612DC2"/>
    <w:rsid w:val="006135FD"/>
    <w:rsid w:val="006212F9"/>
    <w:rsid w:val="00622494"/>
    <w:rsid w:val="00624A82"/>
    <w:rsid w:val="0062747C"/>
    <w:rsid w:val="0062751F"/>
    <w:rsid w:val="00633136"/>
    <w:rsid w:val="00636E70"/>
    <w:rsid w:val="0064020E"/>
    <w:rsid w:val="0064160C"/>
    <w:rsid w:val="0064209A"/>
    <w:rsid w:val="006429DE"/>
    <w:rsid w:val="00645BA9"/>
    <w:rsid w:val="00646B73"/>
    <w:rsid w:val="006501CB"/>
    <w:rsid w:val="00650A3C"/>
    <w:rsid w:val="00651B66"/>
    <w:rsid w:val="00651B79"/>
    <w:rsid w:val="00652695"/>
    <w:rsid w:val="006529D7"/>
    <w:rsid w:val="00652DCE"/>
    <w:rsid w:val="006545F8"/>
    <w:rsid w:val="00654F8C"/>
    <w:rsid w:val="00656312"/>
    <w:rsid w:val="0066135D"/>
    <w:rsid w:val="00661A5F"/>
    <w:rsid w:val="00663C36"/>
    <w:rsid w:val="00667012"/>
    <w:rsid w:val="00673DDB"/>
    <w:rsid w:val="00675F3B"/>
    <w:rsid w:val="006768F0"/>
    <w:rsid w:val="00676C10"/>
    <w:rsid w:val="00677078"/>
    <w:rsid w:val="006775B7"/>
    <w:rsid w:val="00677C07"/>
    <w:rsid w:val="00684F62"/>
    <w:rsid w:val="0068617E"/>
    <w:rsid w:val="00686E01"/>
    <w:rsid w:val="00687107"/>
    <w:rsid w:val="00692610"/>
    <w:rsid w:val="006939E4"/>
    <w:rsid w:val="00693A07"/>
    <w:rsid w:val="00695DE8"/>
    <w:rsid w:val="006978DE"/>
    <w:rsid w:val="00697A40"/>
    <w:rsid w:val="00697F28"/>
    <w:rsid w:val="006A0BD0"/>
    <w:rsid w:val="006A150C"/>
    <w:rsid w:val="006A2F6C"/>
    <w:rsid w:val="006A3BE2"/>
    <w:rsid w:val="006A6601"/>
    <w:rsid w:val="006B2EA9"/>
    <w:rsid w:val="006B3A13"/>
    <w:rsid w:val="006B3CB5"/>
    <w:rsid w:val="006C2008"/>
    <w:rsid w:val="006C2696"/>
    <w:rsid w:val="006C4076"/>
    <w:rsid w:val="006C4193"/>
    <w:rsid w:val="006C61E8"/>
    <w:rsid w:val="006D01AF"/>
    <w:rsid w:val="006D1884"/>
    <w:rsid w:val="006D65EC"/>
    <w:rsid w:val="006E074A"/>
    <w:rsid w:val="006E1C67"/>
    <w:rsid w:val="006E26DC"/>
    <w:rsid w:val="006E52B8"/>
    <w:rsid w:val="006E675F"/>
    <w:rsid w:val="006E68CA"/>
    <w:rsid w:val="006F32FB"/>
    <w:rsid w:val="00700FD6"/>
    <w:rsid w:val="00705D83"/>
    <w:rsid w:val="0071201C"/>
    <w:rsid w:val="00712177"/>
    <w:rsid w:val="00713CD7"/>
    <w:rsid w:val="00714847"/>
    <w:rsid w:val="0072112F"/>
    <w:rsid w:val="007253C3"/>
    <w:rsid w:val="00730047"/>
    <w:rsid w:val="0073009C"/>
    <w:rsid w:val="007316BB"/>
    <w:rsid w:val="00731B6F"/>
    <w:rsid w:val="00731E05"/>
    <w:rsid w:val="00736FB9"/>
    <w:rsid w:val="00737562"/>
    <w:rsid w:val="007424FC"/>
    <w:rsid w:val="007443AD"/>
    <w:rsid w:val="00762254"/>
    <w:rsid w:val="0076333E"/>
    <w:rsid w:val="00764BFF"/>
    <w:rsid w:val="00767284"/>
    <w:rsid w:val="00771B91"/>
    <w:rsid w:val="007737E3"/>
    <w:rsid w:val="007748DA"/>
    <w:rsid w:val="0077685A"/>
    <w:rsid w:val="0078013F"/>
    <w:rsid w:val="007824F4"/>
    <w:rsid w:val="0078345F"/>
    <w:rsid w:val="00783AB1"/>
    <w:rsid w:val="00784109"/>
    <w:rsid w:val="00785FC5"/>
    <w:rsid w:val="0078631B"/>
    <w:rsid w:val="0078760B"/>
    <w:rsid w:val="00791A2B"/>
    <w:rsid w:val="00792EE9"/>
    <w:rsid w:val="00794BD8"/>
    <w:rsid w:val="00795445"/>
    <w:rsid w:val="0079572A"/>
    <w:rsid w:val="00795D79"/>
    <w:rsid w:val="0079732B"/>
    <w:rsid w:val="007A1121"/>
    <w:rsid w:val="007A1122"/>
    <w:rsid w:val="007A15A6"/>
    <w:rsid w:val="007A2531"/>
    <w:rsid w:val="007A278E"/>
    <w:rsid w:val="007B11F2"/>
    <w:rsid w:val="007B1851"/>
    <w:rsid w:val="007B232E"/>
    <w:rsid w:val="007B358E"/>
    <w:rsid w:val="007B3C38"/>
    <w:rsid w:val="007B5E2F"/>
    <w:rsid w:val="007C37DF"/>
    <w:rsid w:val="007C6288"/>
    <w:rsid w:val="007D05D4"/>
    <w:rsid w:val="007D06A5"/>
    <w:rsid w:val="007D085C"/>
    <w:rsid w:val="007D1100"/>
    <w:rsid w:val="007D2280"/>
    <w:rsid w:val="007D3EF7"/>
    <w:rsid w:val="007E1111"/>
    <w:rsid w:val="007E1865"/>
    <w:rsid w:val="007E5614"/>
    <w:rsid w:val="007F0754"/>
    <w:rsid w:val="007F3198"/>
    <w:rsid w:val="007F36AF"/>
    <w:rsid w:val="007F515C"/>
    <w:rsid w:val="008009B8"/>
    <w:rsid w:val="00800CEA"/>
    <w:rsid w:val="00807AD4"/>
    <w:rsid w:val="008104E0"/>
    <w:rsid w:val="0081387C"/>
    <w:rsid w:val="00817512"/>
    <w:rsid w:val="00822194"/>
    <w:rsid w:val="00822D26"/>
    <w:rsid w:val="008245C1"/>
    <w:rsid w:val="008269F5"/>
    <w:rsid w:val="00830105"/>
    <w:rsid w:val="0083053E"/>
    <w:rsid w:val="00830CE8"/>
    <w:rsid w:val="00831B5E"/>
    <w:rsid w:val="00831F36"/>
    <w:rsid w:val="0083338E"/>
    <w:rsid w:val="00833A44"/>
    <w:rsid w:val="0083519D"/>
    <w:rsid w:val="00843016"/>
    <w:rsid w:val="00844420"/>
    <w:rsid w:val="00845A34"/>
    <w:rsid w:val="00846E1E"/>
    <w:rsid w:val="00850445"/>
    <w:rsid w:val="0085594F"/>
    <w:rsid w:val="008630EC"/>
    <w:rsid w:val="00866791"/>
    <w:rsid w:val="00870EAA"/>
    <w:rsid w:val="00874FE0"/>
    <w:rsid w:val="008769D5"/>
    <w:rsid w:val="00882EE9"/>
    <w:rsid w:val="00883131"/>
    <w:rsid w:val="00883A3E"/>
    <w:rsid w:val="008848CF"/>
    <w:rsid w:val="00885B2F"/>
    <w:rsid w:val="008866ED"/>
    <w:rsid w:val="008868A5"/>
    <w:rsid w:val="0089080A"/>
    <w:rsid w:val="00890A80"/>
    <w:rsid w:val="008926E5"/>
    <w:rsid w:val="008926F3"/>
    <w:rsid w:val="00892DB3"/>
    <w:rsid w:val="00893533"/>
    <w:rsid w:val="00894FAD"/>
    <w:rsid w:val="008957C5"/>
    <w:rsid w:val="00896014"/>
    <w:rsid w:val="0089614B"/>
    <w:rsid w:val="00896556"/>
    <w:rsid w:val="00896BE6"/>
    <w:rsid w:val="00896FD6"/>
    <w:rsid w:val="00897BD9"/>
    <w:rsid w:val="008A04D3"/>
    <w:rsid w:val="008A0C76"/>
    <w:rsid w:val="008A618B"/>
    <w:rsid w:val="008A663F"/>
    <w:rsid w:val="008B05F2"/>
    <w:rsid w:val="008B0636"/>
    <w:rsid w:val="008B1531"/>
    <w:rsid w:val="008B2EE5"/>
    <w:rsid w:val="008B3C82"/>
    <w:rsid w:val="008B41E0"/>
    <w:rsid w:val="008B5C5C"/>
    <w:rsid w:val="008B64C9"/>
    <w:rsid w:val="008C1795"/>
    <w:rsid w:val="008C4B0D"/>
    <w:rsid w:val="008C7511"/>
    <w:rsid w:val="008C75D3"/>
    <w:rsid w:val="008C79A2"/>
    <w:rsid w:val="008D1E94"/>
    <w:rsid w:val="008D373A"/>
    <w:rsid w:val="008D484C"/>
    <w:rsid w:val="008D68A5"/>
    <w:rsid w:val="008E19F3"/>
    <w:rsid w:val="008E3B44"/>
    <w:rsid w:val="008E58ED"/>
    <w:rsid w:val="008E6712"/>
    <w:rsid w:val="008F2226"/>
    <w:rsid w:val="008F25C5"/>
    <w:rsid w:val="008F4980"/>
    <w:rsid w:val="008F6707"/>
    <w:rsid w:val="008F6AAF"/>
    <w:rsid w:val="008F715C"/>
    <w:rsid w:val="008F7A61"/>
    <w:rsid w:val="00900951"/>
    <w:rsid w:val="00901813"/>
    <w:rsid w:val="00903020"/>
    <w:rsid w:val="00906176"/>
    <w:rsid w:val="0090637E"/>
    <w:rsid w:val="00906E67"/>
    <w:rsid w:val="00914002"/>
    <w:rsid w:val="00915ADA"/>
    <w:rsid w:val="009161BE"/>
    <w:rsid w:val="00917F21"/>
    <w:rsid w:val="009213AE"/>
    <w:rsid w:val="009222C9"/>
    <w:rsid w:val="00922BC9"/>
    <w:rsid w:val="00926825"/>
    <w:rsid w:val="009268FC"/>
    <w:rsid w:val="00926A98"/>
    <w:rsid w:val="00932625"/>
    <w:rsid w:val="009340FD"/>
    <w:rsid w:val="00934141"/>
    <w:rsid w:val="009344C2"/>
    <w:rsid w:val="009345C9"/>
    <w:rsid w:val="0093538A"/>
    <w:rsid w:val="00941295"/>
    <w:rsid w:val="009434D0"/>
    <w:rsid w:val="0094705C"/>
    <w:rsid w:val="009514FE"/>
    <w:rsid w:val="00952F66"/>
    <w:rsid w:val="00957B41"/>
    <w:rsid w:val="00961519"/>
    <w:rsid w:val="00962FD2"/>
    <w:rsid w:val="009644A2"/>
    <w:rsid w:val="00967162"/>
    <w:rsid w:val="00971DE7"/>
    <w:rsid w:val="00973C62"/>
    <w:rsid w:val="0097419E"/>
    <w:rsid w:val="00974A97"/>
    <w:rsid w:val="0097696C"/>
    <w:rsid w:val="00977B41"/>
    <w:rsid w:val="00982987"/>
    <w:rsid w:val="00985386"/>
    <w:rsid w:val="00990318"/>
    <w:rsid w:val="0099489F"/>
    <w:rsid w:val="00994B64"/>
    <w:rsid w:val="009955B3"/>
    <w:rsid w:val="00996D72"/>
    <w:rsid w:val="009A4D99"/>
    <w:rsid w:val="009A53B7"/>
    <w:rsid w:val="009A544A"/>
    <w:rsid w:val="009A69B1"/>
    <w:rsid w:val="009A6CDB"/>
    <w:rsid w:val="009B0A81"/>
    <w:rsid w:val="009B0CA9"/>
    <w:rsid w:val="009B301F"/>
    <w:rsid w:val="009B52C2"/>
    <w:rsid w:val="009C0ECA"/>
    <w:rsid w:val="009C283B"/>
    <w:rsid w:val="009C2B04"/>
    <w:rsid w:val="009C3544"/>
    <w:rsid w:val="009C45BA"/>
    <w:rsid w:val="009D2D28"/>
    <w:rsid w:val="009D7AFB"/>
    <w:rsid w:val="009E055E"/>
    <w:rsid w:val="009E0C76"/>
    <w:rsid w:val="009E22C3"/>
    <w:rsid w:val="009E2833"/>
    <w:rsid w:val="009E317D"/>
    <w:rsid w:val="009E3B52"/>
    <w:rsid w:val="009E3D89"/>
    <w:rsid w:val="009E5B43"/>
    <w:rsid w:val="009E6B59"/>
    <w:rsid w:val="009F097B"/>
    <w:rsid w:val="009F0DD5"/>
    <w:rsid w:val="009F2CB2"/>
    <w:rsid w:val="009F2CEE"/>
    <w:rsid w:val="009F3A56"/>
    <w:rsid w:val="009F59EE"/>
    <w:rsid w:val="009F5CD5"/>
    <w:rsid w:val="009F66D0"/>
    <w:rsid w:val="00A02D45"/>
    <w:rsid w:val="00A0581C"/>
    <w:rsid w:val="00A069E2"/>
    <w:rsid w:val="00A073C7"/>
    <w:rsid w:val="00A07431"/>
    <w:rsid w:val="00A07A9F"/>
    <w:rsid w:val="00A11B93"/>
    <w:rsid w:val="00A11C90"/>
    <w:rsid w:val="00A12821"/>
    <w:rsid w:val="00A14FC9"/>
    <w:rsid w:val="00A2066F"/>
    <w:rsid w:val="00A23C45"/>
    <w:rsid w:val="00A25B10"/>
    <w:rsid w:val="00A33653"/>
    <w:rsid w:val="00A36D79"/>
    <w:rsid w:val="00A37A20"/>
    <w:rsid w:val="00A37AD0"/>
    <w:rsid w:val="00A4508B"/>
    <w:rsid w:val="00A4618A"/>
    <w:rsid w:val="00A53205"/>
    <w:rsid w:val="00A5429B"/>
    <w:rsid w:val="00A553A9"/>
    <w:rsid w:val="00A61F80"/>
    <w:rsid w:val="00A62566"/>
    <w:rsid w:val="00A62CCA"/>
    <w:rsid w:val="00A641DB"/>
    <w:rsid w:val="00A65B9D"/>
    <w:rsid w:val="00A70932"/>
    <w:rsid w:val="00A719A5"/>
    <w:rsid w:val="00A72A74"/>
    <w:rsid w:val="00A72F83"/>
    <w:rsid w:val="00A7372B"/>
    <w:rsid w:val="00A74A1E"/>
    <w:rsid w:val="00A7509B"/>
    <w:rsid w:val="00A7796E"/>
    <w:rsid w:val="00A77F44"/>
    <w:rsid w:val="00A803EF"/>
    <w:rsid w:val="00A86656"/>
    <w:rsid w:val="00A87B14"/>
    <w:rsid w:val="00A93638"/>
    <w:rsid w:val="00A97D07"/>
    <w:rsid w:val="00AA0737"/>
    <w:rsid w:val="00AA218A"/>
    <w:rsid w:val="00AA48E7"/>
    <w:rsid w:val="00AB3D30"/>
    <w:rsid w:val="00AB4794"/>
    <w:rsid w:val="00AB4842"/>
    <w:rsid w:val="00AB7BAF"/>
    <w:rsid w:val="00AB7CCF"/>
    <w:rsid w:val="00AC614D"/>
    <w:rsid w:val="00AC7F1C"/>
    <w:rsid w:val="00AD0F3F"/>
    <w:rsid w:val="00AD4EA3"/>
    <w:rsid w:val="00AE05ED"/>
    <w:rsid w:val="00AE44CB"/>
    <w:rsid w:val="00AE55D4"/>
    <w:rsid w:val="00AE72D7"/>
    <w:rsid w:val="00AF05BB"/>
    <w:rsid w:val="00AF1038"/>
    <w:rsid w:val="00AF2633"/>
    <w:rsid w:val="00AF74AF"/>
    <w:rsid w:val="00B01F39"/>
    <w:rsid w:val="00B05862"/>
    <w:rsid w:val="00B07D3B"/>
    <w:rsid w:val="00B11974"/>
    <w:rsid w:val="00B1264B"/>
    <w:rsid w:val="00B12CF8"/>
    <w:rsid w:val="00B15519"/>
    <w:rsid w:val="00B15922"/>
    <w:rsid w:val="00B2198E"/>
    <w:rsid w:val="00B244B9"/>
    <w:rsid w:val="00B24985"/>
    <w:rsid w:val="00B27178"/>
    <w:rsid w:val="00B30A9E"/>
    <w:rsid w:val="00B3265A"/>
    <w:rsid w:val="00B32817"/>
    <w:rsid w:val="00B33E8E"/>
    <w:rsid w:val="00B346ED"/>
    <w:rsid w:val="00B36901"/>
    <w:rsid w:val="00B37F41"/>
    <w:rsid w:val="00B4245F"/>
    <w:rsid w:val="00B43ABC"/>
    <w:rsid w:val="00B470FB"/>
    <w:rsid w:val="00B479EB"/>
    <w:rsid w:val="00B51125"/>
    <w:rsid w:val="00B52CDF"/>
    <w:rsid w:val="00B65A3B"/>
    <w:rsid w:val="00B66DE0"/>
    <w:rsid w:val="00B72652"/>
    <w:rsid w:val="00B8133C"/>
    <w:rsid w:val="00B815A3"/>
    <w:rsid w:val="00B85C55"/>
    <w:rsid w:val="00B90B23"/>
    <w:rsid w:val="00B91CEE"/>
    <w:rsid w:val="00B94777"/>
    <w:rsid w:val="00B95BB2"/>
    <w:rsid w:val="00B95EBA"/>
    <w:rsid w:val="00B96E03"/>
    <w:rsid w:val="00BA0BC1"/>
    <w:rsid w:val="00BA1D82"/>
    <w:rsid w:val="00BA1FA3"/>
    <w:rsid w:val="00BA23D8"/>
    <w:rsid w:val="00BA27DA"/>
    <w:rsid w:val="00BA4230"/>
    <w:rsid w:val="00BA45FD"/>
    <w:rsid w:val="00BA5B9C"/>
    <w:rsid w:val="00BA7722"/>
    <w:rsid w:val="00BB4512"/>
    <w:rsid w:val="00BB4D49"/>
    <w:rsid w:val="00BB51F4"/>
    <w:rsid w:val="00BB58F0"/>
    <w:rsid w:val="00BB6439"/>
    <w:rsid w:val="00BB675F"/>
    <w:rsid w:val="00BC133F"/>
    <w:rsid w:val="00BC1D75"/>
    <w:rsid w:val="00BD05E4"/>
    <w:rsid w:val="00BD0936"/>
    <w:rsid w:val="00BD17B0"/>
    <w:rsid w:val="00BD3267"/>
    <w:rsid w:val="00BD3715"/>
    <w:rsid w:val="00BD4630"/>
    <w:rsid w:val="00BD4EBD"/>
    <w:rsid w:val="00BD5A47"/>
    <w:rsid w:val="00BD6E76"/>
    <w:rsid w:val="00BE6717"/>
    <w:rsid w:val="00BF1811"/>
    <w:rsid w:val="00BF36AE"/>
    <w:rsid w:val="00BF4092"/>
    <w:rsid w:val="00BF44F1"/>
    <w:rsid w:val="00BF4CD9"/>
    <w:rsid w:val="00C00EEF"/>
    <w:rsid w:val="00C02E39"/>
    <w:rsid w:val="00C0301A"/>
    <w:rsid w:val="00C04F1A"/>
    <w:rsid w:val="00C05CCC"/>
    <w:rsid w:val="00C07088"/>
    <w:rsid w:val="00C07D5F"/>
    <w:rsid w:val="00C07F35"/>
    <w:rsid w:val="00C15993"/>
    <w:rsid w:val="00C17C49"/>
    <w:rsid w:val="00C21F84"/>
    <w:rsid w:val="00C22B1C"/>
    <w:rsid w:val="00C23E32"/>
    <w:rsid w:val="00C24B73"/>
    <w:rsid w:val="00C2555B"/>
    <w:rsid w:val="00C26D3E"/>
    <w:rsid w:val="00C30EA3"/>
    <w:rsid w:val="00C31E67"/>
    <w:rsid w:val="00C325BB"/>
    <w:rsid w:val="00C33A4A"/>
    <w:rsid w:val="00C4086A"/>
    <w:rsid w:val="00C42CA5"/>
    <w:rsid w:val="00C42FAF"/>
    <w:rsid w:val="00C456DD"/>
    <w:rsid w:val="00C47E7D"/>
    <w:rsid w:val="00C52DA0"/>
    <w:rsid w:val="00C53031"/>
    <w:rsid w:val="00C568D7"/>
    <w:rsid w:val="00C56AD1"/>
    <w:rsid w:val="00C60BBC"/>
    <w:rsid w:val="00C6644B"/>
    <w:rsid w:val="00C668FF"/>
    <w:rsid w:val="00C67861"/>
    <w:rsid w:val="00C7532A"/>
    <w:rsid w:val="00C7663D"/>
    <w:rsid w:val="00C779DC"/>
    <w:rsid w:val="00C80ADA"/>
    <w:rsid w:val="00C81DF4"/>
    <w:rsid w:val="00C83132"/>
    <w:rsid w:val="00C864DC"/>
    <w:rsid w:val="00C908E5"/>
    <w:rsid w:val="00C9156E"/>
    <w:rsid w:val="00C947C0"/>
    <w:rsid w:val="00C947CE"/>
    <w:rsid w:val="00C95072"/>
    <w:rsid w:val="00C95F04"/>
    <w:rsid w:val="00C97E6F"/>
    <w:rsid w:val="00CA079E"/>
    <w:rsid w:val="00CA135D"/>
    <w:rsid w:val="00CA1722"/>
    <w:rsid w:val="00CA1806"/>
    <w:rsid w:val="00CA5872"/>
    <w:rsid w:val="00CA78F9"/>
    <w:rsid w:val="00CA7CAF"/>
    <w:rsid w:val="00CB06F8"/>
    <w:rsid w:val="00CB18B1"/>
    <w:rsid w:val="00CB2736"/>
    <w:rsid w:val="00CB38CA"/>
    <w:rsid w:val="00CB5712"/>
    <w:rsid w:val="00CB6969"/>
    <w:rsid w:val="00CB6F2B"/>
    <w:rsid w:val="00CB7254"/>
    <w:rsid w:val="00CC0CB0"/>
    <w:rsid w:val="00CC1067"/>
    <w:rsid w:val="00CC3D3D"/>
    <w:rsid w:val="00CC3DF9"/>
    <w:rsid w:val="00CC65C5"/>
    <w:rsid w:val="00CC73AB"/>
    <w:rsid w:val="00CD12BC"/>
    <w:rsid w:val="00CD3324"/>
    <w:rsid w:val="00CD46EA"/>
    <w:rsid w:val="00CD4A18"/>
    <w:rsid w:val="00CD575C"/>
    <w:rsid w:val="00CD6257"/>
    <w:rsid w:val="00CD6E1E"/>
    <w:rsid w:val="00CD7A9C"/>
    <w:rsid w:val="00CE0770"/>
    <w:rsid w:val="00CE5086"/>
    <w:rsid w:val="00CE6C6E"/>
    <w:rsid w:val="00CE76FD"/>
    <w:rsid w:val="00CF177F"/>
    <w:rsid w:val="00CF2033"/>
    <w:rsid w:val="00CF5DF2"/>
    <w:rsid w:val="00CF6C98"/>
    <w:rsid w:val="00D0061B"/>
    <w:rsid w:val="00D012CF"/>
    <w:rsid w:val="00D016C3"/>
    <w:rsid w:val="00D01832"/>
    <w:rsid w:val="00D01DC0"/>
    <w:rsid w:val="00D02C28"/>
    <w:rsid w:val="00D02E81"/>
    <w:rsid w:val="00D0526B"/>
    <w:rsid w:val="00D07AA2"/>
    <w:rsid w:val="00D1081A"/>
    <w:rsid w:val="00D15569"/>
    <w:rsid w:val="00D15619"/>
    <w:rsid w:val="00D15A44"/>
    <w:rsid w:val="00D160DE"/>
    <w:rsid w:val="00D21C96"/>
    <w:rsid w:val="00D30074"/>
    <w:rsid w:val="00D30854"/>
    <w:rsid w:val="00D31127"/>
    <w:rsid w:val="00D320FC"/>
    <w:rsid w:val="00D333B4"/>
    <w:rsid w:val="00D3359F"/>
    <w:rsid w:val="00D35FF4"/>
    <w:rsid w:val="00D40C89"/>
    <w:rsid w:val="00D41337"/>
    <w:rsid w:val="00D422E9"/>
    <w:rsid w:val="00D47B55"/>
    <w:rsid w:val="00D47B8A"/>
    <w:rsid w:val="00D50703"/>
    <w:rsid w:val="00D531E4"/>
    <w:rsid w:val="00D53C47"/>
    <w:rsid w:val="00D53E59"/>
    <w:rsid w:val="00D60057"/>
    <w:rsid w:val="00D60444"/>
    <w:rsid w:val="00D605B1"/>
    <w:rsid w:val="00D60D98"/>
    <w:rsid w:val="00D6181D"/>
    <w:rsid w:val="00D61D5F"/>
    <w:rsid w:val="00D61FAA"/>
    <w:rsid w:val="00D62038"/>
    <w:rsid w:val="00D628D2"/>
    <w:rsid w:val="00D62FEC"/>
    <w:rsid w:val="00D65C4E"/>
    <w:rsid w:val="00D67EA6"/>
    <w:rsid w:val="00D71EA0"/>
    <w:rsid w:val="00D72157"/>
    <w:rsid w:val="00D721F1"/>
    <w:rsid w:val="00D73F33"/>
    <w:rsid w:val="00D74A93"/>
    <w:rsid w:val="00D77A56"/>
    <w:rsid w:val="00D80B6D"/>
    <w:rsid w:val="00D80C55"/>
    <w:rsid w:val="00D80F78"/>
    <w:rsid w:val="00D8120C"/>
    <w:rsid w:val="00D84488"/>
    <w:rsid w:val="00D844C8"/>
    <w:rsid w:val="00D84B7D"/>
    <w:rsid w:val="00D84F78"/>
    <w:rsid w:val="00D8513A"/>
    <w:rsid w:val="00D85BBB"/>
    <w:rsid w:val="00D85FB4"/>
    <w:rsid w:val="00D879CA"/>
    <w:rsid w:val="00D906BE"/>
    <w:rsid w:val="00D943AD"/>
    <w:rsid w:val="00D9690A"/>
    <w:rsid w:val="00DA2C91"/>
    <w:rsid w:val="00DA5316"/>
    <w:rsid w:val="00DA7B87"/>
    <w:rsid w:val="00DB0343"/>
    <w:rsid w:val="00DB342A"/>
    <w:rsid w:val="00DB3E19"/>
    <w:rsid w:val="00DB63D9"/>
    <w:rsid w:val="00DB7121"/>
    <w:rsid w:val="00DB7E77"/>
    <w:rsid w:val="00DC0BD6"/>
    <w:rsid w:val="00DC0F17"/>
    <w:rsid w:val="00DC30D0"/>
    <w:rsid w:val="00DC37CE"/>
    <w:rsid w:val="00DC422E"/>
    <w:rsid w:val="00DD1F5E"/>
    <w:rsid w:val="00DD2DD1"/>
    <w:rsid w:val="00DD4803"/>
    <w:rsid w:val="00DD639C"/>
    <w:rsid w:val="00DD67DA"/>
    <w:rsid w:val="00DD7940"/>
    <w:rsid w:val="00DE1840"/>
    <w:rsid w:val="00DE1B89"/>
    <w:rsid w:val="00DE476A"/>
    <w:rsid w:val="00DE5007"/>
    <w:rsid w:val="00DE59C6"/>
    <w:rsid w:val="00DF2E5A"/>
    <w:rsid w:val="00DF3A69"/>
    <w:rsid w:val="00DF4305"/>
    <w:rsid w:val="00DF4D81"/>
    <w:rsid w:val="00DF658B"/>
    <w:rsid w:val="00E00DC6"/>
    <w:rsid w:val="00E04B02"/>
    <w:rsid w:val="00E058A3"/>
    <w:rsid w:val="00E10ABF"/>
    <w:rsid w:val="00E130CB"/>
    <w:rsid w:val="00E151F3"/>
    <w:rsid w:val="00E17539"/>
    <w:rsid w:val="00E23A7D"/>
    <w:rsid w:val="00E244E6"/>
    <w:rsid w:val="00E27028"/>
    <w:rsid w:val="00E32995"/>
    <w:rsid w:val="00E32C50"/>
    <w:rsid w:val="00E3404F"/>
    <w:rsid w:val="00E41E9C"/>
    <w:rsid w:val="00E423C3"/>
    <w:rsid w:val="00E4323F"/>
    <w:rsid w:val="00E4469C"/>
    <w:rsid w:val="00E450AB"/>
    <w:rsid w:val="00E47059"/>
    <w:rsid w:val="00E5280E"/>
    <w:rsid w:val="00E52CEE"/>
    <w:rsid w:val="00E53A7F"/>
    <w:rsid w:val="00E54A8E"/>
    <w:rsid w:val="00E563FC"/>
    <w:rsid w:val="00E57F9B"/>
    <w:rsid w:val="00E60634"/>
    <w:rsid w:val="00E607C0"/>
    <w:rsid w:val="00E6319B"/>
    <w:rsid w:val="00E6550B"/>
    <w:rsid w:val="00E65551"/>
    <w:rsid w:val="00E6726D"/>
    <w:rsid w:val="00E70FBC"/>
    <w:rsid w:val="00E74000"/>
    <w:rsid w:val="00E7623C"/>
    <w:rsid w:val="00E80764"/>
    <w:rsid w:val="00E80FCB"/>
    <w:rsid w:val="00E81433"/>
    <w:rsid w:val="00E81C95"/>
    <w:rsid w:val="00E845C0"/>
    <w:rsid w:val="00E852A3"/>
    <w:rsid w:val="00E86628"/>
    <w:rsid w:val="00E914B7"/>
    <w:rsid w:val="00E93103"/>
    <w:rsid w:val="00EA0295"/>
    <w:rsid w:val="00EA0C1C"/>
    <w:rsid w:val="00EA477A"/>
    <w:rsid w:val="00EA5CA0"/>
    <w:rsid w:val="00EA5D92"/>
    <w:rsid w:val="00EB083E"/>
    <w:rsid w:val="00EB307B"/>
    <w:rsid w:val="00EB5354"/>
    <w:rsid w:val="00EC2DC7"/>
    <w:rsid w:val="00EC3779"/>
    <w:rsid w:val="00EC71DE"/>
    <w:rsid w:val="00EC7F0E"/>
    <w:rsid w:val="00ED2D1F"/>
    <w:rsid w:val="00ED58E9"/>
    <w:rsid w:val="00ED700E"/>
    <w:rsid w:val="00ED79D6"/>
    <w:rsid w:val="00EE1831"/>
    <w:rsid w:val="00EE3DAD"/>
    <w:rsid w:val="00EF2F7C"/>
    <w:rsid w:val="00EF3FC0"/>
    <w:rsid w:val="00EF61B5"/>
    <w:rsid w:val="00F009B3"/>
    <w:rsid w:val="00F00A40"/>
    <w:rsid w:val="00F00A6E"/>
    <w:rsid w:val="00F05773"/>
    <w:rsid w:val="00F0773E"/>
    <w:rsid w:val="00F115D1"/>
    <w:rsid w:val="00F12CED"/>
    <w:rsid w:val="00F12DCE"/>
    <w:rsid w:val="00F13496"/>
    <w:rsid w:val="00F14346"/>
    <w:rsid w:val="00F14982"/>
    <w:rsid w:val="00F22A26"/>
    <w:rsid w:val="00F23C0F"/>
    <w:rsid w:val="00F2598D"/>
    <w:rsid w:val="00F26166"/>
    <w:rsid w:val="00F32739"/>
    <w:rsid w:val="00F32845"/>
    <w:rsid w:val="00F336A2"/>
    <w:rsid w:val="00F36BA0"/>
    <w:rsid w:val="00F411C5"/>
    <w:rsid w:val="00F44AEB"/>
    <w:rsid w:val="00F45620"/>
    <w:rsid w:val="00F5304D"/>
    <w:rsid w:val="00F532E2"/>
    <w:rsid w:val="00F5470D"/>
    <w:rsid w:val="00F555FB"/>
    <w:rsid w:val="00F5638B"/>
    <w:rsid w:val="00F60301"/>
    <w:rsid w:val="00F628BC"/>
    <w:rsid w:val="00F628FC"/>
    <w:rsid w:val="00F7033F"/>
    <w:rsid w:val="00F70DD4"/>
    <w:rsid w:val="00F7277F"/>
    <w:rsid w:val="00F72E32"/>
    <w:rsid w:val="00F73B85"/>
    <w:rsid w:val="00F747EC"/>
    <w:rsid w:val="00F829B7"/>
    <w:rsid w:val="00F82DF0"/>
    <w:rsid w:val="00F84A4F"/>
    <w:rsid w:val="00F84ACE"/>
    <w:rsid w:val="00F8617B"/>
    <w:rsid w:val="00F863D7"/>
    <w:rsid w:val="00F9173C"/>
    <w:rsid w:val="00F975AD"/>
    <w:rsid w:val="00FA05C2"/>
    <w:rsid w:val="00FA2D1E"/>
    <w:rsid w:val="00FA35EB"/>
    <w:rsid w:val="00FA6EE9"/>
    <w:rsid w:val="00FB18D0"/>
    <w:rsid w:val="00FB2241"/>
    <w:rsid w:val="00FB2315"/>
    <w:rsid w:val="00FB2ED6"/>
    <w:rsid w:val="00FB412B"/>
    <w:rsid w:val="00FB42E5"/>
    <w:rsid w:val="00FB58C3"/>
    <w:rsid w:val="00FB59EE"/>
    <w:rsid w:val="00FB6B8F"/>
    <w:rsid w:val="00FC2522"/>
    <w:rsid w:val="00FC3C77"/>
    <w:rsid w:val="00FC5B56"/>
    <w:rsid w:val="00FD181C"/>
    <w:rsid w:val="00FD4B12"/>
    <w:rsid w:val="00FD5009"/>
    <w:rsid w:val="00FD55C9"/>
    <w:rsid w:val="00FD62DC"/>
    <w:rsid w:val="00FD65D3"/>
    <w:rsid w:val="00FD6A70"/>
    <w:rsid w:val="00FE1D87"/>
    <w:rsid w:val="00FE1EC8"/>
    <w:rsid w:val="00FE3560"/>
    <w:rsid w:val="00FE3E09"/>
    <w:rsid w:val="00FE4FBF"/>
    <w:rsid w:val="00FF1E5A"/>
    <w:rsid w:val="00FF6AA1"/>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 w:type="character" w:styleId="Siln">
    <w:name w:val="Strong"/>
    <w:basedOn w:val="Standardnpsmoodstavce"/>
    <w:uiPriority w:val="22"/>
    <w:qFormat/>
    <w:rsid w:val="00A553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8548">
      <w:bodyDiv w:val="1"/>
      <w:marLeft w:val="0"/>
      <w:marRight w:val="0"/>
      <w:marTop w:val="0"/>
      <w:marBottom w:val="0"/>
      <w:divBdr>
        <w:top w:val="none" w:sz="0" w:space="0" w:color="auto"/>
        <w:left w:val="none" w:sz="0" w:space="0" w:color="auto"/>
        <w:bottom w:val="none" w:sz="0" w:space="0" w:color="auto"/>
        <w:right w:val="none" w:sz="0" w:space="0" w:color="auto"/>
      </w:divBdr>
    </w:div>
    <w:div w:id="26149915">
      <w:bodyDiv w:val="1"/>
      <w:marLeft w:val="0"/>
      <w:marRight w:val="0"/>
      <w:marTop w:val="0"/>
      <w:marBottom w:val="0"/>
      <w:divBdr>
        <w:top w:val="none" w:sz="0" w:space="0" w:color="auto"/>
        <w:left w:val="none" w:sz="0" w:space="0" w:color="auto"/>
        <w:bottom w:val="none" w:sz="0" w:space="0" w:color="auto"/>
        <w:right w:val="none" w:sz="0" w:space="0" w:color="auto"/>
      </w:divBdr>
    </w:div>
    <w:div w:id="61872337">
      <w:bodyDiv w:val="1"/>
      <w:marLeft w:val="0"/>
      <w:marRight w:val="0"/>
      <w:marTop w:val="0"/>
      <w:marBottom w:val="0"/>
      <w:divBdr>
        <w:top w:val="none" w:sz="0" w:space="0" w:color="auto"/>
        <w:left w:val="none" w:sz="0" w:space="0" w:color="auto"/>
        <w:bottom w:val="none" w:sz="0" w:space="0" w:color="auto"/>
        <w:right w:val="none" w:sz="0" w:space="0" w:color="auto"/>
      </w:divBdr>
    </w:div>
    <w:div w:id="116265840">
      <w:bodyDiv w:val="1"/>
      <w:marLeft w:val="0"/>
      <w:marRight w:val="0"/>
      <w:marTop w:val="0"/>
      <w:marBottom w:val="0"/>
      <w:divBdr>
        <w:top w:val="none" w:sz="0" w:space="0" w:color="auto"/>
        <w:left w:val="none" w:sz="0" w:space="0" w:color="auto"/>
        <w:bottom w:val="none" w:sz="0" w:space="0" w:color="auto"/>
        <w:right w:val="none" w:sz="0" w:space="0" w:color="auto"/>
      </w:divBdr>
    </w:div>
    <w:div w:id="136192622">
      <w:bodyDiv w:val="1"/>
      <w:marLeft w:val="0"/>
      <w:marRight w:val="0"/>
      <w:marTop w:val="0"/>
      <w:marBottom w:val="0"/>
      <w:divBdr>
        <w:top w:val="none" w:sz="0" w:space="0" w:color="auto"/>
        <w:left w:val="none" w:sz="0" w:space="0" w:color="auto"/>
        <w:bottom w:val="none" w:sz="0" w:space="0" w:color="auto"/>
        <w:right w:val="none" w:sz="0" w:space="0" w:color="auto"/>
      </w:divBdr>
    </w:div>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24488455">
      <w:bodyDiv w:val="1"/>
      <w:marLeft w:val="0"/>
      <w:marRight w:val="0"/>
      <w:marTop w:val="0"/>
      <w:marBottom w:val="0"/>
      <w:divBdr>
        <w:top w:val="none" w:sz="0" w:space="0" w:color="auto"/>
        <w:left w:val="none" w:sz="0" w:space="0" w:color="auto"/>
        <w:bottom w:val="none" w:sz="0" w:space="0" w:color="auto"/>
        <w:right w:val="none" w:sz="0" w:space="0" w:color="auto"/>
      </w:divBdr>
    </w:div>
    <w:div w:id="539055257">
      <w:bodyDiv w:val="1"/>
      <w:marLeft w:val="0"/>
      <w:marRight w:val="0"/>
      <w:marTop w:val="0"/>
      <w:marBottom w:val="0"/>
      <w:divBdr>
        <w:top w:val="none" w:sz="0" w:space="0" w:color="auto"/>
        <w:left w:val="none" w:sz="0" w:space="0" w:color="auto"/>
        <w:bottom w:val="none" w:sz="0" w:space="0" w:color="auto"/>
        <w:right w:val="none" w:sz="0" w:space="0" w:color="auto"/>
      </w:divBdr>
    </w:div>
    <w:div w:id="580876104">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641467723">
      <w:bodyDiv w:val="1"/>
      <w:marLeft w:val="0"/>
      <w:marRight w:val="0"/>
      <w:marTop w:val="0"/>
      <w:marBottom w:val="0"/>
      <w:divBdr>
        <w:top w:val="none" w:sz="0" w:space="0" w:color="auto"/>
        <w:left w:val="none" w:sz="0" w:space="0" w:color="auto"/>
        <w:bottom w:val="none" w:sz="0" w:space="0" w:color="auto"/>
        <w:right w:val="none" w:sz="0" w:space="0" w:color="auto"/>
      </w:divBdr>
    </w:div>
    <w:div w:id="645667381">
      <w:bodyDiv w:val="1"/>
      <w:marLeft w:val="0"/>
      <w:marRight w:val="0"/>
      <w:marTop w:val="0"/>
      <w:marBottom w:val="0"/>
      <w:divBdr>
        <w:top w:val="none" w:sz="0" w:space="0" w:color="auto"/>
        <w:left w:val="none" w:sz="0" w:space="0" w:color="auto"/>
        <w:bottom w:val="none" w:sz="0" w:space="0" w:color="auto"/>
        <w:right w:val="none" w:sz="0" w:space="0" w:color="auto"/>
      </w:divBdr>
    </w:div>
    <w:div w:id="664868236">
      <w:bodyDiv w:val="1"/>
      <w:marLeft w:val="0"/>
      <w:marRight w:val="0"/>
      <w:marTop w:val="0"/>
      <w:marBottom w:val="0"/>
      <w:divBdr>
        <w:top w:val="none" w:sz="0" w:space="0" w:color="auto"/>
        <w:left w:val="none" w:sz="0" w:space="0" w:color="auto"/>
        <w:bottom w:val="none" w:sz="0" w:space="0" w:color="auto"/>
        <w:right w:val="none" w:sz="0" w:space="0" w:color="auto"/>
      </w:divBdr>
    </w:div>
    <w:div w:id="675570253">
      <w:bodyDiv w:val="1"/>
      <w:marLeft w:val="0"/>
      <w:marRight w:val="0"/>
      <w:marTop w:val="0"/>
      <w:marBottom w:val="0"/>
      <w:divBdr>
        <w:top w:val="none" w:sz="0" w:space="0" w:color="auto"/>
        <w:left w:val="none" w:sz="0" w:space="0" w:color="auto"/>
        <w:bottom w:val="none" w:sz="0" w:space="0" w:color="auto"/>
        <w:right w:val="none" w:sz="0" w:space="0" w:color="auto"/>
      </w:divBdr>
    </w:div>
    <w:div w:id="703022082">
      <w:bodyDiv w:val="1"/>
      <w:marLeft w:val="0"/>
      <w:marRight w:val="0"/>
      <w:marTop w:val="0"/>
      <w:marBottom w:val="0"/>
      <w:divBdr>
        <w:top w:val="none" w:sz="0" w:space="0" w:color="auto"/>
        <w:left w:val="none" w:sz="0" w:space="0" w:color="auto"/>
        <w:bottom w:val="none" w:sz="0" w:space="0" w:color="auto"/>
        <w:right w:val="none" w:sz="0" w:space="0" w:color="auto"/>
      </w:divBdr>
    </w:div>
    <w:div w:id="742989099">
      <w:bodyDiv w:val="1"/>
      <w:marLeft w:val="0"/>
      <w:marRight w:val="0"/>
      <w:marTop w:val="0"/>
      <w:marBottom w:val="0"/>
      <w:divBdr>
        <w:top w:val="none" w:sz="0" w:space="0" w:color="auto"/>
        <w:left w:val="none" w:sz="0" w:space="0" w:color="auto"/>
        <w:bottom w:val="none" w:sz="0" w:space="0" w:color="auto"/>
        <w:right w:val="none" w:sz="0" w:space="0" w:color="auto"/>
      </w:divBdr>
    </w:div>
    <w:div w:id="753823787">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867060497">
      <w:bodyDiv w:val="1"/>
      <w:marLeft w:val="0"/>
      <w:marRight w:val="0"/>
      <w:marTop w:val="0"/>
      <w:marBottom w:val="0"/>
      <w:divBdr>
        <w:top w:val="none" w:sz="0" w:space="0" w:color="auto"/>
        <w:left w:val="none" w:sz="0" w:space="0" w:color="auto"/>
        <w:bottom w:val="none" w:sz="0" w:space="0" w:color="auto"/>
        <w:right w:val="none" w:sz="0" w:space="0" w:color="auto"/>
      </w:divBdr>
    </w:div>
    <w:div w:id="899173101">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9256544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056513043">
      <w:bodyDiv w:val="1"/>
      <w:marLeft w:val="0"/>
      <w:marRight w:val="0"/>
      <w:marTop w:val="0"/>
      <w:marBottom w:val="0"/>
      <w:divBdr>
        <w:top w:val="none" w:sz="0" w:space="0" w:color="auto"/>
        <w:left w:val="none" w:sz="0" w:space="0" w:color="auto"/>
        <w:bottom w:val="none" w:sz="0" w:space="0" w:color="auto"/>
        <w:right w:val="none" w:sz="0" w:space="0" w:color="auto"/>
      </w:divBdr>
    </w:div>
    <w:div w:id="1074353678">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02065241">
      <w:bodyDiv w:val="1"/>
      <w:marLeft w:val="0"/>
      <w:marRight w:val="0"/>
      <w:marTop w:val="0"/>
      <w:marBottom w:val="0"/>
      <w:divBdr>
        <w:top w:val="none" w:sz="0" w:space="0" w:color="auto"/>
        <w:left w:val="none" w:sz="0" w:space="0" w:color="auto"/>
        <w:bottom w:val="none" w:sz="0" w:space="0" w:color="auto"/>
        <w:right w:val="none" w:sz="0" w:space="0" w:color="auto"/>
      </w:divBdr>
    </w:div>
    <w:div w:id="1129516099">
      <w:bodyDiv w:val="1"/>
      <w:marLeft w:val="0"/>
      <w:marRight w:val="0"/>
      <w:marTop w:val="0"/>
      <w:marBottom w:val="0"/>
      <w:divBdr>
        <w:top w:val="none" w:sz="0" w:space="0" w:color="auto"/>
        <w:left w:val="none" w:sz="0" w:space="0" w:color="auto"/>
        <w:bottom w:val="none" w:sz="0" w:space="0" w:color="auto"/>
        <w:right w:val="none" w:sz="0" w:space="0" w:color="auto"/>
      </w:divBdr>
    </w:div>
    <w:div w:id="1180124350">
      <w:bodyDiv w:val="1"/>
      <w:marLeft w:val="0"/>
      <w:marRight w:val="0"/>
      <w:marTop w:val="0"/>
      <w:marBottom w:val="0"/>
      <w:divBdr>
        <w:top w:val="none" w:sz="0" w:space="0" w:color="auto"/>
        <w:left w:val="none" w:sz="0" w:space="0" w:color="auto"/>
        <w:bottom w:val="none" w:sz="0" w:space="0" w:color="auto"/>
        <w:right w:val="none" w:sz="0" w:space="0" w:color="auto"/>
      </w:divBdr>
    </w:div>
    <w:div w:id="1202398645">
      <w:bodyDiv w:val="1"/>
      <w:marLeft w:val="0"/>
      <w:marRight w:val="0"/>
      <w:marTop w:val="0"/>
      <w:marBottom w:val="0"/>
      <w:divBdr>
        <w:top w:val="none" w:sz="0" w:space="0" w:color="auto"/>
        <w:left w:val="none" w:sz="0" w:space="0" w:color="auto"/>
        <w:bottom w:val="none" w:sz="0" w:space="0" w:color="auto"/>
        <w:right w:val="none" w:sz="0" w:space="0" w:color="auto"/>
      </w:divBdr>
    </w:div>
    <w:div w:id="1203983725">
      <w:bodyDiv w:val="1"/>
      <w:marLeft w:val="0"/>
      <w:marRight w:val="0"/>
      <w:marTop w:val="0"/>
      <w:marBottom w:val="0"/>
      <w:divBdr>
        <w:top w:val="none" w:sz="0" w:space="0" w:color="auto"/>
        <w:left w:val="none" w:sz="0" w:space="0" w:color="auto"/>
        <w:bottom w:val="none" w:sz="0" w:space="0" w:color="auto"/>
        <w:right w:val="none" w:sz="0" w:space="0" w:color="auto"/>
      </w:divBdr>
    </w:div>
    <w:div w:id="1208882320">
      <w:bodyDiv w:val="1"/>
      <w:marLeft w:val="0"/>
      <w:marRight w:val="0"/>
      <w:marTop w:val="0"/>
      <w:marBottom w:val="0"/>
      <w:divBdr>
        <w:top w:val="none" w:sz="0" w:space="0" w:color="auto"/>
        <w:left w:val="none" w:sz="0" w:space="0" w:color="auto"/>
        <w:bottom w:val="none" w:sz="0" w:space="0" w:color="auto"/>
        <w:right w:val="none" w:sz="0" w:space="0" w:color="auto"/>
      </w:divBdr>
    </w:div>
    <w:div w:id="1216889717">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85886793">
      <w:bodyDiv w:val="1"/>
      <w:marLeft w:val="0"/>
      <w:marRight w:val="0"/>
      <w:marTop w:val="0"/>
      <w:marBottom w:val="0"/>
      <w:divBdr>
        <w:top w:val="none" w:sz="0" w:space="0" w:color="auto"/>
        <w:left w:val="none" w:sz="0" w:space="0" w:color="auto"/>
        <w:bottom w:val="none" w:sz="0" w:space="0" w:color="auto"/>
        <w:right w:val="none" w:sz="0" w:space="0" w:color="auto"/>
      </w:divBdr>
    </w:div>
    <w:div w:id="1339623275">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394231548">
      <w:bodyDiv w:val="1"/>
      <w:marLeft w:val="0"/>
      <w:marRight w:val="0"/>
      <w:marTop w:val="0"/>
      <w:marBottom w:val="0"/>
      <w:divBdr>
        <w:top w:val="none" w:sz="0" w:space="0" w:color="auto"/>
        <w:left w:val="none" w:sz="0" w:space="0" w:color="auto"/>
        <w:bottom w:val="none" w:sz="0" w:space="0" w:color="auto"/>
        <w:right w:val="none" w:sz="0" w:space="0" w:color="auto"/>
      </w:divBdr>
    </w:div>
    <w:div w:id="1414161234">
      <w:bodyDiv w:val="1"/>
      <w:marLeft w:val="0"/>
      <w:marRight w:val="0"/>
      <w:marTop w:val="0"/>
      <w:marBottom w:val="0"/>
      <w:divBdr>
        <w:top w:val="none" w:sz="0" w:space="0" w:color="auto"/>
        <w:left w:val="none" w:sz="0" w:space="0" w:color="auto"/>
        <w:bottom w:val="none" w:sz="0" w:space="0" w:color="auto"/>
        <w:right w:val="none" w:sz="0" w:space="0" w:color="auto"/>
      </w:divBdr>
    </w:div>
    <w:div w:id="1438479073">
      <w:bodyDiv w:val="1"/>
      <w:marLeft w:val="0"/>
      <w:marRight w:val="0"/>
      <w:marTop w:val="0"/>
      <w:marBottom w:val="0"/>
      <w:divBdr>
        <w:top w:val="none" w:sz="0" w:space="0" w:color="auto"/>
        <w:left w:val="none" w:sz="0" w:space="0" w:color="auto"/>
        <w:bottom w:val="none" w:sz="0" w:space="0" w:color="auto"/>
        <w:right w:val="none" w:sz="0" w:space="0" w:color="auto"/>
      </w:divBdr>
    </w:div>
    <w:div w:id="1470200845">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609041497">
      <w:bodyDiv w:val="1"/>
      <w:marLeft w:val="0"/>
      <w:marRight w:val="0"/>
      <w:marTop w:val="0"/>
      <w:marBottom w:val="0"/>
      <w:divBdr>
        <w:top w:val="none" w:sz="0" w:space="0" w:color="auto"/>
        <w:left w:val="none" w:sz="0" w:space="0" w:color="auto"/>
        <w:bottom w:val="none" w:sz="0" w:space="0" w:color="auto"/>
        <w:right w:val="none" w:sz="0" w:space="0" w:color="auto"/>
      </w:divBdr>
    </w:div>
    <w:div w:id="1644502417">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12606406">
      <w:bodyDiv w:val="1"/>
      <w:marLeft w:val="0"/>
      <w:marRight w:val="0"/>
      <w:marTop w:val="0"/>
      <w:marBottom w:val="0"/>
      <w:divBdr>
        <w:top w:val="none" w:sz="0" w:space="0" w:color="auto"/>
        <w:left w:val="none" w:sz="0" w:space="0" w:color="auto"/>
        <w:bottom w:val="none" w:sz="0" w:space="0" w:color="auto"/>
        <w:right w:val="none" w:sz="0" w:space="0" w:color="auto"/>
      </w:divBdr>
    </w:div>
    <w:div w:id="1726222585">
      <w:bodyDiv w:val="1"/>
      <w:marLeft w:val="0"/>
      <w:marRight w:val="0"/>
      <w:marTop w:val="0"/>
      <w:marBottom w:val="0"/>
      <w:divBdr>
        <w:top w:val="none" w:sz="0" w:space="0" w:color="auto"/>
        <w:left w:val="none" w:sz="0" w:space="0" w:color="auto"/>
        <w:bottom w:val="none" w:sz="0" w:space="0" w:color="auto"/>
        <w:right w:val="none" w:sz="0" w:space="0" w:color="auto"/>
      </w:divBdr>
    </w:div>
    <w:div w:id="1733112470">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761415458">
      <w:bodyDiv w:val="1"/>
      <w:marLeft w:val="0"/>
      <w:marRight w:val="0"/>
      <w:marTop w:val="0"/>
      <w:marBottom w:val="0"/>
      <w:divBdr>
        <w:top w:val="none" w:sz="0" w:space="0" w:color="auto"/>
        <w:left w:val="none" w:sz="0" w:space="0" w:color="auto"/>
        <w:bottom w:val="none" w:sz="0" w:space="0" w:color="auto"/>
        <w:right w:val="none" w:sz="0" w:space="0" w:color="auto"/>
      </w:divBdr>
    </w:div>
    <w:div w:id="1840151224">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1899173014">
      <w:bodyDiv w:val="1"/>
      <w:marLeft w:val="0"/>
      <w:marRight w:val="0"/>
      <w:marTop w:val="0"/>
      <w:marBottom w:val="0"/>
      <w:divBdr>
        <w:top w:val="none" w:sz="0" w:space="0" w:color="auto"/>
        <w:left w:val="none" w:sz="0" w:space="0" w:color="auto"/>
        <w:bottom w:val="none" w:sz="0" w:space="0" w:color="auto"/>
        <w:right w:val="none" w:sz="0" w:space="0" w:color="auto"/>
      </w:divBdr>
    </w:div>
    <w:div w:id="1929188920">
      <w:bodyDiv w:val="1"/>
      <w:marLeft w:val="0"/>
      <w:marRight w:val="0"/>
      <w:marTop w:val="0"/>
      <w:marBottom w:val="0"/>
      <w:divBdr>
        <w:top w:val="none" w:sz="0" w:space="0" w:color="auto"/>
        <w:left w:val="none" w:sz="0" w:space="0" w:color="auto"/>
        <w:bottom w:val="none" w:sz="0" w:space="0" w:color="auto"/>
        <w:right w:val="none" w:sz="0" w:space="0" w:color="auto"/>
      </w:divBdr>
    </w:div>
    <w:div w:id="2009283326">
      <w:bodyDiv w:val="1"/>
      <w:marLeft w:val="0"/>
      <w:marRight w:val="0"/>
      <w:marTop w:val="0"/>
      <w:marBottom w:val="0"/>
      <w:divBdr>
        <w:top w:val="none" w:sz="0" w:space="0" w:color="auto"/>
        <w:left w:val="none" w:sz="0" w:space="0" w:color="auto"/>
        <w:bottom w:val="none" w:sz="0" w:space="0" w:color="auto"/>
        <w:right w:val="none" w:sz="0" w:space="0" w:color="auto"/>
      </w:divBdr>
    </w:div>
    <w:div w:id="2080667806">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Broker.Consulting/" TargetMode="Externa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footer" Target="footer2.xm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yperlink" Target="http://okpointy.cz" TargetMode="External"/><Relationship Id="rId19" Type="http://schemas.openxmlformats.org/officeDocument/2006/relationships/footer" Target="footer1.xml"/><Relationship Id="rId31" Type="http://schemas.openxmlformats.org/officeDocument/2006/relationships/hyperlink" Target="mailto:michaela.sahulova@bcas.cz" TargetMode="Externa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yperlink" Target="https://www.bcas.cz/o-nas/broker-consulting-index-hypotecnich-uveru/" TargetMode="Externa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6F0CE-FE29-4767-A190-E203E0DFC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Pages>
  <Words>1285</Words>
  <Characters>7585</Characters>
  <Application>Microsoft Office Word</Application>
  <DocSecurity>0</DocSecurity>
  <Lines>63</Lines>
  <Paragraphs>17</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17</cp:revision>
  <cp:lastPrinted>2023-03-06T11:31:00Z</cp:lastPrinted>
  <dcterms:created xsi:type="dcterms:W3CDTF">2024-01-31T10:33:00Z</dcterms:created>
  <dcterms:modified xsi:type="dcterms:W3CDTF">2024-02-05T12:38:00Z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