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55C2E0F5" w14:textId="77777777" w:rsidR="00F63179" w:rsidRPr="005B7E46" w:rsidRDefault="00F63179" w:rsidP="00F63179">
      <w:pPr>
        <w:jc w:val="both"/>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proofErr w:type="spellStart"/>
      <w:r w:rsidRPr="00A0680F">
        <w:rPr>
          <w:rFonts w:asciiTheme="minorHAnsi" w:hAnsiTheme="minorHAnsi" w:cstheme="minorHAnsi"/>
          <w:b/>
          <w:color w:val="FF0000"/>
          <w:sz w:val="20"/>
          <w:szCs w:val="20"/>
        </w:rPr>
        <w:t>Franchisor</w:t>
      </w:r>
      <w:proofErr w:type="spellEnd"/>
      <w:r w:rsidRPr="00A0680F">
        <w:rPr>
          <w:rFonts w:asciiTheme="minorHAnsi" w:hAnsiTheme="minorHAnsi" w:cstheme="minorHAnsi"/>
          <w:b/>
          <w:color w:val="FF0000"/>
          <w:sz w:val="20"/>
          <w:szCs w:val="20"/>
        </w:rPr>
        <w:t xml:space="preserve">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sidRPr="005B7E46">
        <w:rPr>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Více</w:t>
      </w:r>
      <w:proofErr w:type="spellEnd"/>
      <w:r w:rsidRPr="005B7E46">
        <w:rPr>
          <w:rStyle w:val="dn"/>
          <w:rFonts w:asciiTheme="minorHAnsi" w:hAnsiTheme="minorHAnsi" w:cstheme="minorHAnsi"/>
          <w:sz w:val="20"/>
          <w:szCs w:val="20"/>
        </w:rPr>
        <w:t xml:space="preserv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proofErr w:type="spellStart"/>
      <w:r w:rsidRPr="005B7E46">
        <w:rPr>
          <w:rStyle w:val="dn"/>
          <w:rFonts w:asciiTheme="minorHAnsi" w:hAnsiTheme="minorHAnsi" w:cstheme="minorHAnsi"/>
          <w:sz w:val="20"/>
          <w:szCs w:val="20"/>
        </w:rPr>
        <w:t>Navštivte</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také</w:t>
      </w:r>
      <w:proofErr w:type="spellEnd"/>
      <w:r w:rsidRPr="005B7E46">
        <w:rPr>
          <w:rStyle w:val="dn"/>
          <w:rFonts w:asciiTheme="minorHAnsi" w:hAnsiTheme="minorHAnsi" w:cstheme="minorHAnsi"/>
          <w:sz w:val="20"/>
          <w:szCs w:val="20"/>
        </w:rPr>
        <w:t xml:space="preserve"> </w:t>
      </w:r>
      <w:proofErr w:type="spellStart"/>
      <w:r w:rsidRPr="005B7E46">
        <w:rPr>
          <w:rStyle w:val="dn"/>
          <w:rFonts w:asciiTheme="minorHAnsi" w:hAnsiTheme="minorHAnsi" w:cstheme="minorHAnsi"/>
          <w:sz w:val="20"/>
          <w:szCs w:val="20"/>
        </w:rPr>
        <w:t>náš</w:t>
      </w:r>
      <w:proofErr w:type="spellEnd"/>
      <w:r w:rsidRPr="005B7E46">
        <w:rPr>
          <w:rStyle w:val="dn"/>
          <w:rFonts w:asciiTheme="minorHAnsi" w:hAnsiTheme="minorHAnsi" w:cstheme="minorHAnsi"/>
          <w:sz w:val="20"/>
          <w:szCs w:val="20"/>
        </w:rPr>
        <w:t xml:space="preserve"> </w:t>
      </w:r>
      <w:hyperlink r:id="rId13"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w:t>
      </w:r>
      <w:hyperlink r:id="rId14" w:history="1">
        <w:proofErr w:type="spellStart"/>
        <w:r w:rsidRPr="005B7E46">
          <w:rPr>
            <w:rStyle w:val="Hypertextovodkaz"/>
            <w:rFonts w:asciiTheme="minorHAnsi" w:hAnsiTheme="minorHAnsi" w:cstheme="minorHAnsi"/>
            <w:color w:val="auto"/>
            <w:sz w:val="20"/>
            <w:szCs w:val="20"/>
          </w:rPr>
          <w:t>LinkedIN</w:t>
        </w:r>
        <w:proofErr w:type="spellEnd"/>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w:t>
      </w:r>
      <w:proofErr w:type="spellStart"/>
      <w:r w:rsidRPr="005B7E46">
        <w:rPr>
          <w:rFonts w:asciiTheme="minorHAnsi" w:hAnsiTheme="minorHAnsi" w:cstheme="minorHAnsi"/>
          <w:sz w:val="20"/>
          <w:szCs w:val="20"/>
          <w:shd w:val="clear" w:color="auto" w:fill="FFFFFF"/>
        </w:rPr>
        <w:t>BC_oficialni</w:t>
      </w:r>
      <w:proofErr w:type="spellEnd"/>
      <w:r w:rsidRPr="005B7E46">
        <w:rPr>
          <w:rFonts w:asciiTheme="minorHAnsi" w:hAnsiTheme="minorHAnsi" w:cstheme="minorHAnsi"/>
          <w:sz w:val="20"/>
          <w:szCs w:val="20"/>
          <w:shd w:val="clear" w:color="auto" w:fill="FFFFFF"/>
        </w:rPr>
        <w:t xml:space="preserve">, </w:t>
      </w:r>
      <w:r w:rsidRPr="005B7E46">
        <w:rPr>
          <w:rStyle w:val="dn"/>
          <w:rFonts w:asciiTheme="minorHAnsi" w:hAnsiTheme="minorHAnsi" w:cstheme="minorHAnsi"/>
          <w:sz w:val="20"/>
          <w:szCs w:val="20"/>
        </w:rPr>
        <w:t xml:space="preserve"> </w:t>
      </w:r>
      <w:hyperlink r:id="rId15" w:history="1">
        <w:proofErr w:type="spellStart"/>
        <w:r w:rsidRPr="005B7E46">
          <w:rPr>
            <w:rStyle w:val="Hypertextovodkaz"/>
            <w:rFonts w:asciiTheme="minorHAnsi" w:hAnsiTheme="minorHAnsi" w:cstheme="minorHAnsi"/>
            <w:color w:val="auto"/>
            <w:sz w:val="20"/>
            <w:szCs w:val="20"/>
          </w:rPr>
          <w:t>Facebook</w:t>
        </w:r>
        <w:proofErr w:type="spellEnd"/>
      </w:hyperlink>
      <w:r w:rsidRPr="005B7E46">
        <w:rPr>
          <w:rStyle w:val="dn"/>
          <w:rFonts w:asciiTheme="minorHAnsi" w:hAnsiTheme="minorHAnsi" w:cstheme="minorHAnsi"/>
          <w:sz w:val="20"/>
          <w:szCs w:val="20"/>
        </w:rPr>
        <w:t xml:space="preserve"> a </w:t>
      </w:r>
      <w:hyperlink r:id="rId16" w:history="1">
        <w:proofErr w:type="spellStart"/>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proofErr w:type="spellEnd"/>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2E7F1E7F" w14:textId="77777777" w:rsidR="00277E70" w:rsidRPr="00303BCE" w:rsidRDefault="00277E70" w:rsidP="00277E70">
      <w:pPr>
        <w:pStyle w:val="Odstavecseseznamem"/>
        <w:spacing w:after="120"/>
        <w:ind w:left="720" w:firstLine="0"/>
        <w:jc w:val="center"/>
        <w:rPr>
          <w:rFonts w:asciiTheme="minorHAnsi" w:hAnsiTheme="minorHAnsi" w:cstheme="minorHAnsi"/>
          <w:b/>
          <w:sz w:val="30"/>
          <w:szCs w:val="30"/>
        </w:rPr>
      </w:pPr>
      <w:r w:rsidRPr="00303BCE">
        <w:rPr>
          <w:rFonts w:asciiTheme="minorHAnsi" w:hAnsiTheme="minorHAnsi" w:cstheme="minorHAnsi"/>
          <w:b/>
          <w:sz w:val="30"/>
          <w:szCs w:val="30"/>
        </w:rPr>
        <w:lastRenderedPageBreak/>
        <w:t>V </w:t>
      </w:r>
      <w:r>
        <w:rPr>
          <w:rFonts w:asciiTheme="minorHAnsi" w:hAnsiTheme="minorHAnsi" w:cstheme="minorHAnsi"/>
          <w:b/>
          <w:sz w:val="30"/>
          <w:szCs w:val="30"/>
        </w:rPr>
        <w:t>prosinci</w:t>
      </w:r>
      <w:r w:rsidRPr="00303BCE">
        <w:rPr>
          <w:rFonts w:asciiTheme="minorHAnsi" w:hAnsiTheme="minorHAnsi" w:cstheme="minorHAnsi"/>
          <w:b/>
          <w:sz w:val="30"/>
          <w:szCs w:val="30"/>
        </w:rPr>
        <w:t xml:space="preserve"> vzrostla průměrná cena povinného ručení o </w:t>
      </w:r>
      <w:r>
        <w:rPr>
          <w:rFonts w:asciiTheme="minorHAnsi" w:hAnsiTheme="minorHAnsi" w:cstheme="minorHAnsi"/>
          <w:b/>
          <w:sz w:val="30"/>
          <w:szCs w:val="30"/>
        </w:rPr>
        <w:t>114</w:t>
      </w:r>
      <w:r w:rsidRPr="00303BCE">
        <w:rPr>
          <w:rFonts w:asciiTheme="minorHAnsi" w:hAnsiTheme="minorHAnsi" w:cstheme="minorHAnsi"/>
          <w:b/>
          <w:sz w:val="30"/>
          <w:szCs w:val="30"/>
        </w:rPr>
        <w:t xml:space="preserve"> korun</w:t>
      </w:r>
    </w:p>
    <w:p w14:paraId="5F4B3FB8" w14:textId="27614A9E" w:rsidR="00EE591F" w:rsidRPr="00EE591F" w:rsidRDefault="00EE591F" w:rsidP="00EE591F">
      <w:pPr>
        <w:pStyle w:val="Odstavecseseznamem"/>
        <w:numPr>
          <w:ilvl w:val="0"/>
          <w:numId w:val="24"/>
        </w:numPr>
        <w:ind w:left="357" w:right="40" w:hanging="357"/>
        <w:rPr>
          <w:rFonts w:asciiTheme="minorHAnsi" w:hAnsiTheme="minorHAnsi" w:cstheme="minorHAnsi"/>
          <w:b/>
        </w:rPr>
      </w:pPr>
      <w:r w:rsidRPr="00EE591F">
        <w:rPr>
          <w:rFonts w:asciiTheme="minorHAnsi" w:hAnsiTheme="minorHAnsi" w:cstheme="minorHAnsi"/>
          <w:b/>
        </w:rPr>
        <w:t xml:space="preserve">V prosinci 2023 zaznamenal Broker Consulting </w:t>
      </w:r>
      <w:proofErr w:type="spellStart"/>
      <w:r w:rsidRPr="00EE591F">
        <w:rPr>
          <w:rFonts w:asciiTheme="minorHAnsi" w:hAnsiTheme="minorHAnsi" w:cstheme="minorHAnsi"/>
          <w:b/>
        </w:rPr>
        <w:t>POVIndex</w:t>
      </w:r>
      <w:proofErr w:type="spellEnd"/>
      <w:r w:rsidR="00EF56AC">
        <w:rPr>
          <w:rFonts w:asciiTheme="minorHAnsi" w:hAnsiTheme="minorHAnsi" w:cstheme="minorHAnsi"/>
          <w:b/>
        </w:rPr>
        <w:t xml:space="preserve"> opět růst, tentokrát o 1,62 procenta</w:t>
      </w:r>
      <w:r w:rsidRPr="00EE591F">
        <w:rPr>
          <w:rFonts w:asciiTheme="minorHAnsi" w:hAnsiTheme="minorHAnsi" w:cstheme="minorHAnsi"/>
          <w:b/>
        </w:rPr>
        <w:t>.</w:t>
      </w:r>
    </w:p>
    <w:p w14:paraId="64D86782" w14:textId="77777777" w:rsidR="00EE591F" w:rsidRPr="00EE591F" w:rsidRDefault="00EE591F" w:rsidP="00EE591F">
      <w:pPr>
        <w:pStyle w:val="Odstavecseseznamem"/>
        <w:numPr>
          <w:ilvl w:val="0"/>
          <w:numId w:val="24"/>
        </w:numPr>
        <w:ind w:left="357" w:right="40" w:hanging="357"/>
        <w:rPr>
          <w:rFonts w:asciiTheme="minorHAnsi" w:hAnsiTheme="minorHAnsi" w:cstheme="minorHAnsi"/>
          <w:b/>
        </w:rPr>
      </w:pPr>
      <w:r w:rsidRPr="00EE591F">
        <w:rPr>
          <w:rFonts w:asciiTheme="minorHAnsi" w:hAnsiTheme="minorHAnsi" w:cstheme="minorHAnsi"/>
          <w:b/>
        </w:rPr>
        <w:t xml:space="preserve">Celorepublikový průměr ceny povinného ručení vzrostl o 114 korun na konečných 7 137 Kč. </w:t>
      </w:r>
    </w:p>
    <w:p w14:paraId="5D07D51E" w14:textId="00F444F8" w:rsidR="00EE591F" w:rsidRPr="00EE591F" w:rsidRDefault="008247C3" w:rsidP="00EE591F">
      <w:pPr>
        <w:pStyle w:val="Odstavecseseznamem"/>
        <w:numPr>
          <w:ilvl w:val="0"/>
          <w:numId w:val="24"/>
        </w:numPr>
        <w:spacing w:after="120"/>
        <w:ind w:left="357" w:right="40" w:hanging="357"/>
        <w:rPr>
          <w:rFonts w:asciiTheme="minorHAnsi" w:hAnsiTheme="minorHAnsi" w:cstheme="minorHAnsi"/>
          <w:b/>
        </w:rPr>
      </w:pPr>
      <w:r>
        <w:rPr>
          <w:rFonts w:asciiTheme="minorHAnsi" w:hAnsiTheme="minorHAnsi" w:cstheme="minorHAnsi"/>
          <w:b/>
        </w:rPr>
        <w:t>V roce 2024</w:t>
      </w:r>
      <w:r w:rsidR="00EE591F" w:rsidRPr="00EE591F">
        <w:rPr>
          <w:rFonts w:asciiTheme="minorHAnsi" w:hAnsiTheme="minorHAnsi" w:cstheme="minorHAnsi"/>
          <w:b/>
        </w:rPr>
        <w:t xml:space="preserve"> se povinné ručení </w:t>
      </w:r>
      <w:r w:rsidR="00083E38">
        <w:rPr>
          <w:rFonts w:asciiTheme="minorHAnsi" w:hAnsiTheme="minorHAnsi" w:cstheme="minorHAnsi"/>
          <w:b/>
        </w:rPr>
        <w:t>začne</w:t>
      </w:r>
      <w:bookmarkStart w:id="0" w:name="_GoBack"/>
      <w:bookmarkEnd w:id="0"/>
      <w:r>
        <w:rPr>
          <w:rFonts w:asciiTheme="minorHAnsi" w:hAnsiTheme="minorHAnsi" w:cstheme="minorHAnsi"/>
          <w:b/>
        </w:rPr>
        <w:t xml:space="preserve"> řídit</w:t>
      </w:r>
      <w:r w:rsidR="00EE591F" w:rsidRPr="00EE591F">
        <w:rPr>
          <w:rFonts w:asciiTheme="minorHAnsi" w:hAnsiTheme="minorHAnsi" w:cstheme="minorHAnsi"/>
          <w:b/>
        </w:rPr>
        <w:t xml:space="preserve"> novými pravidly.</w:t>
      </w:r>
    </w:p>
    <w:p w14:paraId="63EC8A1C" w14:textId="419AEDC9" w:rsidR="00B20F7B" w:rsidRPr="00EE591F" w:rsidRDefault="00825B44" w:rsidP="002F2D65">
      <w:pPr>
        <w:spacing w:after="120"/>
        <w:ind w:right="40"/>
        <w:rPr>
          <w:rFonts w:asciiTheme="minorHAnsi" w:hAnsiTheme="minorHAnsi" w:cstheme="minorHAnsi"/>
          <w:b/>
          <w:sz w:val="21"/>
          <w:szCs w:val="21"/>
        </w:rPr>
      </w:pPr>
      <w:r w:rsidRPr="002F2D65">
        <w:rPr>
          <w:rFonts w:asciiTheme="minorHAnsi" w:hAnsiTheme="minorHAnsi" w:cstheme="minorHAnsi"/>
          <w:i/>
          <w:sz w:val="21"/>
          <w:szCs w:val="21"/>
        </w:rPr>
        <w:t>Praha</w:t>
      </w:r>
      <w:r w:rsidR="00582562" w:rsidRPr="002F2D65">
        <w:rPr>
          <w:rFonts w:asciiTheme="minorHAnsi" w:hAnsiTheme="minorHAnsi" w:cstheme="minorHAnsi"/>
          <w:i/>
          <w:sz w:val="21"/>
          <w:szCs w:val="21"/>
        </w:rPr>
        <w:t>,</w:t>
      </w:r>
      <w:r w:rsidRPr="002F2D65">
        <w:rPr>
          <w:rFonts w:asciiTheme="minorHAnsi" w:hAnsiTheme="minorHAnsi" w:cstheme="minorHAnsi"/>
          <w:i/>
          <w:sz w:val="21"/>
          <w:szCs w:val="21"/>
        </w:rPr>
        <w:t xml:space="preserve"> </w:t>
      </w:r>
      <w:r w:rsidR="008247C3">
        <w:rPr>
          <w:rFonts w:asciiTheme="minorHAnsi" w:hAnsiTheme="minorHAnsi" w:cstheme="minorHAnsi"/>
          <w:i/>
          <w:sz w:val="21"/>
          <w:szCs w:val="21"/>
        </w:rPr>
        <w:t>16</w:t>
      </w:r>
      <w:r w:rsidR="0072021D" w:rsidRPr="00EE591F">
        <w:rPr>
          <w:rFonts w:asciiTheme="minorHAnsi" w:hAnsiTheme="minorHAnsi" w:cstheme="minorHAnsi"/>
          <w:i/>
          <w:sz w:val="21"/>
          <w:szCs w:val="21"/>
        </w:rPr>
        <w:t>.</w:t>
      </w:r>
      <w:r w:rsidR="0072021D">
        <w:rPr>
          <w:rFonts w:asciiTheme="minorHAnsi" w:hAnsiTheme="minorHAnsi" w:cstheme="minorHAnsi"/>
          <w:i/>
          <w:sz w:val="21"/>
          <w:szCs w:val="21"/>
        </w:rPr>
        <w:t xml:space="preserve"> ledna 2024</w:t>
      </w:r>
      <w:r w:rsidR="00B20F7B" w:rsidRPr="002F2D65">
        <w:rPr>
          <w:rFonts w:asciiTheme="minorHAnsi" w:hAnsiTheme="minorHAnsi" w:cstheme="minorHAnsi"/>
          <w:b/>
          <w:sz w:val="21"/>
          <w:szCs w:val="21"/>
        </w:rPr>
        <w:t xml:space="preserve"> – </w:t>
      </w:r>
      <w:r w:rsidR="00EE591F" w:rsidRPr="00EE591F">
        <w:rPr>
          <w:rFonts w:asciiTheme="minorHAnsi" w:hAnsiTheme="minorHAnsi" w:cstheme="minorHAnsi"/>
          <w:b/>
          <w:sz w:val="21"/>
          <w:szCs w:val="21"/>
        </w:rPr>
        <w:t xml:space="preserve">Monitorovaná hodnota Broker Consulting </w:t>
      </w:r>
      <w:proofErr w:type="spellStart"/>
      <w:r w:rsidR="00EE591F" w:rsidRPr="00EE591F">
        <w:rPr>
          <w:rFonts w:asciiTheme="minorHAnsi" w:hAnsiTheme="minorHAnsi" w:cstheme="minorHAnsi"/>
          <w:b/>
          <w:sz w:val="21"/>
          <w:szCs w:val="21"/>
        </w:rPr>
        <w:t>POVIndexu</w:t>
      </w:r>
      <w:proofErr w:type="spellEnd"/>
      <w:r w:rsidR="00EE591F" w:rsidRPr="00EE591F">
        <w:rPr>
          <w:rFonts w:asciiTheme="minorHAnsi" w:hAnsiTheme="minorHAnsi" w:cstheme="minorHAnsi"/>
          <w:b/>
          <w:sz w:val="21"/>
          <w:szCs w:val="21"/>
        </w:rPr>
        <w:t xml:space="preserve"> za prosinec stoupla oproti předchozímu měsíci o 114 korun. V posledním měsíci roku 2023 byla</w:t>
      </w:r>
      <w:r w:rsidR="00334CD1">
        <w:rPr>
          <w:rFonts w:asciiTheme="minorHAnsi" w:hAnsiTheme="minorHAnsi" w:cstheme="minorHAnsi"/>
          <w:b/>
          <w:sz w:val="21"/>
          <w:szCs w:val="21"/>
        </w:rPr>
        <w:t xml:space="preserve"> tedy</w:t>
      </w:r>
      <w:r w:rsidR="00EE591F" w:rsidRPr="00EE591F">
        <w:rPr>
          <w:rFonts w:asciiTheme="minorHAnsi" w:hAnsiTheme="minorHAnsi" w:cstheme="minorHAnsi"/>
          <w:b/>
          <w:sz w:val="21"/>
          <w:szCs w:val="21"/>
        </w:rPr>
        <w:t xml:space="preserve"> průměrná cena povinného ručení 7 137 korun. Dlouhodobý trend pozvolného růstu tedy i nadále pokračuje. I přesto ale částka nedosahuje na vstupní prosincovou hodnotu POV indexu z roku 2019, která je nejvyšší za celou dobu sledování. Vývoj cen povinného ručení v Praze vykazuje stejný průběh, v malých městech jako je Benešov u Prahy je sit</w:t>
      </w:r>
      <w:r w:rsidR="00334CD1">
        <w:rPr>
          <w:rFonts w:asciiTheme="minorHAnsi" w:hAnsiTheme="minorHAnsi" w:cstheme="minorHAnsi"/>
          <w:b/>
          <w:sz w:val="21"/>
          <w:szCs w:val="21"/>
        </w:rPr>
        <w:t xml:space="preserve">uace lehce odlišná. Pro </w:t>
      </w:r>
      <w:r w:rsidR="00EE591F" w:rsidRPr="00EE591F">
        <w:rPr>
          <w:rFonts w:asciiTheme="minorHAnsi" w:hAnsiTheme="minorHAnsi" w:cstheme="minorHAnsi"/>
          <w:b/>
          <w:sz w:val="21"/>
          <w:szCs w:val="21"/>
        </w:rPr>
        <w:t xml:space="preserve">řidiče </w:t>
      </w:r>
      <w:r w:rsidR="00661F01">
        <w:rPr>
          <w:rFonts w:asciiTheme="minorHAnsi" w:hAnsiTheme="minorHAnsi" w:cstheme="minorHAnsi"/>
          <w:b/>
          <w:sz w:val="21"/>
          <w:szCs w:val="21"/>
        </w:rPr>
        <w:t>se v roce</w:t>
      </w:r>
      <w:r w:rsidR="00EE591F" w:rsidRPr="00EE591F">
        <w:rPr>
          <w:rFonts w:asciiTheme="minorHAnsi" w:hAnsiTheme="minorHAnsi" w:cstheme="minorHAnsi"/>
          <w:b/>
          <w:sz w:val="21"/>
          <w:szCs w:val="21"/>
        </w:rPr>
        <w:t xml:space="preserve"> 2024 </w:t>
      </w:r>
      <w:r w:rsidR="00661F01">
        <w:rPr>
          <w:rFonts w:asciiTheme="minorHAnsi" w:hAnsiTheme="minorHAnsi" w:cstheme="minorHAnsi"/>
          <w:b/>
          <w:sz w:val="21"/>
          <w:szCs w:val="21"/>
        </w:rPr>
        <w:t xml:space="preserve">zavedou </w:t>
      </w:r>
      <w:r w:rsidR="00EE591F" w:rsidRPr="00EE591F">
        <w:rPr>
          <w:rFonts w:asciiTheme="minorHAnsi" w:hAnsiTheme="minorHAnsi" w:cstheme="minorHAnsi"/>
          <w:b/>
          <w:sz w:val="21"/>
          <w:szCs w:val="21"/>
        </w:rPr>
        <w:t>nová pravidla</w:t>
      </w:r>
      <w:r w:rsidR="00216985">
        <w:rPr>
          <w:rFonts w:asciiTheme="minorHAnsi" w:hAnsiTheme="minorHAnsi" w:cstheme="minorHAnsi"/>
          <w:b/>
          <w:sz w:val="21"/>
          <w:szCs w:val="21"/>
        </w:rPr>
        <w:t xml:space="preserve"> v povinném ručení, které přinese</w:t>
      </w:r>
      <w:r w:rsidR="00EE591F" w:rsidRPr="00EE591F">
        <w:rPr>
          <w:rFonts w:asciiTheme="minorHAnsi" w:hAnsiTheme="minorHAnsi" w:cstheme="minorHAnsi"/>
          <w:b/>
          <w:sz w:val="21"/>
          <w:szCs w:val="21"/>
        </w:rPr>
        <w:t xml:space="preserve"> </w:t>
      </w:r>
      <w:r w:rsidR="007E6E94">
        <w:rPr>
          <w:rFonts w:asciiTheme="minorHAnsi" w:hAnsiTheme="minorHAnsi" w:cstheme="minorHAnsi"/>
          <w:b/>
          <w:sz w:val="21"/>
          <w:szCs w:val="21"/>
        </w:rPr>
        <w:t>novela zákona</w:t>
      </w:r>
      <w:r w:rsidR="00EE591F" w:rsidRPr="00EE591F">
        <w:rPr>
          <w:rFonts w:asciiTheme="minorHAnsi" w:hAnsiTheme="minorHAnsi" w:cstheme="minorHAnsi"/>
          <w:b/>
          <w:sz w:val="21"/>
          <w:szCs w:val="21"/>
        </w:rPr>
        <w:t xml:space="preserve"> o pojištění odpovědnosti u provozu vozidla.</w:t>
      </w:r>
    </w:p>
    <w:p w14:paraId="0B884380" w14:textId="56072159" w:rsidR="00EE591F" w:rsidRPr="00EE591F" w:rsidRDefault="00EE591F" w:rsidP="00EE591F">
      <w:pPr>
        <w:spacing w:after="120"/>
        <w:ind w:right="130"/>
        <w:rPr>
          <w:rFonts w:asciiTheme="minorHAnsi" w:hAnsiTheme="minorHAnsi" w:cstheme="minorHAnsi"/>
          <w:sz w:val="21"/>
          <w:szCs w:val="21"/>
        </w:rPr>
      </w:pPr>
      <w:r w:rsidRPr="00EE591F">
        <w:rPr>
          <w:rFonts w:asciiTheme="minorHAnsi" w:hAnsiTheme="minorHAnsi" w:cstheme="minorHAnsi"/>
          <w:sz w:val="21"/>
          <w:szCs w:val="21"/>
        </w:rPr>
        <w:t xml:space="preserve">Broker Consulting </w:t>
      </w:r>
      <w:proofErr w:type="spellStart"/>
      <w:r w:rsidRPr="00EE591F">
        <w:rPr>
          <w:rFonts w:asciiTheme="minorHAnsi" w:hAnsiTheme="minorHAnsi" w:cstheme="minorHAnsi"/>
          <w:sz w:val="21"/>
          <w:szCs w:val="21"/>
        </w:rPr>
        <w:t>POVIndex</w:t>
      </w:r>
      <w:proofErr w:type="spellEnd"/>
      <w:r w:rsidRPr="00EE591F">
        <w:rPr>
          <w:rFonts w:asciiTheme="minorHAnsi" w:hAnsiTheme="minorHAnsi" w:cstheme="minorHAnsi"/>
          <w:sz w:val="21"/>
          <w:szCs w:val="21"/>
        </w:rPr>
        <w:t xml:space="preserve"> zaznamenal v prosince 2023 opět nárůst. </w:t>
      </w:r>
      <w:r w:rsidRPr="00EE591F">
        <w:rPr>
          <w:rFonts w:asciiTheme="minorHAnsi" w:hAnsiTheme="minorHAnsi" w:cstheme="minorHAnsi"/>
          <w:i/>
          <w:iCs/>
          <w:sz w:val="21"/>
          <w:szCs w:val="21"/>
        </w:rPr>
        <w:t>„V posledním měsíci loňského roku jsme mohli sledovat růst indexu. Konkrétně mluvíme o meziměsíčním navýšení průměrné ceny povinného ručení o 114 korun, což odpovídá nárůstu 1,62 procenta,“</w:t>
      </w:r>
      <w:r w:rsidRPr="00EE591F">
        <w:rPr>
          <w:rFonts w:asciiTheme="minorHAnsi" w:hAnsiTheme="minorHAnsi" w:cstheme="minorHAnsi"/>
          <w:sz w:val="21"/>
          <w:szCs w:val="21"/>
        </w:rPr>
        <w:t xml:space="preserve"> komentuje situaci </w:t>
      </w:r>
      <w:r w:rsidRPr="00EE591F">
        <w:rPr>
          <w:rFonts w:asciiTheme="minorHAnsi" w:hAnsiTheme="minorHAnsi" w:cstheme="minorHAnsi"/>
          <w:b/>
          <w:bCs/>
          <w:sz w:val="21"/>
          <w:szCs w:val="21"/>
        </w:rPr>
        <w:t>hlavní analytik společnosti Broker Consulting Martin Novák</w:t>
      </w:r>
      <w:r w:rsidRPr="00EE591F">
        <w:rPr>
          <w:rFonts w:asciiTheme="minorHAnsi" w:hAnsiTheme="minorHAnsi" w:cstheme="minorHAnsi"/>
          <w:sz w:val="21"/>
          <w:szCs w:val="21"/>
        </w:rPr>
        <w:t>. Prosincov</w:t>
      </w:r>
      <w:r w:rsidR="00661F01">
        <w:rPr>
          <w:rFonts w:asciiTheme="minorHAnsi" w:hAnsiTheme="minorHAnsi" w:cstheme="minorHAnsi"/>
          <w:sz w:val="21"/>
          <w:szCs w:val="21"/>
        </w:rPr>
        <w:t xml:space="preserve">á hodnota Broker Consulting </w:t>
      </w:r>
      <w:proofErr w:type="spellStart"/>
      <w:r w:rsidR="00661F01">
        <w:rPr>
          <w:rFonts w:asciiTheme="minorHAnsi" w:hAnsiTheme="minorHAnsi" w:cstheme="minorHAnsi"/>
          <w:sz w:val="21"/>
          <w:szCs w:val="21"/>
        </w:rPr>
        <w:t>POVI</w:t>
      </w:r>
      <w:r w:rsidRPr="00EE591F">
        <w:rPr>
          <w:rFonts w:asciiTheme="minorHAnsi" w:hAnsiTheme="minorHAnsi" w:cstheme="minorHAnsi"/>
          <w:sz w:val="21"/>
          <w:szCs w:val="21"/>
        </w:rPr>
        <w:t>ndexu</w:t>
      </w:r>
      <w:proofErr w:type="spellEnd"/>
      <w:r w:rsidRPr="00EE591F">
        <w:rPr>
          <w:rFonts w:asciiTheme="minorHAnsi" w:hAnsiTheme="minorHAnsi" w:cstheme="minorHAnsi"/>
          <w:sz w:val="21"/>
          <w:szCs w:val="21"/>
        </w:rPr>
        <w:t xml:space="preserve"> se zastavila na konečných 7 137 korunách. </w:t>
      </w:r>
    </w:p>
    <w:p w14:paraId="05922E91" w14:textId="4F60F6CA" w:rsidR="00EE591F" w:rsidRPr="00EE591F" w:rsidRDefault="00EE591F" w:rsidP="00EE591F">
      <w:pPr>
        <w:spacing w:after="120"/>
        <w:ind w:right="130"/>
        <w:rPr>
          <w:rFonts w:asciiTheme="minorHAnsi" w:hAnsiTheme="minorHAnsi" w:cstheme="minorHAnsi"/>
          <w:sz w:val="21"/>
          <w:szCs w:val="21"/>
        </w:rPr>
      </w:pPr>
      <w:r w:rsidRPr="00EE591F">
        <w:rPr>
          <w:rFonts w:asciiTheme="minorHAnsi" w:hAnsiTheme="minorHAnsi" w:cstheme="minorHAnsi"/>
          <w:sz w:val="21"/>
          <w:szCs w:val="21"/>
        </w:rPr>
        <w:t xml:space="preserve">Meziroční srovnání všech prosincových hodnot Broker Consulting </w:t>
      </w:r>
      <w:proofErr w:type="spellStart"/>
      <w:r w:rsidRPr="00EE591F">
        <w:rPr>
          <w:rFonts w:asciiTheme="minorHAnsi" w:hAnsiTheme="minorHAnsi" w:cstheme="minorHAnsi"/>
          <w:sz w:val="21"/>
          <w:szCs w:val="21"/>
        </w:rPr>
        <w:t>POVIndexu</w:t>
      </w:r>
      <w:proofErr w:type="spellEnd"/>
      <w:r w:rsidRPr="00EE591F">
        <w:rPr>
          <w:rFonts w:asciiTheme="minorHAnsi" w:hAnsiTheme="minorHAnsi" w:cstheme="minorHAnsi"/>
          <w:sz w:val="21"/>
          <w:szCs w:val="21"/>
        </w:rPr>
        <w:t xml:space="preserve"> od počátku měření v roce 2019 ukazuje, že zatím nejvyšší hodnotou byla hned ta vstupní (7 667 korun). Hranici sedmi tisíc ještě pokořila i poslední </w:t>
      </w:r>
      <w:r w:rsidR="00E2591F">
        <w:rPr>
          <w:rFonts w:asciiTheme="minorHAnsi" w:hAnsiTheme="minorHAnsi" w:cstheme="minorHAnsi"/>
          <w:sz w:val="21"/>
          <w:szCs w:val="21"/>
        </w:rPr>
        <w:t>na</w:t>
      </w:r>
      <w:r w:rsidRPr="00EE591F">
        <w:rPr>
          <w:rFonts w:asciiTheme="minorHAnsi" w:hAnsiTheme="minorHAnsi" w:cstheme="minorHAnsi"/>
          <w:sz w:val="21"/>
          <w:szCs w:val="21"/>
        </w:rPr>
        <w:t>měřená hodnota v prosinci 2023 (7 137 korun). Další pozici zaujímá prosinec</w:t>
      </w:r>
      <w:r w:rsidR="00165614">
        <w:rPr>
          <w:rFonts w:asciiTheme="minorHAnsi" w:hAnsiTheme="minorHAnsi" w:cstheme="minorHAnsi"/>
          <w:sz w:val="21"/>
          <w:szCs w:val="21"/>
        </w:rPr>
        <w:t xml:space="preserve"> 2022 s hodnotou 6 725 korun. </w:t>
      </w:r>
      <w:r w:rsidRPr="00EE591F">
        <w:rPr>
          <w:rFonts w:asciiTheme="minorHAnsi" w:hAnsiTheme="minorHAnsi" w:cstheme="minorHAnsi"/>
          <w:sz w:val="21"/>
          <w:szCs w:val="21"/>
        </w:rPr>
        <w:t xml:space="preserve">Prosinec roku 2020 </w:t>
      </w:r>
      <w:r w:rsidR="00165614">
        <w:rPr>
          <w:rFonts w:asciiTheme="minorHAnsi" w:hAnsiTheme="minorHAnsi" w:cstheme="minorHAnsi"/>
          <w:sz w:val="21"/>
          <w:szCs w:val="21"/>
        </w:rPr>
        <w:t xml:space="preserve">je poté s částkou </w:t>
      </w:r>
      <w:r w:rsidRPr="00EE591F">
        <w:rPr>
          <w:rFonts w:asciiTheme="minorHAnsi" w:hAnsiTheme="minorHAnsi" w:cstheme="minorHAnsi"/>
          <w:sz w:val="21"/>
          <w:szCs w:val="21"/>
        </w:rPr>
        <w:t>6 702</w:t>
      </w:r>
      <w:r w:rsidR="00165614">
        <w:rPr>
          <w:rFonts w:asciiTheme="minorHAnsi" w:hAnsiTheme="minorHAnsi" w:cstheme="minorHAnsi"/>
          <w:sz w:val="21"/>
          <w:szCs w:val="21"/>
        </w:rPr>
        <w:t xml:space="preserve"> korun </w:t>
      </w:r>
      <w:r w:rsidRPr="00EE591F">
        <w:rPr>
          <w:rFonts w:asciiTheme="minorHAnsi" w:hAnsiTheme="minorHAnsi" w:cstheme="minorHAnsi"/>
          <w:sz w:val="21"/>
          <w:szCs w:val="21"/>
        </w:rPr>
        <w:t>následován rokem 2021, kdy byla průměrná cena povinného ručení v České republice průměrně</w:t>
      </w:r>
      <w:r w:rsidR="006900AC">
        <w:rPr>
          <w:rFonts w:asciiTheme="minorHAnsi" w:hAnsiTheme="minorHAnsi" w:cstheme="minorHAnsi"/>
          <w:sz w:val="21"/>
          <w:szCs w:val="21"/>
        </w:rPr>
        <w:t xml:space="preserve"> 6 502 korun. Průměr za celé sle</w:t>
      </w:r>
      <w:r w:rsidRPr="00EE591F">
        <w:rPr>
          <w:rFonts w:asciiTheme="minorHAnsi" w:hAnsiTheme="minorHAnsi" w:cstheme="minorHAnsi"/>
          <w:sz w:val="21"/>
          <w:szCs w:val="21"/>
        </w:rPr>
        <w:t xml:space="preserve">dování </w:t>
      </w:r>
      <w:proofErr w:type="spellStart"/>
      <w:r w:rsidRPr="00EE591F">
        <w:rPr>
          <w:rFonts w:asciiTheme="minorHAnsi" w:hAnsiTheme="minorHAnsi" w:cstheme="minorHAnsi"/>
          <w:sz w:val="21"/>
          <w:szCs w:val="21"/>
        </w:rPr>
        <w:t>POVIndexu</w:t>
      </w:r>
      <w:proofErr w:type="spellEnd"/>
      <w:r w:rsidRPr="00EE591F">
        <w:rPr>
          <w:rFonts w:asciiTheme="minorHAnsi" w:hAnsiTheme="minorHAnsi" w:cstheme="minorHAnsi"/>
          <w:sz w:val="21"/>
          <w:szCs w:val="21"/>
        </w:rPr>
        <w:t xml:space="preserve"> je</w:t>
      </w:r>
      <w:r w:rsidR="00E2591F">
        <w:rPr>
          <w:rFonts w:asciiTheme="minorHAnsi" w:hAnsiTheme="minorHAnsi" w:cstheme="minorHAnsi"/>
          <w:sz w:val="21"/>
          <w:szCs w:val="21"/>
        </w:rPr>
        <w:t xml:space="preserve"> po zaokrouhlení</w:t>
      </w:r>
      <w:r w:rsidRPr="00EE591F">
        <w:rPr>
          <w:rFonts w:asciiTheme="minorHAnsi" w:hAnsiTheme="minorHAnsi" w:cstheme="minorHAnsi"/>
          <w:sz w:val="21"/>
          <w:szCs w:val="21"/>
        </w:rPr>
        <w:t xml:space="preserve"> 6</w:t>
      </w:r>
      <w:r w:rsidR="006900AC">
        <w:rPr>
          <w:rFonts w:asciiTheme="minorHAnsi" w:hAnsiTheme="minorHAnsi" w:cstheme="minorHAnsi"/>
          <w:sz w:val="21"/>
          <w:szCs w:val="21"/>
        </w:rPr>
        <w:t> </w:t>
      </w:r>
      <w:r w:rsidR="00EE7BDD">
        <w:rPr>
          <w:rFonts w:asciiTheme="minorHAnsi" w:hAnsiTheme="minorHAnsi" w:cstheme="minorHAnsi"/>
          <w:sz w:val="21"/>
          <w:szCs w:val="21"/>
        </w:rPr>
        <w:t>753</w:t>
      </w:r>
      <w:r w:rsidRPr="00EE591F">
        <w:rPr>
          <w:rFonts w:asciiTheme="minorHAnsi" w:hAnsiTheme="minorHAnsi" w:cstheme="minorHAnsi"/>
          <w:sz w:val="21"/>
          <w:szCs w:val="21"/>
        </w:rPr>
        <w:t xml:space="preserve"> korun.</w:t>
      </w:r>
    </w:p>
    <w:p w14:paraId="5ECDEE80" w14:textId="77777777" w:rsidR="00EE591F" w:rsidRPr="00EE591F" w:rsidRDefault="00EE591F" w:rsidP="00EE591F">
      <w:pPr>
        <w:spacing w:after="120"/>
        <w:ind w:right="130"/>
        <w:rPr>
          <w:rFonts w:asciiTheme="minorHAnsi" w:hAnsiTheme="minorHAnsi" w:cstheme="minorHAnsi"/>
          <w:b/>
          <w:bCs/>
          <w:sz w:val="21"/>
          <w:szCs w:val="21"/>
        </w:rPr>
      </w:pPr>
      <w:r w:rsidRPr="00EE591F">
        <w:rPr>
          <w:rFonts w:asciiTheme="minorHAnsi" w:hAnsiTheme="minorHAnsi" w:cstheme="minorHAnsi"/>
          <w:b/>
          <w:bCs/>
          <w:sz w:val="21"/>
          <w:szCs w:val="21"/>
        </w:rPr>
        <w:t xml:space="preserve">BOX: Prosincové hodnoty Broker Consulting </w:t>
      </w:r>
      <w:proofErr w:type="spellStart"/>
      <w:r w:rsidRPr="00EE591F">
        <w:rPr>
          <w:rFonts w:asciiTheme="minorHAnsi" w:hAnsiTheme="minorHAnsi" w:cstheme="minorHAnsi"/>
          <w:b/>
          <w:bCs/>
          <w:sz w:val="21"/>
          <w:szCs w:val="21"/>
        </w:rPr>
        <w:t>POVIndexu</w:t>
      </w:r>
      <w:proofErr w:type="spellEnd"/>
    </w:p>
    <w:tbl>
      <w:tblPr>
        <w:tblStyle w:val="Mkatabulky"/>
        <w:tblW w:w="0" w:type="auto"/>
        <w:tblLook w:val="04A0" w:firstRow="1" w:lastRow="0" w:firstColumn="1" w:lastColumn="0" w:noHBand="0" w:noVBand="1"/>
      </w:tblPr>
      <w:tblGrid>
        <w:gridCol w:w="2689"/>
        <w:gridCol w:w="2268"/>
      </w:tblGrid>
      <w:tr w:rsidR="00EE591F" w:rsidRPr="00EE591F" w14:paraId="357C3ED3" w14:textId="77777777" w:rsidTr="00FA5B85">
        <w:tc>
          <w:tcPr>
            <w:tcW w:w="2689" w:type="dxa"/>
          </w:tcPr>
          <w:p w14:paraId="1D438203" w14:textId="77777777" w:rsidR="00EE591F" w:rsidRPr="00EE591F" w:rsidRDefault="00EE591F" w:rsidP="00FA5B85">
            <w:pPr>
              <w:spacing w:after="120"/>
              <w:ind w:right="130"/>
              <w:jc w:val="center"/>
              <w:rPr>
                <w:rFonts w:asciiTheme="minorHAnsi" w:hAnsiTheme="minorHAnsi" w:cstheme="minorHAnsi"/>
                <w:b/>
                <w:bCs/>
                <w:sz w:val="21"/>
                <w:szCs w:val="21"/>
              </w:rPr>
            </w:pPr>
            <w:r w:rsidRPr="00EE591F">
              <w:rPr>
                <w:rFonts w:asciiTheme="minorHAnsi" w:hAnsiTheme="minorHAnsi" w:cstheme="minorHAnsi"/>
                <w:b/>
                <w:bCs/>
                <w:sz w:val="21"/>
                <w:szCs w:val="21"/>
              </w:rPr>
              <w:t>Rok</w:t>
            </w:r>
          </w:p>
        </w:tc>
        <w:tc>
          <w:tcPr>
            <w:tcW w:w="2268" w:type="dxa"/>
          </w:tcPr>
          <w:p w14:paraId="41DF7AF1" w14:textId="77777777" w:rsidR="00EE591F" w:rsidRPr="00EE591F" w:rsidRDefault="00EE591F" w:rsidP="00FA5B85">
            <w:pPr>
              <w:spacing w:after="120"/>
              <w:ind w:right="130"/>
              <w:jc w:val="center"/>
              <w:rPr>
                <w:rFonts w:asciiTheme="minorHAnsi" w:hAnsiTheme="minorHAnsi" w:cstheme="minorHAnsi"/>
                <w:b/>
                <w:bCs/>
                <w:sz w:val="21"/>
                <w:szCs w:val="21"/>
              </w:rPr>
            </w:pPr>
            <w:r w:rsidRPr="00EE591F">
              <w:rPr>
                <w:rFonts w:asciiTheme="minorHAnsi" w:hAnsiTheme="minorHAnsi" w:cstheme="minorHAnsi"/>
                <w:b/>
                <w:bCs/>
                <w:sz w:val="21"/>
                <w:szCs w:val="21"/>
              </w:rPr>
              <w:t>Hodnota POV Indexu</w:t>
            </w:r>
          </w:p>
        </w:tc>
      </w:tr>
      <w:tr w:rsidR="00EE591F" w:rsidRPr="00EE591F" w14:paraId="57549DF6" w14:textId="77777777" w:rsidTr="00FA5B85">
        <w:tc>
          <w:tcPr>
            <w:tcW w:w="2689" w:type="dxa"/>
          </w:tcPr>
          <w:p w14:paraId="7A83053B" w14:textId="77777777" w:rsidR="00EE591F" w:rsidRPr="00EE591F" w:rsidRDefault="00EE591F" w:rsidP="00FA5B85">
            <w:pPr>
              <w:spacing w:after="120"/>
              <w:ind w:right="130"/>
              <w:jc w:val="center"/>
              <w:rPr>
                <w:rFonts w:asciiTheme="minorHAnsi" w:hAnsiTheme="minorHAnsi" w:cstheme="minorHAnsi"/>
                <w:sz w:val="21"/>
                <w:szCs w:val="21"/>
              </w:rPr>
            </w:pPr>
            <w:r w:rsidRPr="00EE591F">
              <w:rPr>
                <w:rFonts w:asciiTheme="minorHAnsi" w:hAnsiTheme="minorHAnsi" w:cstheme="minorHAnsi"/>
                <w:sz w:val="21"/>
                <w:szCs w:val="21"/>
              </w:rPr>
              <w:t>2021</w:t>
            </w:r>
          </w:p>
        </w:tc>
        <w:tc>
          <w:tcPr>
            <w:tcW w:w="2268" w:type="dxa"/>
          </w:tcPr>
          <w:p w14:paraId="0F6CADCF" w14:textId="77777777" w:rsidR="00EE591F" w:rsidRPr="00EE591F" w:rsidRDefault="00EE591F" w:rsidP="00FA5B85">
            <w:pPr>
              <w:spacing w:after="120"/>
              <w:ind w:right="130"/>
              <w:rPr>
                <w:rFonts w:asciiTheme="minorHAnsi" w:hAnsiTheme="minorHAnsi" w:cstheme="minorHAnsi"/>
                <w:sz w:val="21"/>
                <w:szCs w:val="21"/>
              </w:rPr>
            </w:pPr>
            <w:r w:rsidRPr="00EE591F">
              <w:rPr>
                <w:rFonts w:asciiTheme="minorHAnsi" w:hAnsiTheme="minorHAnsi" w:cstheme="minorHAnsi"/>
                <w:sz w:val="21"/>
                <w:szCs w:val="21"/>
              </w:rPr>
              <w:t>6 502 Kč</w:t>
            </w:r>
          </w:p>
        </w:tc>
      </w:tr>
      <w:tr w:rsidR="00EE591F" w:rsidRPr="00EE591F" w14:paraId="671D9D3B" w14:textId="77777777" w:rsidTr="00FA5B85">
        <w:tc>
          <w:tcPr>
            <w:tcW w:w="2689" w:type="dxa"/>
          </w:tcPr>
          <w:p w14:paraId="643CD64F" w14:textId="77777777" w:rsidR="00EE591F" w:rsidRPr="00EE591F" w:rsidRDefault="00EE591F" w:rsidP="00FA5B85">
            <w:pPr>
              <w:spacing w:after="120"/>
              <w:ind w:right="130"/>
              <w:jc w:val="center"/>
              <w:rPr>
                <w:rFonts w:asciiTheme="minorHAnsi" w:hAnsiTheme="minorHAnsi" w:cstheme="minorHAnsi"/>
                <w:sz w:val="21"/>
                <w:szCs w:val="21"/>
              </w:rPr>
            </w:pPr>
            <w:r w:rsidRPr="00EE591F">
              <w:rPr>
                <w:rFonts w:asciiTheme="minorHAnsi" w:hAnsiTheme="minorHAnsi" w:cstheme="minorHAnsi"/>
                <w:sz w:val="21"/>
                <w:szCs w:val="21"/>
              </w:rPr>
              <w:t>2020</w:t>
            </w:r>
          </w:p>
        </w:tc>
        <w:tc>
          <w:tcPr>
            <w:tcW w:w="2268" w:type="dxa"/>
          </w:tcPr>
          <w:p w14:paraId="0CF67CC7" w14:textId="77777777" w:rsidR="00EE591F" w:rsidRPr="00EE591F" w:rsidRDefault="00EE591F" w:rsidP="00FA5B85">
            <w:pPr>
              <w:spacing w:after="120"/>
              <w:ind w:right="130"/>
              <w:rPr>
                <w:rFonts w:asciiTheme="minorHAnsi" w:hAnsiTheme="minorHAnsi" w:cstheme="minorHAnsi"/>
                <w:sz w:val="21"/>
                <w:szCs w:val="21"/>
              </w:rPr>
            </w:pPr>
            <w:r w:rsidRPr="00EE591F">
              <w:rPr>
                <w:rFonts w:asciiTheme="minorHAnsi" w:hAnsiTheme="minorHAnsi" w:cstheme="minorHAnsi"/>
                <w:sz w:val="21"/>
                <w:szCs w:val="21"/>
              </w:rPr>
              <w:t>6 702 Kč</w:t>
            </w:r>
          </w:p>
        </w:tc>
      </w:tr>
      <w:tr w:rsidR="00EE591F" w:rsidRPr="00EE591F" w14:paraId="4D9DEB9F" w14:textId="77777777" w:rsidTr="00FA5B85">
        <w:tc>
          <w:tcPr>
            <w:tcW w:w="2689" w:type="dxa"/>
          </w:tcPr>
          <w:p w14:paraId="7625D073" w14:textId="77777777" w:rsidR="00EE591F" w:rsidRPr="00EE591F" w:rsidRDefault="00EE591F" w:rsidP="00FA5B85">
            <w:pPr>
              <w:spacing w:after="120"/>
              <w:ind w:right="130"/>
              <w:jc w:val="center"/>
              <w:rPr>
                <w:rFonts w:asciiTheme="minorHAnsi" w:hAnsiTheme="minorHAnsi" w:cstheme="minorHAnsi"/>
                <w:sz w:val="21"/>
                <w:szCs w:val="21"/>
              </w:rPr>
            </w:pPr>
            <w:r w:rsidRPr="00EE591F">
              <w:rPr>
                <w:rFonts w:asciiTheme="minorHAnsi" w:hAnsiTheme="minorHAnsi" w:cstheme="minorHAnsi"/>
                <w:sz w:val="21"/>
                <w:szCs w:val="21"/>
              </w:rPr>
              <w:t>2022</w:t>
            </w:r>
          </w:p>
        </w:tc>
        <w:tc>
          <w:tcPr>
            <w:tcW w:w="2268" w:type="dxa"/>
          </w:tcPr>
          <w:p w14:paraId="23BABAD3" w14:textId="77777777" w:rsidR="00EE591F" w:rsidRPr="00EE591F" w:rsidRDefault="00EE591F" w:rsidP="00FA5B85">
            <w:pPr>
              <w:spacing w:after="120"/>
              <w:ind w:right="130"/>
              <w:rPr>
                <w:rFonts w:asciiTheme="minorHAnsi" w:hAnsiTheme="minorHAnsi" w:cstheme="minorHAnsi"/>
                <w:sz w:val="21"/>
                <w:szCs w:val="21"/>
              </w:rPr>
            </w:pPr>
            <w:r w:rsidRPr="00EE591F">
              <w:rPr>
                <w:rFonts w:asciiTheme="minorHAnsi" w:hAnsiTheme="minorHAnsi" w:cstheme="minorHAnsi"/>
                <w:sz w:val="21"/>
                <w:szCs w:val="21"/>
              </w:rPr>
              <w:t>6 725Kč</w:t>
            </w:r>
          </w:p>
        </w:tc>
      </w:tr>
      <w:tr w:rsidR="00EE591F" w:rsidRPr="00EE591F" w14:paraId="117ECC86" w14:textId="77777777" w:rsidTr="00FA5B85">
        <w:tc>
          <w:tcPr>
            <w:tcW w:w="2689" w:type="dxa"/>
          </w:tcPr>
          <w:p w14:paraId="3E650ABA" w14:textId="77777777" w:rsidR="00EE591F" w:rsidRPr="00EE591F" w:rsidRDefault="00EE591F" w:rsidP="00FA5B85">
            <w:pPr>
              <w:spacing w:after="120"/>
              <w:ind w:right="130"/>
              <w:jc w:val="center"/>
              <w:rPr>
                <w:rFonts w:asciiTheme="minorHAnsi" w:hAnsiTheme="minorHAnsi" w:cstheme="minorHAnsi"/>
                <w:sz w:val="21"/>
                <w:szCs w:val="21"/>
              </w:rPr>
            </w:pPr>
            <w:r w:rsidRPr="00EE591F">
              <w:rPr>
                <w:rFonts w:asciiTheme="minorHAnsi" w:hAnsiTheme="minorHAnsi" w:cstheme="minorHAnsi"/>
                <w:sz w:val="21"/>
                <w:szCs w:val="21"/>
              </w:rPr>
              <w:t>2023</w:t>
            </w:r>
          </w:p>
        </w:tc>
        <w:tc>
          <w:tcPr>
            <w:tcW w:w="2268" w:type="dxa"/>
          </w:tcPr>
          <w:p w14:paraId="455964DA" w14:textId="77777777" w:rsidR="00EE591F" w:rsidRPr="00EE591F" w:rsidRDefault="00EE591F" w:rsidP="00FA5B85">
            <w:pPr>
              <w:spacing w:after="120"/>
              <w:ind w:right="130"/>
              <w:rPr>
                <w:rFonts w:asciiTheme="minorHAnsi" w:hAnsiTheme="minorHAnsi" w:cstheme="minorHAnsi"/>
                <w:sz w:val="21"/>
                <w:szCs w:val="21"/>
              </w:rPr>
            </w:pPr>
            <w:r w:rsidRPr="00EE591F">
              <w:rPr>
                <w:rFonts w:asciiTheme="minorHAnsi" w:hAnsiTheme="minorHAnsi" w:cstheme="minorHAnsi"/>
                <w:sz w:val="21"/>
                <w:szCs w:val="21"/>
              </w:rPr>
              <w:t>7 137 Kč</w:t>
            </w:r>
          </w:p>
        </w:tc>
      </w:tr>
      <w:tr w:rsidR="00EE591F" w:rsidRPr="00EE591F" w14:paraId="6ED92EE9" w14:textId="77777777" w:rsidTr="00FA5B85">
        <w:tc>
          <w:tcPr>
            <w:tcW w:w="2689" w:type="dxa"/>
          </w:tcPr>
          <w:p w14:paraId="4878F58A" w14:textId="77777777" w:rsidR="00EE591F" w:rsidRPr="00EE591F" w:rsidRDefault="00EE591F" w:rsidP="00FA5B85">
            <w:pPr>
              <w:spacing w:after="120"/>
              <w:ind w:right="130"/>
              <w:jc w:val="center"/>
              <w:rPr>
                <w:rFonts w:asciiTheme="minorHAnsi" w:hAnsiTheme="minorHAnsi" w:cstheme="minorHAnsi"/>
                <w:sz w:val="21"/>
                <w:szCs w:val="21"/>
              </w:rPr>
            </w:pPr>
            <w:r w:rsidRPr="00EE591F">
              <w:rPr>
                <w:rFonts w:asciiTheme="minorHAnsi" w:hAnsiTheme="minorHAnsi" w:cstheme="minorHAnsi"/>
                <w:sz w:val="21"/>
                <w:szCs w:val="21"/>
              </w:rPr>
              <w:t>2019</w:t>
            </w:r>
          </w:p>
        </w:tc>
        <w:tc>
          <w:tcPr>
            <w:tcW w:w="2268" w:type="dxa"/>
          </w:tcPr>
          <w:p w14:paraId="63708633" w14:textId="77777777" w:rsidR="00EE591F" w:rsidRPr="00EE591F" w:rsidRDefault="00EE591F" w:rsidP="00FA5B85">
            <w:pPr>
              <w:spacing w:after="120"/>
              <w:ind w:right="130"/>
              <w:rPr>
                <w:rFonts w:asciiTheme="minorHAnsi" w:hAnsiTheme="minorHAnsi" w:cstheme="minorHAnsi"/>
                <w:sz w:val="21"/>
                <w:szCs w:val="21"/>
              </w:rPr>
            </w:pPr>
            <w:r w:rsidRPr="00EE591F">
              <w:rPr>
                <w:rFonts w:asciiTheme="minorHAnsi" w:hAnsiTheme="minorHAnsi" w:cstheme="minorHAnsi"/>
                <w:sz w:val="21"/>
                <w:szCs w:val="21"/>
              </w:rPr>
              <w:t>7 667 Kč</w:t>
            </w:r>
          </w:p>
        </w:tc>
      </w:tr>
      <w:tr w:rsidR="00EE591F" w:rsidRPr="00EE591F" w14:paraId="14B13055" w14:textId="77777777" w:rsidTr="00FA5B85">
        <w:tc>
          <w:tcPr>
            <w:tcW w:w="2689" w:type="dxa"/>
          </w:tcPr>
          <w:p w14:paraId="1CE99F6D" w14:textId="77777777" w:rsidR="00EE591F" w:rsidRPr="00EE591F" w:rsidRDefault="00EE591F" w:rsidP="00FA5B85">
            <w:pPr>
              <w:spacing w:after="120"/>
              <w:ind w:right="130"/>
              <w:jc w:val="center"/>
              <w:rPr>
                <w:rFonts w:asciiTheme="minorHAnsi" w:hAnsiTheme="minorHAnsi" w:cstheme="minorHAnsi"/>
                <w:sz w:val="21"/>
                <w:szCs w:val="21"/>
              </w:rPr>
            </w:pPr>
            <w:r w:rsidRPr="00EE591F">
              <w:rPr>
                <w:rFonts w:asciiTheme="minorHAnsi" w:hAnsiTheme="minorHAnsi" w:cstheme="minorHAnsi"/>
                <w:sz w:val="21"/>
                <w:szCs w:val="21"/>
              </w:rPr>
              <w:t>Průměr za celé sledování</w:t>
            </w:r>
          </w:p>
        </w:tc>
        <w:tc>
          <w:tcPr>
            <w:tcW w:w="2268" w:type="dxa"/>
          </w:tcPr>
          <w:p w14:paraId="4995D8F6" w14:textId="2F64C627" w:rsidR="00EE591F" w:rsidRPr="00EE591F" w:rsidRDefault="00EE7BDD" w:rsidP="00FA5B85">
            <w:pPr>
              <w:spacing w:after="120"/>
              <w:ind w:right="130"/>
              <w:rPr>
                <w:rFonts w:asciiTheme="minorHAnsi" w:hAnsiTheme="minorHAnsi" w:cstheme="minorHAnsi"/>
                <w:sz w:val="21"/>
                <w:szCs w:val="21"/>
              </w:rPr>
            </w:pPr>
            <w:r>
              <w:rPr>
                <w:rFonts w:asciiTheme="minorHAnsi" w:hAnsiTheme="minorHAnsi" w:cstheme="minorHAnsi"/>
                <w:sz w:val="21"/>
                <w:szCs w:val="21"/>
              </w:rPr>
              <w:t>6 753</w:t>
            </w:r>
            <w:r w:rsidR="00EE591F" w:rsidRPr="00EE591F">
              <w:rPr>
                <w:rFonts w:asciiTheme="minorHAnsi" w:hAnsiTheme="minorHAnsi" w:cstheme="minorHAnsi"/>
                <w:sz w:val="21"/>
                <w:szCs w:val="21"/>
              </w:rPr>
              <w:t xml:space="preserve"> Kč</w:t>
            </w:r>
          </w:p>
        </w:tc>
      </w:tr>
    </w:tbl>
    <w:p w14:paraId="47EE3F30" w14:textId="7D518A00" w:rsidR="00B20F7B" w:rsidRPr="00EE591F" w:rsidRDefault="00B20F7B" w:rsidP="00B20F7B">
      <w:pPr>
        <w:spacing w:after="120"/>
        <w:ind w:right="130"/>
        <w:rPr>
          <w:rFonts w:asciiTheme="minorHAnsi" w:hAnsiTheme="minorHAnsi" w:cstheme="minorHAnsi"/>
          <w:sz w:val="21"/>
          <w:szCs w:val="21"/>
        </w:rPr>
      </w:pPr>
    </w:p>
    <w:p w14:paraId="22FC00E1" w14:textId="314B7653" w:rsidR="00EE591F" w:rsidRPr="00EE591F" w:rsidRDefault="00EE591F" w:rsidP="00EE591F">
      <w:pPr>
        <w:spacing w:after="120"/>
        <w:ind w:right="130"/>
        <w:rPr>
          <w:rFonts w:asciiTheme="minorHAnsi" w:hAnsiTheme="minorHAnsi" w:cstheme="minorHAnsi"/>
          <w:sz w:val="21"/>
          <w:szCs w:val="21"/>
        </w:rPr>
      </w:pPr>
      <w:r w:rsidRPr="00EE591F">
        <w:rPr>
          <w:rFonts w:asciiTheme="minorHAnsi" w:hAnsiTheme="minorHAnsi" w:cstheme="minorHAnsi"/>
          <w:sz w:val="21"/>
          <w:szCs w:val="21"/>
        </w:rPr>
        <w:t xml:space="preserve">Jak data ukazují, můžeme podobný trend u vývoje průměrných cen povinného ručení jako je ten celorepublikový, sledovat v Praze. Drobné odchylky vykazuje vývoj v menších městech jako je například Benešov u Prahy. </w:t>
      </w:r>
      <w:r w:rsidRPr="00EE591F">
        <w:rPr>
          <w:rFonts w:asciiTheme="minorHAnsi" w:hAnsiTheme="minorHAnsi" w:cstheme="minorHAnsi"/>
          <w:i/>
          <w:iCs/>
          <w:sz w:val="21"/>
          <w:szCs w:val="21"/>
        </w:rPr>
        <w:t>„V roce 2019, tedy na startu měření</w:t>
      </w:r>
      <w:r w:rsidR="005D3BDE">
        <w:rPr>
          <w:rFonts w:asciiTheme="minorHAnsi" w:hAnsiTheme="minorHAnsi" w:cstheme="minorHAnsi"/>
          <w:i/>
          <w:iCs/>
          <w:sz w:val="21"/>
          <w:szCs w:val="21"/>
        </w:rPr>
        <w:t>,</w:t>
      </w:r>
      <w:r w:rsidRPr="00EE591F">
        <w:rPr>
          <w:rFonts w:asciiTheme="minorHAnsi" w:hAnsiTheme="minorHAnsi" w:cstheme="minorHAnsi"/>
          <w:i/>
          <w:iCs/>
          <w:sz w:val="21"/>
          <w:szCs w:val="21"/>
        </w:rPr>
        <w:t xml:space="preserve"> byla průměrná cen</w:t>
      </w:r>
      <w:r w:rsidR="003F0EA3">
        <w:rPr>
          <w:rFonts w:asciiTheme="minorHAnsi" w:hAnsiTheme="minorHAnsi" w:cstheme="minorHAnsi"/>
          <w:i/>
          <w:iCs/>
          <w:sz w:val="21"/>
          <w:szCs w:val="21"/>
        </w:rPr>
        <w:t>a povinného ručení v Praze 8 630</w:t>
      </w:r>
      <w:r w:rsidRPr="00EE591F">
        <w:rPr>
          <w:rFonts w:asciiTheme="minorHAnsi" w:hAnsiTheme="minorHAnsi" w:cstheme="minorHAnsi"/>
          <w:i/>
          <w:iCs/>
          <w:sz w:val="21"/>
          <w:szCs w:val="21"/>
        </w:rPr>
        <w:t xml:space="preserve"> korun. Hodnoty v prosinci 2023 se dostaly na hranici 7 757 korun. V roce 2022 to bylo 7 439 korun, potom následuje rok 2020 s průměrnou cenou 7 348 korun. Nejníže je na tom rok 2021, kdy byla průměrná cena povinného ručení 7 188 korun,“</w:t>
      </w:r>
      <w:r w:rsidRPr="00EE591F">
        <w:rPr>
          <w:rFonts w:asciiTheme="minorHAnsi" w:hAnsiTheme="minorHAnsi" w:cstheme="minorHAnsi"/>
          <w:sz w:val="21"/>
          <w:szCs w:val="21"/>
        </w:rPr>
        <w:t xml:space="preserve"> popisuje </w:t>
      </w:r>
      <w:r w:rsidRPr="00EE591F">
        <w:rPr>
          <w:rFonts w:asciiTheme="minorHAnsi" w:hAnsiTheme="minorHAnsi" w:cstheme="minorHAnsi"/>
          <w:b/>
          <w:sz w:val="21"/>
          <w:szCs w:val="21"/>
        </w:rPr>
        <w:t>Jiří Váchal, analytik neživotního pojištění z </w:t>
      </w:r>
      <w:proofErr w:type="gramStart"/>
      <w:r w:rsidRPr="00EE591F">
        <w:rPr>
          <w:rFonts w:asciiTheme="minorHAnsi" w:hAnsiTheme="minorHAnsi" w:cstheme="minorHAnsi"/>
          <w:b/>
          <w:sz w:val="21"/>
          <w:szCs w:val="21"/>
        </w:rPr>
        <w:t>Broker</w:t>
      </w:r>
      <w:proofErr w:type="gramEnd"/>
      <w:r w:rsidRPr="00EE591F">
        <w:rPr>
          <w:rFonts w:asciiTheme="minorHAnsi" w:hAnsiTheme="minorHAnsi" w:cstheme="minorHAnsi"/>
          <w:b/>
          <w:sz w:val="21"/>
          <w:szCs w:val="21"/>
        </w:rPr>
        <w:t xml:space="preserve"> Consulting</w:t>
      </w:r>
      <w:r w:rsidRPr="00EE591F">
        <w:rPr>
          <w:rFonts w:asciiTheme="minorHAnsi" w:hAnsiTheme="minorHAnsi" w:cstheme="minorHAnsi"/>
          <w:sz w:val="21"/>
          <w:szCs w:val="21"/>
        </w:rPr>
        <w:t>. Průmě</w:t>
      </w:r>
      <w:r w:rsidR="005D3BDE">
        <w:rPr>
          <w:rFonts w:asciiTheme="minorHAnsi" w:hAnsiTheme="minorHAnsi" w:cstheme="minorHAnsi"/>
          <w:sz w:val="21"/>
          <w:szCs w:val="21"/>
        </w:rPr>
        <w:t>rná cena za celé monitorování v metropoli je</w:t>
      </w:r>
      <w:r w:rsidRPr="00EE591F">
        <w:rPr>
          <w:rFonts w:asciiTheme="minorHAnsi" w:hAnsiTheme="minorHAnsi" w:cstheme="minorHAnsi"/>
          <w:sz w:val="21"/>
          <w:szCs w:val="21"/>
        </w:rPr>
        <w:t xml:space="preserve"> 7 502,70 korun. </w:t>
      </w:r>
    </w:p>
    <w:p w14:paraId="38BA8D9B" w14:textId="627C9035" w:rsidR="00EE591F" w:rsidRPr="00EE591F" w:rsidRDefault="00EE591F" w:rsidP="00EE591F">
      <w:pPr>
        <w:spacing w:after="120"/>
        <w:ind w:right="130"/>
        <w:rPr>
          <w:rFonts w:asciiTheme="minorHAnsi" w:hAnsiTheme="minorHAnsi" w:cstheme="minorHAnsi"/>
          <w:sz w:val="21"/>
          <w:szCs w:val="21"/>
        </w:rPr>
      </w:pPr>
      <w:r w:rsidRPr="00EE591F">
        <w:rPr>
          <w:rFonts w:asciiTheme="minorHAnsi" w:hAnsiTheme="minorHAnsi" w:cstheme="minorHAnsi"/>
          <w:sz w:val="21"/>
          <w:szCs w:val="21"/>
        </w:rPr>
        <w:t xml:space="preserve">V Benešově u Prahy byla hodnota průměrných cen povinného ručení nejvyšší také na startu měření v roce 2019. Tehdy řidiči platili v průměru 6 704 korun. O necelých 200 korun méně, konkrétně 6 517 korun, stálo povinné ručení v roce 2023. V prosinci roku 2020 byla průměrná cena 6056 korun a v roce 2022 pak 6 011 korun. Tyto hodnoty jsou nad průměrem za celé sledované období, který je 5 994,10 korun. Jediným měsícem, který byl </w:t>
      </w:r>
      <w:r w:rsidR="004A2D42">
        <w:rPr>
          <w:rFonts w:asciiTheme="minorHAnsi" w:hAnsiTheme="minorHAnsi" w:cstheme="minorHAnsi"/>
          <w:sz w:val="21"/>
          <w:szCs w:val="21"/>
        </w:rPr>
        <w:t xml:space="preserve">pod </w:t>
      </w:r>
      <w:r w:rsidRPr="00EE591F">
        <w:rPr>
          <w:rFonts w:asciiTheme="minorHAnsi" w:hAnsiTheme="minorHAnsi" w:cstheme="minorHAnsi"/>
          <w:sz w:val="21"/>
          <w:szCs w:val="21"/>
        </w:rPr>
        <w:t>průměrem, tak byl prosinec roku 2021 se svou hodnotou 5 738 Kč.</w:t>
      </w:r>
    </w:p>
    <w:p w14:paraId="44A97025" w14:textId="1E4B6BE1" w:rsidR="000E7086" w:rsidRDefault="000E7086" w:rsidP="00720F68">
      <w:pPr>
        <w:spacing w:before="240" w:after="120"/>
        <w:ind w:right="130"/>
        <w:rPr>
          <w:rFonts w:asciiTheme="minorHAnsi" w:hAnsiTheme="minorHAnsi" w:cstheme="minorHAnsi"/>
          <w:b/>
          <w:bCs/>
          <w:color w:val="4F81BD" w:themeColor="accent1"/>
          <w:sz w:val="21"/>
          <w:szCs w:val="21"/>
        </w:rPr>
      </w:pPr>
      <w:r>
        <w:rPr>
          <w:rFonts w:asciiTheme="minorHAnsi" w:hAnsiTheme="minorHAnsi" w:cstheme="minorHAnsi"/>
          <w:b/>
          <w:bCs/>
          <w:noProof/>
          <w:color w:val="4F81BD" w:themeColor="accent1"/>
          <w:sz w:val="21"/>
          <w:szCs w:val="21"/>
          <w:lang w:bidi="ar-SA"/>
        </w:rPr>
        <w:lastRenderedPageBreak/>
        <w:drawing>
          <wp:inline distT="0" distB="0" distL="0" distR="0" wp14:anchorId="4E7662F1" wp14:editId="6D915349">
            <wp:extent cx="6654165" cy="30543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POVIndex - prosinec 2023.jpg"/>
                    <pic:cNvPicPr/>
                  </pic:nvPicPr>
                  <pic:blipFill>
                    <a:blip r:embed="rId17">
                      <a:extLst>
                        <a:ext uri="{28A0092B-C50C-407E-A947-70E740481C1C}">
                          <a14:useLocalDpi xmlns:a14="http://schemas.microsoft.com/office/drawing/2010/main" val="0"/>
                        </a:ext>
                      </a:extLst>
                    </a:blip>
                    <a:stretch>
                      <a:fillRect/>
                    </a:stretch>
                  </pic:blipFill>
                  <pic:spPr>
                    <a:xfrm>
                      <a:off x="0" y="0"/>
                      <a:ext cx="6654165" cy="3054350"/>
                    </a:xfrm>
                    <a:prstGeom prst="rect">
                      <a:avLst/>
                    </a:prstGeom>
                  </pic:spPr>
                </pic:pic>
              </a:graphicData>
            </a:graphic>
          </wp:inline>
        </w:drawing>
      </w:r>
    </w:p>
    <w:p w14:paraId="5DCD8E24" w14:textId="62F57C69" w:rsidR="00EE591F" w:rsidRPr="00EE591F" w:rsidRDefault="00EE591F" w:rsidP="003D2711">
      <w:pPr>
        <w:spacing w:before="240" w:after="120"/>
        <w:ind w:right="130"/>
        <w:rPr>
          <w:rFonts w:asciiTheme="minorHAnsi" w:hAnsiTheme="minorHAnsi" w:cstheme="minorHAnsi"/>
          <w:b/>
          <w:bCs/>
        </w:rPr>
      </w:pPr>
      <w:r w:rsidRPr="00EE591F">
        <w:rPr>
          <w:rFonts w:asciiTheme="minorHAnsi" w:hAnsiTheme="minorHAnsi" w:cstheme="minorHAnsi"/>
          <w:b/>
          <w:bCs/>
        </w:rPr>
        <w:t xml:space="preserve">Povinné ručení 2024 – </w:t>
      </w:r>
      <w:r w:rsidR="00B47902">
        <w:rPr>
          <w:rFonts w:asciiTheme="minorHAnsi" w:hAnsiTheme="minorHAnsi" w:cstheme="minorHAnsi"/>
          <w:b/>
          <w:bCs/>
        </w:rPr>
        <w:t>novela přinese</w:t>
      </w:r>
      <w:r w:rsidR="003D2711">
        <w:rPr>
          <w:rFonts w:asciiTheme="minorHAnsi" w:hAnsiTheme="minorHAnsi" w:cstheme="minorHAnsi"/>
          <w:b/>
          <w:bCs/>
        </w:rPr>
        <w:t xml:space="preserve"> </w:t>
      </w:r>
      <w:r w:rsidRPr="00EE591F">
        <w:rPr>
          <w:rFonts w:asciiTheme="minorHAnsi" w:hAnsiTheme="minorHAnsi" w:cstheme="minorHAnsi"/>
          <w:b/>
          <w:bCs/>
        </w:rPr>
        <w:t>řadu změn</w:t>
      </w:r>
    </w:p>
    <w:p w14:paraId="31D2DCDC" w14:textId="549E90B7" w:rsidR="00EE591F" w:rsidRPr="00EE591F" w:rsidRDefault="00EE591F" w:rsidP="003D2711">
      <w:pPr>
        <w:spacing w:after="120"/>
        <w:ind w:right="130"/>
        <w:rPr>
          <w:rFonts w:asciiTheme="minorHAnsi" w:hAnsiTheme="minorHAnsi" w:cstheme="minorHAnsi"/>
          <w:sz w:val="21"/>
          <w:szCs w:val="21"/>
        </w:rPr>
      </w:pPr>
      <w:r w:rsidRPr="00EE591F">
        <w:rPr>
          <w:rFonts w:asciiTheme="minorHAnsi" w:hAnsiTheme="minorHAnsi" w:cstheme="minorHAnsi"/>
          <w:sz w:val="21"/>
          <w:szCs w:val="21"/>
        </w:rPr>
        <w:t xml:space="preserve">Nový zákona o pojištění odpovědnosti z provozu vozidla </w:t>
      </w:r>
      <w:r w:rsidR="00BC6C6E">
        <w:rPr>
          <w:rFonts w:asciiTheme="minorHAnsi" w:hAnsiTheme="minorHAnsi" w:cstheme="minorHAnsi"/>
          <w:sz w:val="21"/>
          <w:szCs w:val="21"/>
        </w:rPr>
        <w:t>přinese v roce 2024</w:t>
      </w:r>
      <w:r w:rsidRPr="00EE591F">
        <w:rPr>
          <w:rFonts w:asciiTheme="minorHAnsi" w:hAnsiTheme="minorHAnsi" w:cstheme="minorHAnsi"/>
          <w:sz w:val="21"/>
          <w:szCs w:val="21"/>
        </w:rPr>
        <w:t xml:space="preserve"> pro řidiče několik zásadních změn v povinném</w:t>
      </w:r>
      <w:r w:rsidR="00425824">
        <w:rPr>
          <w:rFonts w:asciiTheme="minorHAnsi" w:hAnsiTheme="minorHAnsi" w:cstheme="minorHAnsi"/>
          <w:sz w:val="21"/>
          <w:szCs w:val="21"/>
        </w:rPr>
        <w:t xml:space="preserve"> ručení. Například se rozšíří </w:t>
      </w:r>
      <w:r w:rsidRPr="00EE591F">
        <w:rPr>
          <w:rFonts w:asciiTheme="minorHAnsi" w:hAnsiTheme="minorHAnsi" w:cstheme="minorHAnsi"/>
          <w:sz w:val="21"/>
          <w:szCs w:val="21"/>
        </w:rPr>
        <w:t>okruh vozidel s povinností pojištění odpovědnosti, povinnost sjednat pojištění odpovědnosti se nově pře</w:t>
      </w:r>
      <w:r w:rsidR="00425824">
        <w:rPr>
          <w:rFonts w:asciiTheme="minorHAnsi" w:hAnsiTheme="minorHAnsi" w:cstheme="minorHAnsi"/>
          <w:sz w:val="21"/>
          <w:szCs w:val="21"/>
        </w:rPr>
        <w:t xml:space="preserve">nese </w:t>
      </w:r>
      <w:r w:rsidRPr="00EE591F">
        <w:rPr>
          <w:rFonts w:asciiTheme="minorHAnsi" w:hAnsiTheme="minorHAnsi" w:cstheme="minorHAnsi"/>
          <w:sz w:val="21"/>
          <w:szCs w:val="21"/>
        </w:rPr>
        <w:t>z vlastníka vozidla na jeho skutečnéh</w:t>
      </w:r>
      <w:r w:rsidR="00661F01">
        <w:rPr>
          <w:rFonts w:asciiTheme="minorHAnsi" w:hAnsiTheme="minorHAnsi" w:cstheme="minorHAnsi"/>
          <w:sz w:val="21"/>
          <w:szCs w:val="21"/>
        </w:rPr>
        <w:t>o provozovatele, dále se zvý</w:t>
      </w:r>
      <w:r w:rsidR="00425824">
        <w:rPr>
          <w:rFonts w:asciiTheme="minorHAnsi" w:hAnsiTheme="minorHAnsi" w:cstheme="minorHAnsi"/>
          <w:sz w:val="21"/>
          <w:szCs w:val="21"/>
        </w:rPr>
        <w:t>ší</w:t>
      </w:r>
      <w:r w:rsidRPr="00EE591F">
        <w:rPr>
          <w:rFonts w:asciiTheme="minorHAnsi" w:hAnsiTheme="minorHAnsi" w:cstheme="minorHAnsi"/>
          <w:sz w:val="21"/>
          <w:szCs w:val="21"/>
        </w:rPr>
        <w:t xml:space="preserve"> minimální h</w:t>
      </w:r>
      <w:r w:rsidR="00425824">
        <w:rPr>
          <w:rFonts w:asciiTheme="minorHAnsi" w:hAnsiTheme="minorHAnsi" w:cstheme="minorHAnsi"/>
          <w:sz w:val="21"/>
          <w:szCs w:val="21"/>
        </w:rPr>
        <w:t xml:space="preserve">ranice pojistných limitů a zruší </w:t>
      </w:r>
      <w:r w:rsidRPr="00EE591F">
        <w:rPr>
          <w:rFonts w:asciiTheme="minorHAnsi" w:hAnsiTheme="minorHAnsi" w:cstheme="minorHAnsi"/>
          <w:sz w:val="21"/>
          <w:szCs w:val="21"/>
        </w:rPr>
        <w:t xml:space="preserve">se povinnost mít u sebe zelenou kartu. </w:t>
      </w:r>
    </w:p>
    <w:p w14:paraId="7BEB2195" w14:textId="62410601" w:rsidR="00EE591F" w:rsidRPr="00DC4212" w:rsidRDefault="00425824" w:rsidP="00DC4212">
      <w:pPr>
        <w:spacing w:after="240"/>
        <w:ind w:right="130"/>
        <w:rPr>
          <w:rFonts w:asciiTheme="minorHAnsi" w:hAnsiTheme="minorHAnsi" w:cstheme="minorHAnsi"/>
          <w:i/>
          <w:iCs/>
          <w:sz w:val="21"/>
          <w:szCs w:val="21"/>
        </w:rPr>
      </w:pPr>
      <w:r>
        <w:rPr>
          <w:rFonts w:asciiTheme="minorHAnsi" w:hAnsiTheme="minorHAnsi" w:cstheme="minorHAnsi"/>
          <w:sz w:val="21"/>
          <w:szCs w:val="21"/>
        </w:rPr>
        <w:t>Důvody</w:t>
      </w:r>
      <w:r w:rsidR="00EE591F" w:rsidRPr="00EE591F">
        <w:rPr>
          <w:rFonts w:asciiTheme="minorHAnsi" w:hAnsiTheme="minorHAnsi" w:cstheme="minorHAnsi"/>
          <w:sz w:val="21"/>
          <w:szCs w:val="21"/>
        </w:rPr>
        <w:t xml:space="preserve"> pro přijetí nového zákona o pojištění odpo</w:t>
      </w:r>
      <w:r>
        <w:rPr>
          <w:rFonts w:asciiTheme="minorHAnsi" w:hAnsiTheme="minorHAnsi" w:cstheme="minorHAnsi"/>
          <w:sz w:val="21"/>
          <w:szCs w:val="21"/>
        </w:rPr>
        <w:t xml:space="preserve">vědnosti z provozu vozidla zakládá </w:t>
      </w:r>
      <w:r w:rsidR="00EE591F" w:rsidRPr="00EE591F">
        <w:rPr>
          <w:rFonts w:asciiTheme="minorHAnsi" w:hAnsiTheme="minorHAnsi" w:cstheme="minorHAnsi"/>
          <w:sz w:val="21"/>
          <w:szCs w:val="21"/>
        </w:rPr>
        <w:t xml:space="preserve">nejen nutnost transpozice příslušné evropské směrnice do českého právního systému, ale </w:t>
      </w:r>
      <w:r>
        <w:rPr>
          <w:rFonts w:asciiTheme="minorHAnsi" w:hAnsiTheme="minorHAnsi" w:cstheme="minorHAnsi"/>
          <w:sz w:val="21"/>
          <w:szCs w:val="21"/>
        </w:rPr>
        <w:t xml:space="preserve">také podoba </w:t>
      </w:r>
      <w:r w:rsidR="006D1469">
        <w:rPr>
          <w:rFonts w:asciiTheme="minorHAnsi" w:hAnsiTheme="minorHAnsi" w:cstheme="minorHAnsi"/>
          <w:sz w:val="21"/>
          <w:szCs w:val="21"/>
        </w:rPr>
        <w:t>stávající zákonné úpravy s četnými úpravami.</w:t>
      </w: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je počítán odlišnou metodikou, než jako používá ČKP. Pro vizualizaci je zvolena značka vozu Škoda Octavia 1,6 TDI, 85 kW.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AD79CC">
        <w:rPr>
          <w:rFonts w:asciiTheme="minorHAnsi" w:hAnsiTheme="minorHAnsi" w:cstheme="minorHAnsi"/>
          <w:color w:val="000000" w:themeColor="text1"/>
          <w:sz w:val="21"/>
          <w:szCs w:val="21"/>
        </w:rPr>
        <w:t>POVIndexu</w:t>
      </w:r>
      <w:proofErr w:type="spellEnd"/>
      <w:r w:rsidRPr="00AD79CC">
        <w:rPr>
          <w:rFonts w:asciiTheme="minorHAnsi" w:hAnsiTheme="minorHAnsi" w:cstheme="minorHAnsi"/>
          <w:color w:val="000000" w:themeColor="text1"/>
          <w:sz w:val="21"/>
          <w:szCs w:val="21"/>
        </w:rPr>
        <w:t xml:space="preserve">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 xml:space="preserve">Broker Consulting </w:t>
      </w:r>
      <w:proofErr w:type="spellStart"/>
      <w:r w:rsidRPr="00AD79CC">
        <w:rPr>
          <w:rFonts w:asciiTheme="minorHAnsi" w:hAnsiTheme="minorHAnsi" w:cstheme="minorHAnsi"/>
          <w:b/>
          <w:sz w:val="21"/>
          <w:szCs w:val="21"/>
        </w:rPr>
        <w:t>POVIndex</w:t>
      </w:r>
      <w:proofErr w:type="spellEnd"/>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w:t>
      </w:r>
      <w:proofErr w:type="spellStart"/>
      <w:r w:rsidRPr="00AD79CC">
        <w:rPr>
          <w:rFonts w:asciiTheme="minorHAnsi" w:hAnsiTheme="minorHAnsi" w:cstheme="minorHAnsi"/>
          <w:sz w:val="21"/>
          <w:szCs w:val="21"/>
        </w:rPr>
        <w:t>POVIndex</w:t>
      </w:r>
      <w:proofErr w:type="spellEnd"/>
      <w:r w:rsidRPr="00AD79CC">
        <w:rPr>
          <w:rFonts w:asciiTheme="minorHAnsi" w:hAnsiTheme="minorHAnsi" w:cstheme="minorHAnsi"/>
          <w:sz w:val="21"/>
          <w:szCs w:val="21"/>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AD79CC">
        <w:rPr>
          <w:rFonts w:asciiTheme="minorHAnsi" w:hAnsiTheme="minorHAnsi" w:cstheme="minorHAnsi"/>
          <w:sz w:val="21"/>
          <w:szCs w:val="21"/>
        </w:rPr>
        <w:t>POVIndexu</w:t>
      </w:r>
      <w:proofErr w:type="spellEnd"/>
      <w:r w:rsidRPr="00AD79CC">
        <w:rPr>
          <w:rFonts w:asciiTheme="minorHAnsi" w:hAnsiTheme="minorHAnsi" w:cstheme="minorHAnsi"/>
          <w:sz w:val="21"/>
          <w:szCs w:val="21"/>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lastRenderedPageBreak/>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7D8BE6BA" w:rsidR="00DE7CE1" w:rsidRPr="00AD79CC" w:rsidRDefault="00236B96" w:rsidP="00DE7CE1">
      <w:pPr>
        <w:pStyle w:val="Bezmezer"/>
        <w:rPr>
          <w:rFonts w:eastAsia="F015TEELig" w:cstheme="minorHAnsi"/>
          <w:sz w:val="21"/>
          <w:szCs w:val="21"/>
        </w:rPr>
      </w:pPr>
      <w:r w:rsidRPr="00AD79CC">
        <w:rPr>
          <w:rFonts w:eastAsia="F015TEELig" w:cstheme="minorHAnsi"/>
          <w:sz w:val="21"/>
          <w:szCs w:val="21"/>
        </w:rPr>
        <w:t>Michaela Sahulová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63340AFC" w:rsidR="004C7BB5" w:rsidRPr="00AD79CC" w:rsidRDefault="00236B96" w:rsidP="00A1017F">
      <w:pPr>
        <w:pStyle w:val="Bezmezer"/>
        <w:rPr>
          <w:rFonts w:eastAsia="F015TEELig" w:cstheme="minorHAnsi"/>
          <w:sz w:val="21"/>
          <w:szCs w:val="21"/>
        </w:rPr>
      </w:pPr>
      <w:r w:rsidRPr="00AD79CC">
        <w:rPr>
          <w:rFonts w:eastAsia="F015TEELig" w:cstheme="minorHAnsi"/>
          <w:sz w:val="21"/>
          <w:szCs w:val="21"/>
        </w:rPr>
        <w:t>Mobil: +420 731 538</w:t>
      </w:r>
      <w:r w:rsidR="005B3E4A" w:rsidRPr="00AD79CC">
        <w:rPr>
          <w:rFonts w:eastAsia="F015TEELig" w:cstheme="minorHAnsi"/>
          <w:sz w:val="21"/>
          <w:szCs w:val="21"/>
        </w:rPr>
        <w:t> </w:t>
      </w:r>
      <w:r w:rsidRPr="00AD79CC">
        <w:rPr>
          <w:rFonts w:eastAsia="F015TEELig" w:cstheme="minorHAnsi"/>
          <w:sz w:val="21"/>
          <w:szCs w:val="21"/>
        </w:rPr>
        <w:t>373</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005B3DDD" w:rsidRPr="00AD79CC">
          <w:rPr>
            <w:rStyle w:val="Hypertextovodkaz"/>
            <w:rFonts w:eastAsia="Calibri" w:cstheme="minorHAnsi"/>
            <w:noProof/>
            <w:sz w:val="21"/>
            <w:szCs w:val="21"/>
          </w:rPr>
          <w:t>michaela.sahulova@bcas.cz</w:t>
        </w:r>
      </w:hyperlink>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62917" w14:textId="77777777" w:rsidR="004504BC" w:rsidRDefault="004504BC">
      <w:r>
        <w:separator/>
      </w:r>
    </w:p>
  </w:endnote>
  <w:endnote w:type="continuationSeparator" w:id="0">
    <w:p w14:paraId="6500836E" w14:textId="77777777" w:rsidR="004504BC" w:rsidRDefault="0045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394131B9"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083E38">
          <w:rPr>
            <w:rFonts w:asciiTheme="minorHAnsi" w:hAnsiTheme="minorHAnsi" w:cstheme="minorHAnsi"/>
            <w:noProof/>
            <w:sz w:val="20"/>
            <w:szCs w:val="20"/>
          </w:rPr>
          <w:t>4</w:t>
        </w:r>
        <w:r w:rsidRPr="006B54C7">
          <w:rPr>
            <w:rFonts w:asciiTheme="minorHAnsi" w:hAnsiTheme="minorHAnsi" w:cstheme="minorHAnsi"/>
            <w:sz w:val="20"/>
            <w:szCs w:val="20"/>
          </w:rPr>
          <w:fldChar w:fldCharType="end"/>
        </w:r>
        <w:r w:rsidRPr="006B54C7">
          <w:rPr>
            <w:rFonts w:asciiTheme="minorHAnsi" w:hAnsiTheme="minorHAnsi" w:cstheme="minorHAnsi"/>
            <w:sz w:val="20"/>
            <w:szCs w:val="20"/>
          </w:rPr>
          <w:t>/3</w:t>
        </w:r>
      </w:p>
      <w:p w14:paraId="5AF2E761" w14:textId="77777777" w:rsidR="006B54C7" w:rsidRDefault="006B54C7">
        <w:pPr>
          <w:pStyle w:val="Zpat"/>
          <w:jc w:val="center"/>
        </w:pPr>
      </w:p>
      <w:p w14:paraId="21AECC00" w14:textId="52E0DABD" w:rsidR="006B54C7" w:rsidRDefault="004504BC">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44F63" w14:textId="77777777" w:rsidR="004504BC" w:rsidRDefault="004504BC">
      <w:r>
        <w:separator/>
      </w:r>
    </w:p>
  </w:footnote>
  <w:footnote w:type="continuationSeparator" w:id="0">
    <w:p w14:paraId="2FAD0208" w14:textId="77777777" w:rsidR="004504BC" w:rsidRDefault="00450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5"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6"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3"/>
  </w:num>
  <w:num w:numId="3">
    <w:abstractNumId w:val="21"/>
  </w:num>
  <w:num w:numId="4">
    <w:abstractNumId w:val="6"/>
  </w:num>
  <w:num w:numId="5">
    <w:abstractNumId w:val="1"/>
  </w:num>
  <w:num w:numId="6">
    <w:abstractNumId w:val="23"/>
  </w:num>
  <w:num w:numId="7">
    <w:abstractNumId w:val="13"/>
  </w:num>
  <w:num w:numId="8">
    <w:abstractNumId w:val="12"/>
  </w:num>
  <w:num w:numId="9">
    <w:abstractNumId w:val="9"/>
  </w:num>
  <w:num w:numId="10">
    <w:abstractNumId w:val="11"/>
  </w:num>
  <w:num w:numId="11">
    <w:abstractNumId w:val="7"/>
  </w:num>
  <w:num w:numId="12">
    <w:abstractNumId w:val="4"/>
  </w:num>
  <w:num w:numId="13">
    <w:abstractNumId w:val="17"/>
  </w:num>
  <w:num w:numId="14">
    <w:abstractNumId w:val="26"/>
  </w:num>
  <w:num w:numId="15">
    <w:abstractNumId w:val="2"/>
  </w:num>
  <w:num w:numId="16">
    <w:abstractNumId w:val="15"/>
  </w:num>
  <w:num w:numId="17">
    <w:abstractNumId w:val="5"/>
  </w:num>
  <w:num w:numId="18">
    <w:abstractNumId w:val="10"/>
  </w:num>
  <w:num w:numId="19">
    <w:abstractNumId w:val="20"/>
  </w:num>
  <w:num w:numId="20">
    <w:abstractNumId w:val="25"/>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4"/>
    <w:lvlOverride w:ilvl="0"/>
    <w:lvlOverride w:ilvl="1">
      <w:startOverride w:val="4"/>
    </w:lvlOverride>
    <w:lvlOverride w:ilvl="2"/>
    <w:lvlOverride w:ilvl="3"/>
    <w:lvlOverride w:ilvl="4"/>
    <w:lvlOverride w:ilvl="5"/>
    <w:lvlOverride w:ilvl="6"/>
    <w:lvlOverride w:ilvl="7"/>
    <w:lvlOverride w:ilvl="8"/>
  </w:num>
  <w:num w:numId="24">
    <w:abstractNumId w:val="22"/>
  </w:num>
  <w:num w:numId="25">
    <w:abstractNumId w:val="16"/>
  </w:num>
  <w:num w:numId="26">
    <w:abstractNumId w:val="1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BB7"/>
    <w:rsid w:val="00056ECA"/>
    <w:rsid w:val="00062E18"/>
    <w:rsid w:val="00066A72"/>
    <w:rsid w:val="00067BA6"/>
    <w:rsid w:val="000705A5"/>
    <w:rsid w:val="00070D3C"/>
    <w:rsid w:val="0007198D"/>
    <w:rsid w:val="0007340D"/>
    <w:rsid w:val="00073462"/>
    <w:rsid w:val="00076845"/>
    <w:rsid w:val="00076C44"/>
    <w:rsid w:val="00077CC7"/>
    <w:rsid w:val="00083E38"/>
    <w:rsid w:val="0008656E"/>
    <w:rsid w:val="000866C0"/>
    <w:rsid w:val="00086F8F"/>
    <w:rsid w:val="00087124"/>
    <w:rsid w:val="00087D87"/>
    <w:rsid w:val="00090C9C"/>
    <w:rsid w:val="00090F2A"/>
    <w:rsid w:val="00091509"/>
    <w:rsid w:val="00094F77"/>
    <w:rsid w:val="00096AE4"/>
    <w:rsid w:val="000A06EA"/>
    <w:rsid w:val="000A170E"/>
    <w:rsid w:val="000A51D0"/>
    <w:rsid w:val="000A6FB0"/>
    <w:rsid w:val="000A77CE"/>
    <w:rsid w:val="000B6053"/>
    <w:rsid w:val="000C1AB4"/>
    <w:rsid w:val="000C32B0"/>
    <w:rsid w:val="000C351D"/>
    <w:rsid w:val="000C38CB"/>
    <w:rsid w:val="000C3C4C"/>
    <w:rsid w:val="000C4DDE"/>
    <w:rsid w:val="000C53D6"/>
    <w:rsid w:val="000C5B38"/>
    <w:rsid w:val="000C7119"/>
    <w:rsid w:val="000C74BD"/>
    <w:rsid w:val="000C7FAE"/>
    <w:rsid w:val="000D11FB"/>
    <w:rsid w:val="000D133F"/>
    <w:rsid w:val="000D2044"/>
    <w:rsid w:val="000D2DDE"/>
    <w:rsid w:val="000D333C"/>
    <w:rsid w:val="000D6870"/>
    <w:rsid w:val="000E21D2"/>
    <w:rsid w:val="000E286C"/>
    <w:rsid w:val="000E36C6"/>
    <w:rsid w:val="000E4DDD"/>
    <w:rsid w:val="000E7086"/>
    <w:rsid w:val="000F040D"/>
    <w:rsid w:val="000F1935"/>
    <w:rsid w:val="000F47AE"/>
    <w:rsid w:val="000F56EF"/>
    <w:rsid w:val="000F6249"/>
    <w:rsid w:val="00100869"/>
    <w:rsid w:val="00100CE7"/>
    <w:rsid w:val="0010426A"/>
    <w:rsid w:val="00104FCB"/>
    <w:rsid w:val="00106651"/>
    <w:rsid w:val="00107E00"/>
    <w:rsid w:val="00107E36"/>
    <w:rsid w:val="00112F65"/>
    <w:rsid w:val="00114392"/>
    <w:rsid w:val="00114D2B"/>
    <w:rsid w:val="00114D66"/>
    <w:rsid w:val="00114E09"/>
    <w:rsid w:val="00115CF8"/>
    <w:rsid w:val="00116173"/>
    <w:rsid w:val="00116A29"/>
    <w:rsid w:val="00117988"/>
    <w:rsid w:val="0012132F"/>
    <w:rsid w:val="0012713E"/>
    <w:rsid w:val="0013044E"/>
    <w:rsid w:val="00131F7B"/>
    <w:rsid w:val="00133BFD"/>
    <w:rsid w:val="0013512D"/>
    <w:rsid w:val="00136D21"/>
    <w:rsid w:val="00137003"/>
    <w:rsid w:val="00137E3C"/>
    <w:rsid w:val="00140DA4"/>
    <w:rsid w:val="00141303"/>
    <w:rsid w:val="001434CE"/>
    <w:rsid w:val="0014388A"/>
    <w:rsid w:val="001449CB"/>
    <w:rsid w:val="00146956"/>
    <w:rsid w:val="00150500"/>
    <w:rsid w:val="00152185"/>
    <w:rsid w:val="00152EDC"/>
    <w:rsid w:val="00153161"/>
    <w:rsid w:val="00155667"/>
    <w:rsid w:val="00160060"/>
    <w:rsid w:val="001603AF"/>
    <w:rsid w:val="00164219"/>
    <w:rsid w:val="00165614"/>
    <w:rsid w:val="001722EA"/>
    <w:rsid w:val="00173C9F"/>
    <w:rsid w:val="00174394"/>
    <w:rsid w:val="00176EF9"/>
    <w:rsid w:val="0017797E"/>
    <w:rsid w:val="00177E6B"/>
    <w:rsid w:val="0018139F"/>
    <w:rsid w:val="00181E9B"/>
    <w:rsid w:val="001844F8"/>
    <w:rsid w:val="0018541B"/>
    <w:rsid w:val="00186E95"/>
    <w:rsid w:val="00190C04"/>
    <w:rsid w:val="00190E10"/>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C4C44"/>
    <w:rsid w:val="001D2EF2"/>
    <w:rsid w:val="001D3C90"/>
    <w:rsid w:val="001E1593"/>
    <w:rsid w:val="001E265F"/>
    <w:rsid w:val="001E2B55"/>
    <w:rsid w:val="001E2DCC"/>
    <w:rsid w:val="001E4C14"/>
    <w:rsid w:val="001E4D1C"/>
    <w:rsid w:val="001E68DE"/>
    <w:rsid w:val="001F27AC"/>
    <w:rsid w:val="001F4AE1"/>
    <w:rsid w:val="001F7F2E"/>
    <w:rsid w:val="00200F89"/>
    <w:rsid w:val="002018E9"/>
    <w:rsid w:val="00202BE8"/>
    <w:rsid w:val="002108A4"/>
    <w:rsid w:val="00211C5C"/>
    <w:rsid w:val="00214949"/>
    <w:rsid w:val="00214E98"/>
    <w:rsid w:val="00215EF1"/>
    <w:rsid w:val="00215FFE"/>
    <w:rsid w:val="00216985"/>
    <w:rsid w:val="002174D5"/>
    <w:rsid w:val="0022642E"/>
    <w:rsid w:val="002333DA"/>
    <w:rsid w:val="0023472C"/>
    <w:rsid w:val="00235828"/>
    <w:rsid w:val="002365F3"/>
    <w:rsid w:val="00236B96"/>
    <w:rsid w:val="00237068"/>
    <w:rsid w:val="00237B09"/>
    <w:rsid w:val="00237D4E"/>
    <w:rsid w:val="00240BAE"/>
    <w:rsid w:val="00241313"/>
    <w:rsid w:val="00242251"/>
    <w:rsid w:val="002506AD"/>
    <w:rsid w:val="0025264B"/>
    <w:rsid w:val="0025408A"/>
    <w:rsid w:val="00254F1F"/>
    <w:rsid w:val="002555B1"/>
    <w:rsid w:val="00255E96"/>
    <w:rsid w:val="00255FAB"/>
    <w:rsid w:val="00256498"/>
    <w:rsid w:val="002609B2"/>
    <w:rsid w:val="00261C33"/>
    <w:rsid w:val="00261EE7"/>
    <w:rsid w:val="002636B1"/>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A2FB9"/>
    <w:rsid w:val="002A7348"/>
    <w:rsid w:val="002A7AE9"/>
    <w:rsid w:val="002A7DB8"/>
    <w:rsid w:val="002B053B"/>
    <w:rsid w:val="002B3EE0"/>
    <w:rsid w:val="002B5B4B"/>
    <w:rsid w:val="002B6A48"/>
    <w:rsid w:val="002C0392"/>
    <w:rsid w:val="002C635D"/>
    <w:rsid w:val="002D5492"/>
    <w:rsid w:val="002E2785"/>
    <w:rsid w:val="002E27C5"/>
    <w:rsid w:val="002E2F8E"/>
    <w:rsid w:val="002F0335"/>
    <w:rsid w:val="002F0C79"/>
    <w:rsid w:val="002F2D65"/>
    <w:rsid w:val="002F5A42"/>
    <w:rsid w:val="002F5A56"/>
    <w:rsid w:val="002F6814"/>
    <w:rsid w:val="002F68D1"/>
    <w:rsid w:val="00301660"/>
    <w:rsid w:val="00302AE6"/>
    <w:rsid w:val="00303223"/>
    <w:rsid w:val="00303BCE"/>
    <w:rsid w:val="00303C85"/>
    <w:rsid w:val="0030477F"/>
    <w:rsid w:val="00305EA9"/>
    <w:rsid w:val="00307CEB"/>
    <w:rsid w:val="00307D0F"/>
    <w:rsid w:val="00312311"/>
    <w:rsid w:val="003128F8"/>
    <w:rsid w:val="003203FF"/>
    <w:rsid w:val="0032274C"/>
    <w:rsid w:val="00322757"/>
    <w:rsid w:val="00322BE1"/>
    <w:rsid w:val="00325CD8"/>
    <w:rsid w:val="00326268"/>
    <w:rsid w:val="00330918"/>
    <w:rsid w:val="0033104C"/>
    <w:rsid w:val="00334CD1"/>
    <w:rsid w:val="003404F4"/>
    <w:rsid w:val="00341A59"/>
    <w:rsid w:val="003428A4"/>
    <w:rsid w:val="003450E1"/>
    <w:rsid w:val="003473B3"/>
    <w:rsid w:val="00347557"/>
    <w:rsid w:val="003504FD"/>
    <w:rsid w:val="00352433"/>
    <w:rsid w:val="0035286E"/>
    <w:rsid w:val="00352D61"/>
    <w:rsid w:val="00354DBF"/>
    <w:rsid w:val="00356FFC"/>
    <w:rsid w:val="00363124"/>
    <w:rsid w:val="00374B71"/>
    <w:rsid w:val="00375451"/>
    <w:rsid w:val="00375CF7"/>
    <w:rsid w:val="00381F5F"/>
    <w:rsid w:val="003830B5"/>
    <w:rsid w:val="003863F0"/>
    <w:rsid w:val="00390304"/>
    <w:rsid w:val="0039102F"/>
    <w:rsid w:val="0039395A"/>
    <w:rsid w:val="00395524"/>
    <w:rsid w:val="00397D4B"/>
    <w:rsid w:val="003A4180"/>
    <w:rsid w:val="003A55CE"/>
    <w:rsid w:val="003A76E8"/>
    <w:rsid w:val="003A7C59"/>
    <w:rsid w:val="003A7C9A"/>
    <w:rsid w:val="003B08AC"/>
    <w:rsid w:val="003B4B9E"/>
    <w:rsid w:val="003B54D9"/>
    <w:rsid w:val="003B7BFE"/>
    <w:rsid w:val="003C0030"/>
    <w:rsid w:val="003C4D4B"/>
    <w:rsid w:val="003D03A6"/>
    <w:rsid w:val="003D07A2"/>
    <w:rsid w:val="003D2590"/>
    <w:rsid w:val="003D2711"/>
    <w:rsid w:val="003D2CAC"/>
    <w:rsid w:val="003D386F"/>
    <w:rsid w:val="003D43DB"/>
    <w:rsid w:val="003D4C73"/>
    <w:rsid w:val="003D556B"/>
    <w:rsid w:val="003D653E"/>
    <w:rsid w:val="003E2280"/>
    <w:rsid w:val="003E2ADC"/>
    <w:rsid w:val="003E5948"/>
    <w:rsid w:val="003E601E"/>
    <w:rsid w:val="003F0EA3"/>
    <w:rsid w:val="003F38E5"/>
    <w:rsid w:val="003F73C3"/>
    <w:rsid w:val="00401210"/>
    <w:rsid w:val="00402AC6"/>
    <w:rsid w:val="00404CDA"/>
    <w:rsid w:val="00406B06"/>
    <w:rsid w:val="00410BF5"/>
    <w:rsid w:val="0041222E"/>
    <w:rsid w:val="0041224F"/>
    <w:rsid w:val="004130A2"/>
    <w:rsid w:val="0041452A"/>
    <w:rsid w:val="004151E6"/>
    <w:rsid w:val="00415BA7"/>
    <w:rsid w:val="00416F40"/>
    <w:rsid w:val="00417A8F"/>
    <w:rsid w:val="00417E36"/>
    <w:rsid w:val="00422B4E"/>
    <w:rsid w:val="0042312B"/>
    <w:rsid w:val="004237DE"/>
    <w:rsid w:val="00423B16"/>
    <w:rsid w:val="00423F48"/>
    <w:rsid w:val="00425824"/>
    <w:rsid w:val="0042625B"/>
    <w:rsid w:val="0043207C"/>
    <w:rsid w:val="0043263D"/>
    <w:rsid w:val="004336FA"/>
    <w:rsid w:val="004349B6"/>
    <w:rsid w:val="00436FD5"/>
    <w:rsid w:val="00437639"/>
    <w:rsid w:val="004407C2"/>
    <w:rsid w:val="004413A6"/>
    <w:rsid w:val="00441D22"/>
    <w:rsid w:val="00444BB9"/>
    <w:rsid w:val="00445D0A"/>
    <w:rsid w:val="00447E56"/>
    <w:rsid w:val="004504BC"/>
    <w:rsid w:val="00453482"/>
    <w:rsid w:val="00453762"/>
    <w:rsid w:val="00453CFE"/>
    <w:rsid w:val="00457E45"/>
    <w:rsid w:val="00463570"/>
    <w:rsid w:val="00467207"/>
    <w:rsid w:val="0047109D"/>
    <w:rsid w:val="00472B53"/>
    <w:rsid w:val="00474E92"/>
    <w:rsid w:val="00476C23"/>
    <w:rsid w:val="004809C7"/>
    <w:rsid w:val="00483A48"/>
    <w:rsid w:val="0048779A"/>
    <w:rsid w:val="00493430"/>
    <w:rsid w:val="00495519"/>
    <w:rsid w:val="00496EFA"/>
    <w:rsid w:val="004A245D"/>
    <w:rsid w:val="004A2D42"/>
    <w:rsid w:val="004A2E7A"/>
    <w:rsid w:val="004A3A91"/>
    <w:rsid w:val="004A557B"/>
    <w:rsid w:val="004A7461"/>
    <w:rsid w:val="004B2B01"/>
    <w:rsid w:val="004B4992"/>
    <w:rsid w:val="004B6687"/>
    <w:rsid w:val="004B73DC"/>
    <w:rsid w:val="004C3C0D"/>
    <w:rsid w:val="004C4033"/>
    <w:rsid w:val="004C5298"/>
    <w:rsid w:val="004C5C61"/>
    <w:rsid w:val="004C6594"/>
    <w:rsid w:val="004C7507"/>
    <w:rsid w:val="004C798D"/>
    <w:rsid w:val="004C7BB5"/>
    <w:rsid w:val="004D4111"/>
    <w:rsid w:val="004D52BD"/>
    <w:rsid w:val="004D69FB"/>
    <w:rsid w:val="004E1108"/>
    <w:rsid w:val="004E207F"/>
    <w:rsid w:val="004E3877"/>
    <w:rsid w:val="004E4203"/>
    <w:rsid w:val="004E42A8"/>
    <w:rsid w:val="004F07BC"/>
    <w:rsid w:val="004F0D7B"/>
    <w:rsid w:val="004F0DC0"/>
    <w:rsid w:val="004F2548"/>
    <w:rsid w:val="004F43C7"/>
    <w:rsid w:val="004F5CC5"/>
    <w:rsid w:val="004F63FD"/>
    <w:rsid w:val="00500534"/>
    <w:rsid w:val="0050130C"/>
    <w:rsid w:val="005039B0"/>
    <w:rsid w:val="005058FE"/>
    <w:rsid w:val="00507696"/>
    <w:rsid w:val="005154F9"/>
    <w:rsid w:val="00515C68"/>
    <w:rsid w:val="00520EA0"/>
    <w:rsid w:val="00523BD9"/>
    <w:rsid w:val="00524E33"/>
    <w:rsid w:val="0052644E"/>
    <w:rsid w:val="0052748B"/>
    <w:rsid w:val="005336E7"/>
    <w:rsid w:val="00543BFB"/>
    <w:rsid w:val="00543F98"/>
    <w:rsid w:val="00544F68"/>
    <w:rsid w:val="00547816"/>
    <w:rsid w:val="00552CC5"/>
    <w:rsid w:val="005546DD"/>
    <w:rsid w:val="005613E9"/>
    <w:rsid w:val="00561757"/>
    <w:rsid w:val="00561997"/>
    <w:rsid w:val="00562CA8"/>
    <w:rsid w:val="00562DBA"/>
    <w:rsid w:val="00567402"/>
    <w:rsid w:val="005733BD"/>
    <w:rsid w:val="0057359A"/>
    <w:rsid w:val="00576552"/>
    <w:rsid w:val="005773EE"/>
    <w:rsid w:val="00580B4C"/>
    <w:rsid w:val="00580D50"/>
    <w:rsid w:val="00582562"/>
    <w:rsid w:val="00582565"/>
    <w:rsid w:val="005837F8"/>
    <w:rsid w:val="005853C3"/>
    <w:rsid w:val="00587549"/>
    <w:rsid w:val="00587B4C"/>
    <w:rsid w:val="0059081F"/>
    <w:rsid w:val="00592002"/>
    <w:rsid w:val="00592071"/>
    <w:rsid w:val="00595E44"/>
    <w:rsid w:val="00596E22"/>
    <w:rsid w:val="005973B7"/>
    <w:rsid w:val="00597E85"/>
    <w:rsid w:val="005A5F89"/>
    <w:rsid w:val="005A61D5"/>
    <w:rsid w:val="005A6E1C"/>
    <w:rsid w:val="005A75AE"/>
    <w:rsid w:val="005B015E"/>
    <w:rsid w:val="005B13F7"/>
    <w:rsid w:val="005B32C5"/>
    <w:rsid w:val="005B35D6"/>
    <w:rsid w:val="005B360B"/>
    <w:rsid w:val="005B3DDD"/>
    <w:rsid w:val="005B3E4A"/>
    <w:rsid w:val="005C3043"/>
    <w:rsid w:val="005C42D9"/>
    <w:rsid w:val="005C5A6E"/>
    <w:rsid w:val="005D11F0"/>
    <w:rsid w:val="005D3281"/>
    <w:rsid w:val="005D3BDE"/>
    <w:rsid w:val="005D41E6"/>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33924"/>
    <w:rsid w:val="00640494"/>
    <w:rsid w:val="00646D74"/>
    <w:rsid w:val="00650902"/>
    <w:rsid w:val="0065153C"/>
    <w:rsid w:val="00651D03"/>
    <w:rsid w:val="0065506F"/>
    <w:rsid w:val="006618CF"/>
    <w:rsid w:val="00661F01"/>
    <w:rsid w:val="006620C8"/>
    <w:rsid w:val="006652BA"/>
    <w:rsid w:val="00667000"/>
    <w:rsid w:val="006676D9"/>
    <w:rsid w:val="00672555"/>
    <w:rsid w:val="00673898"/>
    <w:rsid w:val="00674094"/>
    <w:rsid w:val="0067482F"/>
    <w:rsid w:val="00675503"/>
    <w:rsid w:val="00681C83"/>
    <w:rsid w:val="00682B2C"/>
    <w:rsid w:val="006849F6"/>
    <w:rsid w:val="00684B75"/>
    <w:rsid w:val="00684BC2"/>
    <w:rsid w:val="00684D30"/>
    <w:rsid w:val="006856FF"/>
    <w:rsid w:val="006863D8"/>
    <w:rsid w:val="00686B26"/>
    <w:rsid w:val="006900AC"/>
    <w:rsid w:val="00690AD8"/>
    <w:rsid w:val="00695734"/>
    <w:rsid w:val="00695EEC"/>
    <w:rsid w:val="006972BF"/>
    <w:rsid w:val="006A20B3"/>
    <w:rsid w:val="006B0FE8"/>
    <w:rsid w:val="006B1609"/>
    <w:rsid w:val="006B2ABD"/>
    <w:rsid w:val="006B3946"/>
    <w:rsid w:val="006B54C7"/>
    <w:rsid w:val="006B7033"/>
    <w:rsid w:val="006B7FBE"/>
    <w:rsid w:val="006C2E50"/>
    <w:rsid w:val="006C48DE"/>
    <w:rsid w:val="006C53A7"/>
    <w:rsid w:val="006C6246"/>
    <w:rsid w:val="006C6B6B"/>
    <w:rsid w:val="006C7AE7"/>
    <w:rsid w:val="006D1469"/>
    <w:rsid w:val="006D5A9A"/>
    <w:rsid w:val="006E15E4"/>
    <w:rsid w:val="006E1F02"/>
    <w:rsid w:val="006E3397"/>
    <w:rsid w:val="006F11BD"/>
    <w:rsid w:val="006F3882"/>
    <w:rsid w:val="006F4BEB"/>
    <w:rsid w:val="006F6676"/>
    <w:rsid w:val="007001E0"/>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5F36"/>
    <w:rsid w:val="00737025"/>
    <w:rsid w:val="00737A54"/>
    <w:rsid w:val="00737FB2"/>
    <w:rsid w:val="00741E4A"/>
    <w:rsid w:val="007437EE"/>
    <w:rsid w:val="00744F5A"/>
    <w:rsid w:val="007455AD"/>
    <w:rsid w:val="00746E66"/>
    <w:rsid w:val="00747F40"/>
    <w:rsid w:val="0075063F"/>
    <w:rsid w:val="007605C8"/>
    <w:rsid w:val="00763554"/>
    <w:rsid w:val="00764614"/>
    <w:rsid w:val="0076526B"/>
    <w:rsid w:val="007652AE"/>
    <w:rsid w:val="007677BE"/>
    <w:rsid w:val="00767FF2"/>
    <w:rsid w:val="007707AA"/>
    <w:rsid w:val="0077224E"/>
    <w:rsid w:val="00781039"/>
    <w:rsid w:val="007825E8"/>
    <w:rsid w:val="00790246"/>
    <w:rsid w:val="00792A34"/>
    <w:rsid w:val="00793C25"/>
    <w:rsid w:val="007A1136"/>
    <w:rsid w:val="007A5C4C"/>
    <w:rsid w:val="007B0579"/>
    <w:rsid w:val="007B41A6"/>
    <w:rsid w:val="007B6AD8"/>
    <w:rsid w:val="007B6D97"/>
    <w:rsid w:val="007B7906"/>
    <w:rsid w:val="007D14DF"/>
    <w:rsid w:val="007D22BA"/>
    <w:rsid w:val="007D3AB9"/>
    <w:rsid w:val="007D3C35"/>
    <w:rsid w:val="007D42A1"/>
    <w:rsid w:val="007D441F"/>
    <w:rsid w:val="007D4868"/>
    <w:rsid w:val="007D4A60"/>
    <w:rsid w:val="007D7BA6"/>
    <w:rsid w:val="007E0AC1"/>
    <w:rsid w:val="007E30B0"/>
    <w:rsid w:val="007E37C0"/>
    <w:rsid w:val="007E5598"/>
    <w:rsid w:val="007E6279"/>
    <w:rsid w:val="007E6E94"/>
    <w:rsid w:val="007F2249"/>
    <w:rsid w:val="007F28B9"/>
    <w:rsid w:val="007F6C2A"/>
    <w:rsid w:val="008001D1"/>
    <w:rsid w:val="008008D4"/>
    <w:rsid w:val="008020D3"/>
    <w:rsid w:val="008043AE"/>
    <w:rsid w:val="00804869"/>
    <w:rsid w:val="00804908"/>
    <w:rsid w:val="0080704C"/>
    <w:rsid w:val="00807BBD"/>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55CE"/>
    <w:rsid w:val="00835736"/>
    <w:rsid w:val="00836DF0"/>
    <w:rsid w:val="00837AF9"/>
    <w:rsid w:val="00850F9B"/>
    <w:rsid w:val="00853260"/>
    <w:rsid w:val="00854470"/>
    <w:rsid w:val="00861B39"/>
    <w:rsid w:val="00864D3B"/>
    <w:rsid w:val="00866220"/>
    <w:rsid w:val="008672D5"/>
    <w:rsid w:val="00870A8D"/>
    <w:rsid w:val="00871D8A"/>
    <w:rsid w:val="00873067"/>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3E3B"/>
    <w:rsid w:val="008A4334"/>
    <w:rsid w:val="008A4374"/>
    <w:rsid w:val="008B0E70"/>
    <w:rsid w:val="008B3C30"/>
    <w:rsid w:val="008B5577"/>
    <w:rsid w:val="008C2161"/>
    <w:rsid w:val="008C3AC7"/>
    <w:rsid w:val="008C47FA"/>
    <w:rsid w:val="008C5342"/>
    <w:rsid w:val="008C692E"/>
    <w:rsid w:val="008C7230"/>
    <w:rsid w:val="008C7A52"/>
    <w:rsid w:val="008D26B6"/>
    <w:rsid w:val="008D26CF"/>
    <w:rsid w:val="008D368D"/>
    <w:rsid w:val="008D4344"/>
    <w:rsid w:val="008D4839"/>
    <w:rsid w:val="008E0C1C"/>
    <w:rsid w:val="008E45B5"/>
    <w:rsid w:val="008E4A71"/>
    <w:rsid w:val="008E5FF5"/>
    <w:rsid w:val="008F0075"/>
    <w:rsid w:val="008F2D3E"/>
    <w:rsid w:val="008F30F4"/>
    <w:rsid w:val="008F7F4E"/>
    <w:rsid w:val="00904B90"/>
    <w:rsid w:val="00906147"/>
    <w:rsid w:val="00907B68"/>
    <w:rsid w:val="009111C1"/>
    <w:rsid w:val="009130AC"/>
    <w:rsid w:val="0091561E"/>
    <w:rsid w:val="00915ADA"/>
    <w:rsid w:val="00917467"/>
    <w:rsid w:val="00922831"/>
    <w:rsid w:val="00922872"/>
    <w:rsid w:val="00924030"/>
    <w:rsid w:val="0093538A"/>
    <w:rsid w:val="009362DC"/>
    <w:rsid w:val="009365EB"/>
    <w:rsid w:val="00936F1B"/>
    <w:rsid w:val="00937D6D"/>
    <w:rsid w:val="00937EF5"/>
    <w:rsid w:val="00940EA3"/>
    <w:rsid w:val="00943C72"/>
    <w:rsid w:val="00947A3E"/>
    <w:rsid w:val="00947E0F"/>
    <w:rsid w:val="00950337"/>
    <w:rsid w:val="009509CC"/>
    <w:rsid w:val="00951DB8"/>
    <w:rsid w:val="0095216F"/>
    <w:rsid w:val="0095680F"/>
    <w:rsid w:val="00956932"/>
    <w:rsid w:val="00956A25"/>
    <w:rsid w:val="00960235"/>
    <w:rsid w:val="009607E3"/>
    <w:rsid w:val="009612EF"/>
    <w:rsid w:val="00961316"/>
    <w:rsid w:val="00962D05"/>
    <w:rsid w:val="00963043"/>
    <w:rsid w:val="009634C8"/>
    <w:rsid w:val="0096488C"/>
    <w:rsid w:val="00965007"/>
    <w:rsid w:val="0096518D"/>
    <w:rsid w:val="0096547A"/>
    <w:rsid w:val="00967EDE"/>
    <w:rsid w:val="009706CE"/>
    <w:rsid w:val="00974A2D"/>
    <w:rsid w:val="0097633B"/>
    <w:rsid w:val="00976A70"/>
    <w:rsid w:val="00977B31"/>
    <w:rsid w:val="00982774"/>
    <w:rsid w:val="00982991"/>
    <w:rsid w:val="00983C40"/>
    <w:rsid w:val="00984D4F"/>
    <w:rsid w:val="00986C46"/>
    <w:rsid w:val="009911D2"/>
    <w:rsid w:val="009925A1"/>
    <w:rsid w:val="009A1543"/>
    <w:rsid w:val="009A315A"/>
    <w:rsid w:val="009A36FD"/>
    <w:rsid w:val="009A3C36"/>
    <w:rsid w:val="009A40CA"/>
    <w:rsid w:val="009A6BB3"/>
    <w:rsid w:val="009B4FF9"/>
    <w:rsid w:val="009C0793"/>
    <w:rsid w:val="009C0ECA"/>
    <w:rsid w:val="009C138D"/>
    <w:rsid w:val="009C1B84"/>
    <w:rsid w:val="009C365B"/>
    <w:rsid w:val="009C535B"/>
    <w:rsid w:val="009C5C65"/>
    <w:rsid w:val="009C7478"/>
    <w:rsid w:val="009D23D9"/>
    <w:rsid w:val="009D2988"/>
    <w:rsid w:val="009D3BDF"/>
    <w:rsid w:val="009D556F"/>
    <w:rsid w:val="009D66DF"/>
    <w:rsid w:val="009D6FFC"/>
    <w:rsid w:val="009E3060"/>
    <w:rsid w:val="009E317D"/>
    <w:rsid w:val="009E4188"/>
    <w:rsid w:val="009E6ADA"/>
    <w:rsid w:val="009F0FAC"/>
    <w:rsid w:val="009F2CB2"/>
    <w:rsid w:val="009F42D5"/>
    <w:rsid w:val="009F59EE"/>
    <w:rsid w:val="00A00614"/>
    <w:rsid w:val="00A0626C"/>
    <w:rsid w:val="00A06687"/>
    <w:rsid w:val="00A0680F"/>
    <w:rsid w:val="00A07B57"/>
    <w:rsid w:val="00A1017F"/>
    <w:rsid w:val="00A11002"/>
    <w:rsid w:val="00A12D97"/>
    <w:rsid w:val="00A145E2"/>
    <w:rsid w:val="00A15C5F"/>
    <w:rsid w:val="00A1706A"/>
    <w:rsid w:val="00A17595"/>
    <w:rsid w:val="00A2129E"/>
    <w:rsid w:val="00A21AB7"/>
    <w:rsid w:val="00A22380"/>
    <w:rsid w:val="00A267CE"/>
    <w:rsid w:val="00A3119E"/>
    <w:rsid w:val="00A3163A"/>
    <w:rsid w:val="00A34404"/>
    <w:rsid w:val="00A345F7"/>
    <w:rsid w:val="00A351F4"/>
    <w:rsid w:val="00A35204"/>
    <w:rsid w:val="00A35900"/>
    <w:rsid w:val="00A36D79"/>
    <w:rsid w:val="00A371A8"/>
    <w:rsid w:val="00A401A3"/>
    <w:rsid w:val="00A4441D"/>
    <w:rsid w:val="00A51DB8"/>
    <w:rsid w:val="00A526C9"/>
    <w:rsid w:val="00A52E40"/>
    <w:rsid w:val="00A553F8"/>
    <w:rsid w:val="00A644DF"/>
    <w:rsid w:val="00A661EE"/>
    <w:rsid w:val="00A672EA"/>
    <w:rsid w:val="00A67865"/>
    <w:rsid w:val="00A706DB"/>
    <w:rsid w:val="00A75581"/>
    <w:rsid w:val="00A80A8B"/>
    <w:rsid w:val="00A82D27"/>
    <w:rsid w:val="00A85069"/>
    <w:rsid w:val="00A86EF2"/>
    <w:rsid w:val="00A902B4"/>
    <w:rsid w:val="00A93669"/>
    <w:rsid w:val="00A969E4"/>
    <w:rsid w:val="00A973F9"/>
    <w:rsid w:val="00AA0C1B"/>
    <w:rsid w:val="00AA104C"/>
    <w:rsid w:val="00AA13C3"/>
    <w:rsid w:val="00AA1D7A"/>
    <w:rsid w:val="00AA1EF9"/>
    <w:rsid w:val="00AA3C5C"/>
    <w:rsid w:val="00AA58B4"/>
    <w:rsid w:val="00AB5C28"/>
    <w:rsid w:val="00AC0B97"/>
    <w:rsid w:val="00AC0F4F"/>
    <w:rsid w:val="00AC14FC"/>
    <w:rsid w:val="00AC1B87"/>
    <w:rsid w:val="00AC1E03"/>
    <w:rsid w:val="00AC3155"/>
    <w:rsid w:val="00AC4CEE"/>
    <w:rsid w:val="00AD0B09"/>
    <w:rsid w:val="00AD2933"/>
    <w:rsid w:val="00AD3089"/>
    <w:rsid w:val="00AD79CC"/>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77AF"/>
    <w:rsid w:val="00B17AD8"/>
    <w:rsid w:val="00B20F7B"/>
    <w:rsid w:val="00B21A92"/>
    <w:rsid w:val="00B21D7F"/>
    <w:rsid w:val="00B2288F"/>
    <w:rsid w:val="00B244B9"/>
    <w:rsid w:val="00B24AB2"/>
    <w:rsid w:val="00B24DBE"/>
    <w:rsid w:val="00B26C1E"/>
    <w:rsid w:val="00B278D2"/>
    <w:rsid w:val="00B30195"/>
    <w:rsid w:val="00B3074F"/>
    <w:rsid w:val="00B3103A"/>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5F72"/>
    <w:rsid w:val="00B564A6"/>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1BAE"/>
    <w:rsid w:val="00BB27FC"/>
    <w:rsid w:val="00BB5F03"/>
    <w:rsid w:val="00BC10FE"/>
    <w:rsid w:val="00BC1BA1"/>
    <w:rsid w:val="00BC30D1"/>
    <w:rsid w:val="00BC43C3"/>
    <w:rsid w:val="00BC6C6E"/>
    <w:rsid w:val="00BD0305"/>
    <w:rsid w:val="00BD18EA"/>
    <w:rsid w:val="00BD25BD"/>
    <w:rsid w:val="00BD26AB"/>
    <w:rsid w:val="00BD4FB4"/>
    <w:rsid w:val="00BD56CC"/>
    <w:rsid w:val="00BD6A7F"/>
    <w:rsid w:val="00BD7095"/>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9F0"/>
    <w:rsid w:val="00C12B80"/>
    <w:rsid w:val="00C1553C"/>
    <w:rsid w:val="00C16738"/>
    <w:rsid w:val="00C16A07"/>
    <w:rsid w:val="00C213F3"/>
    <w:rsid w:val="00C2196C"/>
    <w:rsid w:val="00C25196"/>
    <w:rsid w:val="00C25A49"/>
    <w:rsid w:val="00C30103"/>
    <w:rsid w:val="00C306CA"/>
    <w:rsid w:val="00C35BFC"/>
    <w:rsid w:val="00C36244"/>
    <w:rsid w:val="00C362AF"/>
    <w:rsid w:val="00C36818"/>
    <w:rsid w:val="00C36AC8"/>
    <w:rsid w:val="00C36E73"/>
    <w:rsid w:val="00C40157"/>
    <w:rsid w:val="00C42096"/>
    <w:rsid w:val="00C45232"/>
    <w:rsid w:val="00C4735A"/>
    <w:rsid w:val="00C503A0"/>
    <w:rsid w:val="00C505D4"/>
    <w:rsid w:val="00C50A39"/>
    <w:rsid w:val="00C51E90"/>
    <w:rsid w:val="00C53ECE"/>
    <w:rsid w:val="00C55E4E"/>
    <w:rsid w:val="00C5726E"/>
    <w:rsid w:val="00C6048F"/>
    <w:rsid w:val="00C607F2"/>
    <w:rsid w:val="00C61777"/>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EBC"/>
    <w:rsid w:val="00C91F7F"/>
    <w:rsid w:val="00CA3F3D"/>
    <w:rsid w:val="00CA3FE4"/>
    <w:rsid w:val="00CA5FC8"/>
    <w:rsid w:val="00CB1985"/>
    <w:rsid w:val="00CB40F4"/>
    <w:rsid w:val="00CB7416"/>
    <w:rsid w:val="00CC04E3"/>
    <w:rsid w:val="00CC32D9"/>
    <w:rsid w:val="00CC45E5"/>
    <w:rsid w:val="00CC5BEB"/>
    <w:rsid w:val="00CC60A9"/>
    <w:rsid w:val="00CC7C89"/>
    <w:rsid w:val="00CD1C31"/>
    <w:rsid w:val="00CD2522"/>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23BF"/>
    <w:rsid w:val="00D2253B"/>
    <w:rsid w:val="00D22A67"/>
    <w:rsid w:val="00D245D2"/>
    <w:rsid w:val="00D25B0B"/>
    <w:rsid w:val="00D31127"/>
    <w:rsid w:val="00D31386"/>
    <w:rsid w:val="00D31FA8"/>
    <w:rsid w:val="00D3396D"/>
    <w:rsid w:val="00D3397B"/>
    <w:rsid w:val="00D3569B"/>
    <w:rsid w:val="00D35A90"/>
    <w:rsid w:val="00D36065"/>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6F6E"/>
    <w:rsid w:val="00D777C9"/>
    <w:rsid w:val="00D77E6E"/>
    <w:rsid w:val="00D80B6D"/>
    <w:rsid w:val="00D82E2D"/>
    <w:rsid w:val="00D8513A"/>
    <w:rsid w:val="00D87CCE"/>
    <w:rsid w:val="00D9306C"/>
    <w:rsid w:val="00DA087D"/>
    <w:rsid w:val="00DA1662"/>
    <w:rsid w:val="00DA327C"/>
    <w:rsid w:val="00DA576C"/>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75F4"/>
    <w:rsid w:val="00DE7686"/>
    <w:rsid w:val="00DE7CE1"/>
    <w:rsid w:val="00DF006F"/>
    <w:rsid w:val="00DF1F56"/>
    <w:rsid w:val="00DF296C"/>
    <w:rsid w:val="00DF2A53"/>
    <w:rsid w:val="00DF388B"/>
    <w:rsid w:val="00DF5CAA"/>
    <w:rsid w:val="00DF5E95"/>
    <w:rsid w:val="00E02125"/>
    <w:rsid w:val="00E0358E"/>
    <w:rsid w:val="00E04F24"/>
    <w:rsid w:val="00E04F7B"/>
    <w:rsid w:val="00E06CEA"/>
    <w:rsid w:val="00E11435"/>
    <w:rsid w:val="00E121F2"/>
    <w:rsid w:val="00E166F1"/>
    <w:rsid w:val="00E16928"/>
    <w:rsid w:val="00E16FE8"/>
    <w:rsid w:val="00E17539"/>
    <w:rsid w:val="00E23F1D"/>
    <w:rsid w:val="00E24FED"/>
    <w:rsid w:val="00E25085"/>
    <w:rsid w:val="00E2591F"/>
    <w:rsid w:val="00E343B0"/>
    <w:rsid w:val="00E364A9"/>
    <w:rsid w:val="00E36E36"/>
    <w:rsid w:val="00E400AA"/>
    <w:rsid w:val="00E40BF0"/>
    <w:rsid w:val="00E42149"/>
    <w:rsid w:val="00E4768E"/>
    <w:rsid w:val="00E47BA7"/>
    <w:rsid w:val="00E515C8"/>
    <w:rsid w:val="00E53945"/>
    <w:rsid w:val="00E55682"/>
    <w:rsid w:val="00E5639B"/>
    <w:rsid w:val="00E57D1A"/>
    <w:rsid w:val="00E608E3"/>
    <w:rsid w:val="00E60E78"/>
    <w:rsid w:val="00E63C9B"/>
    <w:rsid w:val="00E669EF"/>
    <w:rsid w:val="00E67800"/>
    <w:rsid w:val="00E71B7C"/>
    <w:rsid w:val="00E71C1E"/>
    <w:rsid w:val="00E71D31"/>
    <w:rsid w:val="00E72BA8"/>
    <w:rsid w:val="00E74BB2"/>
    <w:rsid w:val="00E804FF"/>
    <w:rsid w:val="00E81785"/>
    <w:rsid w:val="00E83CCD"/>
    <w:rsid w:val="00E847E6"/>
    <w:rsid w:val="00E856C2"/>
    <w:rsid w:val="00E90FB8"/>
    <w:rsid w:val="00E938B3"/>
    <w:rsid w:val="00E945C4"/>
    <w:rsid w:val="00E9495C"/>
    <w:rsid w:val="00EA29EC"/>
    <w:rsid w:val="00EA3186"/>
    <w:rsid w:val="00EA3C99"/>
    <w:rsid w:val="00EA47AD"/>
    <w:rsid w:val="00EA64D4"/>
    <w:rsid w:val="00EB06C5"/>
    <w:rsid w:val="00EB1535"/>
    <w:rsid w:val="00EB26B3"/>
    <w:rsid w:val="00EB4375"/>
    <w:rsid w:val="00EB5B94"/>
    <w:rsid w:val="00EB657F"/>
    <w:rsid w:val="00EC046B"/>
    <w:rsid w:val="00EC75DD"/>
    <w:rsid w:val="00ED4C36"/>
    <w:rsid w:val="00EE520F"/>
    <w:rsid w:val="00EE591F"/>
    <w:rsid w:val="00EE6C6D"/>
    <w:rsid w:val="00EE7BDD"/>
    <w:rsid w:val="00EF1568"/>
    <w:rsid w:val="00EF56AC"/>
    <w:rsid w:val="00EF5EE0"/>
    <w:rsid w:val="00EF62F8"/>
    <w:rsid w:val="00F0275F"/>
    <w:rsid w:val="00F040CA"/>
    <w:rsid w:val="00F04FF5"/>
    <w:rsid w:val="00F06420"/>
    <w:rsid w:val="00F06844"/>
    <w:rsid w:val="00F0734C"/>
    <w:rsid w:val="00F10CFA"/>
    <w:rsid w:val="00F1214E"/>
    <w:rsid w:val="00F12CDD"/>
    <w:rsid w:val="00F16128"/>
    <w:rsid w:val="00F161D2"/>
    <w:rsid w:val="00F20841"/>
    <w:rsid w:val="00F2446D"/>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52462"/>
    <w:rsid w:val="00F53850"/>
    <w:rsid w:val="00F542F8"/>
    <w:rsid w:val="00F61061"/>
    <w:rsid w:val="00F63179"/>
    <w:rsid w:val="00F63E7A"/>
    <w:rsid w:val="00F64A9E"/>
    <w:rsid w:val="00F6505F"/>
    <w:rsid w:val="00F655E3"/>
    <w:rsid w:val="00F65A7D"/>
    <w:rsid w:val="00F739AD"/>
    <w:rsid w:val="00F76B0E"/>
    <w:rsid w:val="00F7782E"/>
    <w:rsid w:val="00F77BD8"/>
    <w:rsid w:val="00F8482C"/>
    <w:rsid w:val="00F84DCA"/>
    <w:rsid w:val="00F93799"/>
    <w:rsid w:val="00F94B22"/>
    <w:rsid w:val="00F95B39"/>
    <w:rsid w:val="00F968E3"/>
    <w:rsid w:val="00F97A8C"/>
    <w:rsid w:val="00FA0F28"/>
    <w:rsid w:val="00FA1AF3"/>
    <w:rsid w:val="00FA255B"/>
    <w:rsid w:val="00FA6E14"/>
    <w:rsid w:val="00FB551F"/>
    <w:rsid w:val="00FB6C4F"/>
    <w:rsid w:val="00FB7593"/>
    <w:rsid w:val="00FC1254"/>
    <w:rsid w:val="00FC33AA"/>
    <w:rsid w:val="00FC5217"/>
    <w:rsid w:val="00FD08A6"/>
    <w:rsid w:val="00FD37BD"/>
    <w:rsid w:val="00FD5578"/>
    <w:rsid w:val="00FE189D"/>
    <w:rsid w:val="00FE28BC"/>
    <w:rsid w:val="00FE3A27"/>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D2C7B-55C1-473B-86FD-42792EB0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1168</Words>
  <Characters>6894</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31</cp:revision>
  <dcterms:created xsi:type="dcterms:W3CDTF">2024-01-09T13:15:00Z</dcterms:created>
  <dcterms:modified xsi:type="dcterms:W3CDTF">2024-01-16T11:37:00Z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