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Theme="minorHAnsi" w:hAnsiTheme="minorHAnsi" w:cstheme="minorHAnsi"/>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BC331D" w:rsidRDefault="00D80B6D" w:rsidP="00D80B6D">
          <w:pPr>
            <w:spacing w:before="230"/>
            <w:ind w:left="165"/>
            <w:jc w:val="center"/>
            <w:rPr>
              <w:rFonts w:asciiTheme="minorHAnsi" w:hAnsiTheme="minorHAnsi" w:cstheme="minorHAnsi"/>
              <w:color w:val="CD1719"/>
              <w:sz w:val="24"/>
            </w:rPr>
          </w:pPr>
          <w:r w:rsidRPr="00BC331D">
            <w:rPr>
              <w:rFonts w:asciiTheme="minorHAnsi" w:hAnsiTheme="minorHAnsi" w:cstheme="minorHAnsi"/>
              <w:color w:val="1D1D1B"/>
              <w:sz w:val="24"/>
            </w:rPr>
            <w:t xml:space="preserve">INDEX HYPOTEČNÍCH ÚVĚRŮ </w:t>
          </w:r>
          <w:r w:rsidRPr="00BC331D">
            <w:rPr>
              <w:rFonts w:asciiTheme="minorHAnsi" w:hAnsiTheme="minorHAnsi" w:cstheme="minorHAnsi"/>
              <w:color w:val="CD1719"/>
              <w:sz w:val="24"/>
            </w:rPr>
            <w:t xml:space="preserve">| </w:t>
          </w:r>
          <w:r w:rsidRPr="00BC331D">
            <w:rPr>
              <w:rFonts w:asciiTheme="minorHAnsi" w:hAnsiTheme="minorHAnsi" w:cstheme="minorHAnsi"/>
              <w:color w:val="1D1D1B"/>
              <w:sz w:val="24"/>
            </w:rPr>
            <w:t xml:space="preserve">FIXINDEX </w:t>
          </w:r>
        </w:p>
        <w:p w14:paraId="6D3B5ACD" w14:textId="14F47C98" w:rsidR="00BC331D" w:rsidRPr="00BC331D" w:rsidRDefault="00BC331D"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REALINDEX</w:t>
          </w:r>
        </w:p>
        <w:p w14:paraId="32900BCE" w14:textId="16FEEC9E" w:rsidR="00D80B6D" w:rsidRPr="00BC331D" w:rsidRDefault="00A252BA"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POV</w:t>
          </w:r>
          <w:r w:rsidR="00D80B6D" w:rsidRPr="00BC331D">
            <w:rPr>
              <w:rFonts w:asciiTheme="minorHAnsi" w:hAnsiTheme="minorHAnsi" w:cstheme="minorHAnsi"/>
              <w:color w:val="1D1D1B"/>
              <w:sz w:val="24"/>
            </w:rPr>
            <w:t xml:space="preserve">INDEX </w:t>
          </w:r>
        </w:p>
        <w:p w14:paraId="35B1FBE8" w14:textId="77777777" w:rsidR="00BC331D" w:rsidRPr="00BC331D" w:rsidRDefault="00BC331D" w:rsidP="00BC331D">
          <w:pPr>
            <w:spacing w:before="240" w:line="288" w:lineRule="exact"/>
            <w:ind w:left="162"/>
            <w:jc w:val="center"/>
            <w:rPr>
              <w:rFonts w:asciiTheme="minorHAnsi" w:hAnsiTheme="minorHAnsi" w:cstheme="minorHAnsi"/>
              <w:color w:val="1D1D1B"/>
              <w:sz w:val="24"/>
            </w:rPr>
          </w:pPr>
          <w:r w:rsidRPr="00BC331D">
            <w:rPr>
              <w:rFonts w:asciiTheme="minorHAnsi" w:hAnsiTheme="minorHAnsi" w:cstheme="minorHAnsi"/>
              <w:color w:val="1D1D1B"/>
              <w:sz w:val="24"/>
            </w:rPr>
            <w:t>INDEX PODÍLOVÝCH FONDŮ</w:t>
          </w:r>
        </w:p>
        <w:p w14:paraId="5B21B8A6" w14:textId="616329FC" w:rsidR="00D80B6D" w:rsidRPr="00BC331D" w:rsidRDefault="00D80B6D" w:rsidP="00BC331D">
          <w:pPr>
            <w:spacing w:before="230"/>
            <w:jc w:val="center"/>
            <w:rPr>
              <w:rFonts w:asciiTheme="minorHAnsi" w:hAnsiTheme="minorHAnsi" w:cstheme="minorHAnsi"/>
              <w:b/>
              <w:color w:val="CD1719"/>
              <w:sz w:val="24"/>
            </w:rPr>
          </w:pPr>
          <w:r w:rsidRPr="00BC331D">
            <w:rPr>
              <w:rFonts w:asciiTheme="minorHAnsi" w:hAnsiTheme="minorHAnsi" w:cstheme="minorHAnsi"/>
              <w:b/>
              <w:color w:val="1D1D1B"/>
              <w:sz w:val="24"/>
            </w:rPr>
            <w:t>INDEX SPOTŘEBITELSKÝCH ÚVĚRŮ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BC331D" w:rsidRDefault="0068617E" w:rsidP="00D80B6D">
          <w:pPr>
            <w:pStyle w:val="Zkladntext"/>
            <w:jc w:val="both"/>
            <w:rPr>
              <w:rFonts w:asciiTheme="minorHAnsi" w:hAnsiTheme="minorHAnsi" w:cstheme="minorHAnsi"/>
              <w:b/>
              <w:sz w:val="20"/>
              <w:highlight w:val="yellow"/>
            </w:rPr>
          </w:pPr>
        </w:p>
        <w:p w14:paraId="11132A3F" w14:textId="53DE594E" w:rsidR="00D80B6D" w:rsidRPr="00BC331D" w:rsidRDefault="00D80B6D" w:rsidP="00D80B6D">
          <w:pPr>
            <w:pStyle w:val="Zkladntext"/>
            <w:jc w:val="both"/>
            <w:rPr>
              <w:rFonts w:asciiTheme="minorHAnsi" w:hAnsiTheme="minorHAnsi" w:cstheme="minorHAnsi"/>
              <w:b/>
              <w:sz w:val="20"/>
            </w:rPr>
          </w:pPr>
          <w:r w:rsidRPr="00BC331D">
            <w:rPr>
              <w:rFonts w:asciiTheme="minorHAnsi" w:hAnsiTheme="minorHAnsi" w:cstheme="minorHAnsi"/>
              <w:b/>
              <w:sz w:val="20"/>
            </w:rPr>
            <w:t>O společnosti Broker Consulting</w:t>
          </w:r>
        </w:p>
        <w:p w14:paraId="27485CC6" w14:textId="77777777" w:rsidR="00D80B6D" w:rsidRPr="00BC331D" w:rsidRDefault="00D80B6D" w:rsidP="00D80B6D">
          <w:pPr>
            <w:jc w:val="both"/>
            <w:rPr>
              <w:rFonts w:asciiTheme="minorHAnsi" w:hAnsiTheme="minorHAnsi" w:cstheme="minorHAnsi"/>
              <w:sz w:val="20"/>
            </w:rPr>
          </w:pPr>
        </w:p>
        <w:p w14:paraId="36418F0F" w14:textId="77777777" w:rsidR="007F5903" w:rsidRDefault="007F5903" w:rsidP="007F5903">
          <w:pPr>
            <w:jc w:val="both"/>
            <w:rPr>
              <w:rStyle w:val="dn"/>
              <w:rFonts w:asciiTheme="minorHAnsi" w:hAnsiTheme="minorHAnsi" w:cstheme="minorHAnsi"/>
              <w:sz w:val="20"/>
              <w:szCs w:val="20"/>
            </w:rPr>
          </w:pPr>
          <w:r>
            <w:rPr>
              <w:rFonts w:asciiTheme="minorHAnsi" w:hAnsiTheme="minorHAnsi" w:cstheme="minorHAnsi"/>
              <w:sz w:val="20"/>
              <w:szCs w:val="20"/>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proofErr w:type="spellStart"/>
          <w:r>
            <w:rPr>
              <w:rFonts w:asciiTheme="minorHAnsi" w:hAnsiTheme="minorHAnsi" w:cstheme="minorHAnsi"/>
              <w:b/>
              <w:color w:val="FF0000"/>
              <w:sz w:val="20"/>
              <w:szCs w:val="20"/>
            </w:rPr>
            <w:t>Franchisor</w:t>
          </w:r>
          <w:proofErr w:type="spellEnd"/>
          <w:r>
            <w:rPr>
              <w:rFonts w:asciiTheme="minorHAnsi" w:hAnsiTheme="minorHAnsi" w:cstheme="minorHAnsi"/>
              <w:b/>
              <w:color w:val="FF0000"/>
              <w:sz w:val="20"/>
              <w:szCs w:val="20"/>
            </w:rPr>
            <w:t xml:space="preserve"> roku 2022</w:t>
          </w:r>
          <w:r>
            <w:rPr>
              <w:rFonts w:asciiTheme="minorHAnsi" w:hAnsiTheme="minorHAnsi" w:cstheme="minorHAnsi"/>
              <w:color w:val="FF0000"/>
              <w:sz w:val="20"/>
              <w:szCs w:val="20"/>
            </w:rPr>
            <w:t xml:space="preserve"> </w:t>
          </w:r>
          <w:r>
            <w:rPr>
              <w:rFonts w:asciiTheme="minorHAnsi" w:hAnsiTheme="minorHAnsi" w:cstheme="minorHAnsi"/>
              <w:sz w:val="20"/>
              <w:szCs w:val="20"/>
            </w:rPr>
            <w:t xml:space="preserve">od České asociace </w:t>
          </w:r>
          <w:proofErr w:type="spellStart"/>
          <w:r>
            <w:rPr>
              <w:rFonts w:asciiTheme="minorHAnsi" w:hAnsiTheme="minorHAnsi" w:cstheme="minorHAnsi"/>
              <w:sz w:val="20"/>
              <w:szCs w:val="20"/>
            </w:rPr>
            <w:t>franchisingu</w:t>
          </w:r>
          <w:proofErr w:type="spellEnd"/>
          <w:r>
            <w:rPr>
              <w:rFonts w:asciiTheme="minorHAnsi" w:hAnsiTheme="minorHAnsi" w:cstheme="minorHAnsi"/>
              <w:sz w:val="20"/>
              <w:szCs w:val="20"/>
            </w:rPr>
            <w:t xml:space="preserve">. </w:t>
          </w:r>
          <w:proofErr w:type="spellStart"/>
          <w:r>
            <w:rPr>
              <w:rStyle w:val="dn"/>
              <w:rFonts w:asciiTheme="minorHAnsi" w:hAnsiTheme="minorHAnsi" w:cstheme="minorHAnsi"/>
              <w:sz w:val="20"/>
              <w:szCs w:val="20"/>
            </w:rPr>
            <w:t>Více</w:t>
          </w:r>
          <w:proofErr w:type="spellEnd"/>
          <w:r>
            <w:rPr>
              <w:rStyle w:val="dn"/>
              <w:rFonts w:asciiTheme="minorHAnsi" w:hAnsiTheme="minorHAnsi" w:cstheme="minorHAnsi"/>
              <w:sz w:val="20"/>
              <w:szCs w:val="20"/>
            </w:rPr>
            <w:t xml:space="preserve"> na </w:t>
          </w:r>
          <w:hyperlink r:id="rId9" w:history="1">
            <w:r>
              <w:rPr>
                <w:rStyle w:val="Hypertextovodkaz"/>
                <w:rFonts w:asciiTheme="minorHAnsi" w:hAnsiTheme="minorHAnsi" w:cstheme="minorHAnsi"/>
                <w:sz w:val="20"/>
                <w:szCs w:val="20"/>
              </w:rPr>
              <w:t>bcas.cz</w:t>
            </w:r>
          </w:hyperlink>
          <w:r>
            <w:rPr>
              <w:rStyle w:val="Hypertextovodkaz"/>
              <w:rFonts w:asciiTheme="minorHAnsi" w:hAnsiTheme="minorHAnsi" w:cstheme="minorHAnsi"/>
              <w:sz w:val="20"/>
              <w:szCs w:val="20"/>
            </w:rPr>
            <w:t xml:space="preserve">, </w:t>
          </w:r>
          <w:hyperlink r:id="rId10" w:history="1">
            <w:r>
              <w:rPr>
                <w:rStyle w:val="Hypertextovodkaz"/>
                <w:rFonts w:asciiTheme="minorHAnsi" w:hAnsiTheme="minorHAnsi" w:cstheme="minorHAnsi"/>
                <w:sz w:val="20"/>
                <w:szCs w:val="20"/>
              </w:rPr>
              <w:t>brokerpointy.cz</w:t>
            </w:r>
          </w:hyperlink>
          <w:r>
            <w:rPr>
              <w:rStyle w:val="Hypertextovodkaz"/>
              <w:rFonts w:asciiTheme="minorHAnsi" w:hAnsiTheme="minorHAnsi" w:cstheme="minorHAnsi"/>
              <w:sz w:val="20"/>
              <w:szCs w:val="20"/>
            </w:rPr>
            <w:t>, brokerpoint</w:t>
          </w:r>
          <w:hyperlink r:id="rId11" w:history="1">
            <w:r>
              <w:rPr>
                <w:rStyle w:val="Hypertextovodkaz"/>
                <w:rFonts w:asciiTheme="minorHAnsi" w:hAnsiTheme="minorHAnsi" w:cstheme="minorHAnsi"/>
                <w:sz w:val="20"/>
                <w:szCs w:val="20"/>
              </w:rPr>
              <w:t>.tv</w:t>
            </w:r>
          </w:hyperlink>
          <w:r>
            <w:rPr>
              <w:rStyle w:val="dn"/>
              <w:rFonts w:asciiTheme="minorHAnsi" w:hAnsiTheme="minorHAnsi" w:cstheme="minorHAnsi"/>
              <w:sz w:val="20"/>
              <w:szCs w:val="20"/>
            </w:rPr>
            <w:t xml:space="preserve"> a na </w:t>
          </w:r>
          <w:hyperlink r:id="rId12" w:history="1">
            <w:r>
              <w:rPr>
                <w:rStyle w:val="Hypertextovodkaz"/>
                <w:rFonts w:asciiTheme="minorHAnsi" w:hAnsiTheme="minorHAnsi" w:cstheme="minorHAnsi"/>
                <w:sz w:val="20"/>
                <w:szCs w:val="20"/>
              </w:rPr>
              <w:t>realityspolu.cz</w:t>
            </w:r>
          </w:hyperlink>
          <w:r>
            <w:rPr>
              <w:rStyle w:val="Hypertextovodkaz"/>
              <w:rFonts w:asciiTheme="minorHAnsi" w:hAnsiTheme="minorHAnsi" w:cstheme="minorHAnsi"/>
              <w:sz w:val="20"/>
              <w:szCs w:val="20"/>
            </w:rPr>
            <w:t xml:space="preserve">. </w:t>
          </w:r>
          <w:proofErr w:type="spellStart"/>
          <w:r>
            <w:rPr>
              <w:rStyle w:val="dn"/>
              <w:rFonts w:asciiTheme="minorHAnsi" w:hAnsiTheme="minorHAnsi" w:cstheme="minorHAnsi"/>
              <w:sz w:val="20"/>
              <w:szCs w:val="20"/>
            </w:rPr>
            <w:t>Navštivte</w:t>
          </w:r>
          <w:proofErr w:type="spellEnd"/>
          <w:r>
            <w:rPr>
              <w:rStyle w:val="dn"/>
              <w:rFonts w:asciiTheme="minorHAnsi" w:hAnsiTheme="minorHAnsi" w:cstheme="minorHAnsi"/>
              <w:sz w:val="20"/>
              <w:szCs w:val="20"/>
            </w:rPr>
            <w:t xml:space="preserve"> </w:t>
          </w:r>
          <w:proofErr w:type="spellStart"/>
          <w:r>
            <w:rPr>
              <w:rStyle w:val="dn"/>
              <w:rFonts w:asciiTheme="minorHAnsi" w:hAnsiTheme="minorHAnsi" w:cstheme="minorHAnsi"/>
              <w:sz w:val="20"/>
              <w:szCs w:val="20"/>
            </w:rPr>
            <w:t>také</w:t>
          </w:r>
          <w:proofErr w:type="spellEnd"/>
          <w:r>
            <w:rPr>
              <w:rStyle w:val="dn"/>
              <w:rFonts w:asciiTheme="minorHAnsi" w:hAnsiTheme="minorHAnsi" w:cstheme="minorHAnsi"/>
              <w:sz w:val="20"/>
              <w:szCs w:val="20"/>
            </w:rPr>
            <w:t xml:space="preserve"> </w:t>
          </w:r>
          <w:proofErr w:type="spellStart"/>
          <w:r>
            <w:rPr>
              <w:rStyle w:val="dn"/>
              <w:rFonts w:asciiTheme="minorHAnsi" w:hAnsiTheme="minorHAnsi" w:cstheme="minorHAnsi"/>
              <w:sz w:val="20"/>
              <w:szCs w:val="20"/>
            </w:rPr>
            <w:t>náš</w:t>
          </w:r>
          <w:proofErr w:type="spellEnd"/>
          <w:r>
            <w:rPr>
              <w:rStyle w:val="dn"/>
              <w:rFonts w:asciiTheme="minorHAnsi" w:hAnsiTheme="minorHAnsi" w:cstheme="minorHAnsi"/>
              <w:sz w:val="20"/>
              <w:szCs w:val="20"/>
            </w:rPr>
            <w:t xml:space="preserve"> </w:t>
          </w:r>
          <w:hyperlink r:id="rId13" w:history="1">
            <w:proofErr w:type="spellStart"/>
            <w:r>
              <w:rPr>
                <w:rStyle w:val="Hypertextovodkaz"/>
                <w:rFonts w:asciiTheme="minorHAnsi" w:hAnsiTheme="minorHAnsi" w:cstheme="minorHAnsi"/>
                <w:sz w:val="20"/>
                <w:szCs w:val="20"/>
              </w:rPr>
              <w:t>Facebook</w:t>
            </w:r>
            <w:proofErr w:type="spellEnd"/>
          </w:hyperlink>
          <w:r>
            <w:rPr>
              <w:rStyle w:val="dn"/>
              <w:rFonts w:asciiTheme="minorHAnsi" w:hAnsiTheme="minorHAnsi" w:cstheme="minorHAnsi"/>
              <w:sz w:val="20"/>
              <w:szCs w:val="20"/>
            </w:rPr>
            <w:t xml:space="preserve">, </w:t>
          </w:r>
          <w:hyperlink r:id="rId14" w:history="1">
            <w:proofErr w:type="spellStart"/>
            <w:r>
              <w:rPr>
                <w:rStyle w:val="Hypertextovodkaz"/>
                <w:rFonts w:asciiTheme="minorHAnsi" w:hAnsiTheme="minorHAnsi" w:cstheme="minorHAnsi"/>
                <w:sz w:val="20"/>
                <w:szCs w:val="20"/>
              </w:rPr>
              <w:t>LinkedIN</w:t>
            </w:r>
            <w:proofErr w:type="spellEnd"/>
          </w:hyperlink>
          <w:r>
            <w:rPr>
              <w:rStyle w:val="dn"/>
              <w:rFonts w:asciiTheme="minorHAnsi" w:hAnsiTheme="minorHAnsi" w:cstheme="minorHAnsi"/>
              <w:sz w:val="20"/>
              <w:szCs w:val="20"/>
            </w:rPr>
            <w:t xml:space="preserve"> Broker Consulting, Twitter </w:t>
          </w:r>
          <w:r>
            <w:rPr>
              <w:rFonts w:asciiTheme="minorHAnsi" w:hAnsiTheme="minorHAnsi" w:cstheme="minorHAnsi"/>
              <w:sz w:val="20"/>
              <w:szCs w:val="20"/>
              <w:shd w:val="clear" w:color="auto" w:fill="FFFFFF"/>
            </w:rPr>
            <w:t>@</w:t>
          </w:r>
          <w:proofErr w:type="spellStart"/>
          <w:r>
            <w:rPr>
              <w:rFonts w:asciiTheme="minorHAnsi" w:hAnsiTheme="minorHAnsi" w:cstheme="minorHAnsi"/>
              <w:sz w:val="20"/>
              <w:szCs w:val="20"/>
              <w:shd w:val="clear" w:color="auto" w:fill="FFFFFF"/>
            </w:rPr>
            <w:t>BC_oficialni</w:t>
          </w:r>
          <w:proofErr w:type="spellEnd"/>
          <w:r>
            <w:rPr>
              <w:rFonts w:asciiTheme="minorHAnsi" w:hAnsiTheme="minorHAnsi" w:cstheme="minorHAnsi"/>
              <w:sz w:val="20"/>
              <w:szCs w:val="20"/>
              <w:shd w:val="clear" w:color="auto" w:fill="FFFFFF"/>
            </w:rPr>
            <w:t xml:space="preserve">, </w:t>
          </w:r>
          <w:r>
            <w:rPr>
              <w:rStyle w:val="dn"/>
              <w:rFonts w:asciiTheme="minorHAnsi" w:hAnsiTheme="minorHAnsi" w:cstheme="minorHAnsi"/>
              <w:sz w:val="20"/>
              <w:szCs w:val="20"/>
            </w:rPr>
            <w:t xml:space="preserve"> </w:t>
          </w:r>
          <w:hyperlink r:id="rId15" w:history="1">
            <w:proofErr w:type="spellStart"/>
            <w:r>
              <w:rPr>
                <w:rStyle w:val="Hypertextovodkaz"/>
                <w:rFonts w:asciiTheme="minorHAnsi" w:hAnsiTheme="minorHAnsi" w:cstheme="minorHAnsi"/>
                <w:sz w:val="20"/>
                <w:szCs w:val="20"/>
              </w:rPr>
              <w:t>Facebook</w:t>
            </w:r>
            <w:proofErr w:type="spellEnd"/>
          </w:hyperlink>
          <w:r>
            <w:rPr>
              <w:rStyle w:val="dn"/>
              <w:rFonts w:asciiTheme="minorHAnsi" w:hAnsiTheme="minorHAnsi" w:cstheme="minorHAnsi"/>
              <w:sz w:val="20"/>
              <w:szCs w:val="20"/>
            </w:rPr>
            <w:t xml:space="preserve"> a </w:t>
          </w:r>
          <w:hyperlink r:id="rId16" w:history="1">
            <w:proofErr w:type="spellStart"/>
            <w:r>
              <w:rPr>
                <w:rStyle w:val="Hypertextovodkaz"/>
                <w:rFonts w:asciiTheme="minorHAnsi" w:hAnsiTheme="minorHAnsi" w:cstheme="minorHAnsi"/>
                <w:sz w:val="20"/>
                <w:szCs w:val="20"/>
              </w:rPr>
              <w:t>LinkedI</w:t>
            </w:r>
          </w:hyperlink>
          <w:r>
            <w:rPr>
              <w:rStyle w:val="Hypertextovodkaz"/>
              <w:rFonts w:asciiTheme="minorHAnsi" w:hAnsiTheme="minorHAnsi" w:cstheme="minorHAnsi"/>
              <w:sz w:val="20"/>
              <w:szCs w:val="20"/>
            </w:rPr>
            <w:t>N</w:t>
          </w:r>
          <w:proofErr w:type="spellEnd"/>
          <w:r>
            <w:rPr>
              <w:rStyle w:val="dn"/>
              <w:rFonts w:asciiTheme="minorHAnsi" w:hAnsiTheme="minorHAnsi" w:cstheme="minorHAnsi"/>
              <w:sz w:val="20"/>
              <w:szCs w:val="20"/>
            </w:rPr>
            <w:t xml:space="preserve"> Broker Point Premium.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EF6D8C" w:rsidRDefault="00651B48" w:rsidP="0025264B">
          <w:pPr>
            <w:rPr>
              <w:rFonts w:asciiTheme="minorHAnsi" w:hAnsiTheme="minorHAnsi" w:cstheme="minorHAnsi"/>
              <w:b/>
              <w:sz w:val="20"/>
              <w:szCs w:val="20"/>
              <w:highlight w:val="yellow"/>
            </w:rPr>
            <w:sectPr w:rsidR="00D31127" w:rsidRPr="00EF6D8C"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EF6D8C" w:rsidRDefault="00704D83" w:rsidP="0053728E">
      <w:pPr>
        <w:rPr>
          <w:rFonts w:asciiTheme="minorHAnsi" w:hAnsiTheme="minorHAnsi" w:cstheme="minorHAnsi"/>
          <w:b/>
          <w:sz w:val="28"/>
          <w:szCs w:val="28"/>
        </w:rPr>
      </w:pPr>
    </w:p>
    <w:p w14:paraId="5144663E" w14:textId="6CA5AD4B" w:rsidR="00AA5141" w:rsidRPr="00EF6D8C" w:rsidRDefault="00826BAD" w:rsidP="001B6A93">
      <w:pPr>
        <w:pStyle w:val="Odstavecseseznamem"/>
        <w:spacing w:after="200"/>
        <w:ind w:left="720" w:firstLine="0"/>
        <w:jc w:val="center"/>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Průměrné úroky úvěrů na cokoli v prosinci stouply na 8,84 procenta</w:t>
      </w:r>
    </w:p>
    <w:p w14:paraId="5A888D10" w14:textId="1D27AE2C" w:rsidR="009E233F" w:rsidRDefault="009E233F" w:rsidP="009E233F">
      <w:pPr>
        <w:pStyle w:val="Odstavecseseznamem"/>
        <w:numPr>
          <w:ilvl w:val="0"/>
          <w:numId w:val="8"/>
        </w:numPr>
        <w:ind w:left="357" w:right="40" w:hanging="357"/>
        <w:rPr>
          <w:rFonts w:asciiTheme="minorHAnsi" w:eastAsiaTheme="minorHAnsi" w:hAnsiTheme="minorHAnsi" w:cstheme="minorHAnsi"/>
          <w:b/>
          <w:color w:val="000000" w:themeColor="text1"/>
          <w:sz w:val="21"/>
          <w:szCs w:val="21"/>
          <w:lang w:bidi="ar-SA"/>
        </w:rPr>
      </w:pPr>
      <w:r>
        <w:rPr>
          <w:rFonts w:asciiTheme="minorHAnsi" w:eastAsiaTheme="minorHAnsi" w:hAnsiTheme="minorHAnsi" w:cstheme="minorHAnsi"/>
          <w:b/>
          <w:color w:val="000000" w:themeColor="text1"/>
          <w:sz w:val="21"/>
          <w:szCs w:val="21"/>
          <w:lang w:bidi="ar-SA"/>
        </w:rPr>
        <w:t>Broker Consulting Index spotřebitelský</w:t>
      </w:r>
      <w:r w:rsidR="005E7EC0">
        <w:rPr>
          <w:rFonts w:asciiTheme="minorHAnsi" w:eastAsiaTheme="minorHAnsi" w:hAnsiTheme="minorHAnsi" w:cstheme="minorHAnsi"/>
          <w:b/>
          <w:color w:val="000000" w:themeColor="text1"/>
          <w:sz w:val="21"/>
          <w:szCs w:val="21"/>
          <w:lang w:bidi="ar-SA"/>
        </w:rPr>
        <w:t>ch úvěrů vzrostl na hodnotu 8,84</w:t>
      </w:r>
      <w:r>
        <w:rPr>
          <w:rFonts w:asciiTheme="minorHAnsi" w:eastAsiaTheme="minorHAnsi" w:hAnsiTheme="minorHAnsi" w:cstheme="minorHAnsi"/>
          <w:b/>
          <w:color w:val="000000" w:themeColor="text1"/>
          <w:sz w:val="21"/>
          <w:szCs w:val="21"/>
          <w:lang w:bidi="ar-SA"/>
        </w:rPr>
        <w:t xml:space="preserve"> procenta.</w:t>
      </w:r>
    </w:p>
    <w:p w14:paraId="43988F21" w14:textId="6ED1A99D" w:rsidR="009E233F" w:rsidRDefault="009E233F" w:rsidP="009E233F">
      <w:pPr>
        <w:pStyle w:val="Odstavecseseznamem"/>
        <w:numPr>
          <w:ilvl w:val="0"/>
          <w:numId w:val="8"/>
        </w:numPr>
        <w:ind w:left="357" w:right="40" w:hanging="357"/>
        <w:rPr>
          <w:rFonts w:asciiTheme="minorHAnsi" w:eastAsiaTheme="minorHAnsi" w:hAnsiTheme="minorHAnsi" w:cstheme="minorHAnsi"/>
          <w:b/>
          <w:color w:val="000000" w:themeColor="text1"/>
          <w:sz w:val="21"/>
          <w:szCs w:val="21"/>
          <w:lang w:bidi="ar-SA"/>
        </w:rPr>
      </w:pPr>
      <w:r>
        <w:rPr>
          <w:rFonts w:asciiTheme="minorHAnsi" w:eastAsiaTheme="minorHAnsi" w:hAnsiTheme="minorHAnsi" w:cstheme="minorHAnsi"/>
          <w:b/>
          <w:color w:val="000000" w:themeColor="text1"/>
          <w:sz w:val="21"/>
          <w:szCs w:val="21"/>
          <w:lang w:bidi="ar-SA"/>
        </w:rPr>
        <w:t>V porovnání s předchozím měsícem je průměrná úroková sazba vyšší o 0,33procentního bodu</w:t>
      </w:r>
      <w:r w:rsidR="005E7EC0">
        <w:rPr>
          <w:rFonts w:asciiTheme="minorHAnsi" w:eastAsiaTheme="minorHAnsi" w:hAnsiTheme="minorHAnsi" w:cstheme="minorHAnsi"/>
          <w:b/>
          <w:color w:val="000000" w:themeColor="text1"/>
          <w:sz w:val="21"/>
          <w:szCs w:val="21"/>
          <w:lang w:bidi="ar-SA"/>
        </w:rPr>
        <w:t>.</w:t>
      </w:r>
    </w:p>
    <w:p w14:paraId="4EB7C98B" w14:textId="2DFD2E57" w:rsidR="009E233F" w:rsidRDefault="009E233F" w:rsidP="009E233F">
      <w:pPr>
        <w:pStyle w:val="Odstavecseseznamem"/>
        <w:numPr>
          <w:ilvl w:val="0"/>
          <w:numId w:val="8"/>
        </w:numPr>
        <w:ind w:left="357" w:right="40" w:hanging="357"/>
        <w:rPr>
          <w:rFonts w:asciiTheme="minorHAnsi" w:eastAsiaTheme="minorHAnsi" w:hAnsiTheme="minorHAnsi" w:cstheme="minorHAnsi"/>
          <w:b/>
          <w:color w:val="000000" w:themeColor="text1"/>
          <w:sz w:val="21"/>
          <w:szCs w:val="21"/>
          <w:lang w:bidi="ar-SA"/>
        </w:rPr>
      </w:pPr>
      <w:r>
        <w:rPr>
          <w:rFonts w:asciiTheme="minorHAnsi" w:eastAsiaTheme="minorHAnsi" w:hAnsiTheme="minorHAnsi" w:cstheme="minorHAnsi"/>
          <w:b/>
          <w:color w:val="000000" w:themeColor="text1"/>
          <w:sz w:val="21"/>
          <w:szCs w:val="21"/>
          <w:lang w:bidi="ar-SA"/>
        </w:rPr>
        <w:t xml:space="preserve">Ačkoli ČNB v prosinci snížila 2T </w:t>
      </w:r>
      <w:proofErr w:type="spellStart"/>
      <w:r>
        <w:rPr>
          <w:rFonts w:asciiTheme="minorHAnsi" w:eastAsiaTheme="minorHAnsi" w:hAnsiTheme="minorHAnsi" w:cstheme="minorHAnsi"/>
          <w:b/>
          <w:color w:val="000000" w:themeColor="text1"/>
          <w:sz w:val="21"/>
          <w:szCs w:val="21"/>
          <w:lang w:bidi="ar-SA"/>
        </w:rPr>
        <w:t>repo</w:t>
      </w:r>
      <w:proofErr w:type="spellEnd"/>
      <w:r>
        <w:rPr>
          <w:rFonts w:asciiTheme="minorHAnsi" w:eastAsiaTheme="minorHAnsi" w:hAnsiTheme="minorHAnsi" w:cstheme="minorHAnsi"/>
          <w:b/>
          <w:color w:val="000000" w:themeColor="text1"/>
          <w:sz w:val="21"/>
          <w:szCs w:val="21"/>
          <w:lang w:bidi="ar-SA"/>
        </w:rPr>
        <w:t xml:space="preserve"> sazbu o 0,25 procenta, na úrokové sazby úvěrů na cokoli to nebude mít podle analytiků v nejbližší době zásadní vliv</w:t>
      </w:r>
      <w:r w:rsidR="007D325D">
        <w:rPr>
          <w:rFonts w:asciiTheme="minorHAnsi" w:eastAsiaTheme="minorHAnsi" w:hAnsiTheme="minorHAnsi" w:cstheme="minorHAnsi"/>
          <w:b/>
          <w:color w:val="000000" w:themeColor="text1"/>
          <w:sz w:val="21"/>
          <w:szCs w:val="21"/>
          <w:lang w:bidi="ar-SA"/>
        </w:rPr>
        <w:t>.</w:t>
      </w:r>
    </w:p>
    <w:p w14:paraId="32E19872" w14:textId="7FB2F881" w:rsidR="007F3E94" w:rsidRPr="00EF6D8C" w:rsidRDefault="007F3E94" w:rsidP="007F3E94">
      <w:pPr>
        <w:ind w:right="40"/>
        <w:rPr>
          <w:rFonts w:asciiTheme="minorHAnsi" w:eastAsiaTheme="minorHAnsi" w:hAnsiTheme="minorHAnsi" w:cstheme="minorHAnsi"/>
          <w:b/>
          <w:sz w:val="21"/>
          <w:szCs w:val="21"/>
          <w:lang w:bidi="ar-SA"/>
        </w:rPr>
      </w:pPr>
    </w:p>
    <w:p w14:paraId="2B34AC95" w14:textId="1F18E7B4" w:rsidR="009E233F" w:rsidRDefault="008C3A59" w:rsidP="009E233F">
      <w:pPr>
        <w:spacing w:after="200"/>
        <w:rPr>
          <w:rFonts w:asciiTheme="minorHAnsi" w:hAnsiTheme="minorHAnsi" w:cstheme="minorHAnsi"/>
          <w:b/>
          <w:color w:val="000000" w:themeColor="text1"/>
          <w:sz w:val="21"/>
          <w:szCs w:val="21"/>
        </w:rPr>
      </w:pPr>
      <w:r w:rsidRPr="007D325D">
        <w:rPr>
          <w:rFonts w:asciiTheme="minorHAnsi" w:hAnsiTheme="minorHAnsi" w:cstheme="minorHAnsi"/>
          <w:i/>
          <w:sz w:val="21"/>
          <w:szCs w:val="21"/>
        </w:rPr>
        <w:t>Praha,</w:t>
      </w:r>
      <w:r w:rsidR="0019698F">
        <w:rPr>
          <w:rFonts w:asciiTheme="minorHAnsi" w:hAnsiTheme="minorHAnsi" w:cstheme="minorHAnsi"/>
          <w:i/>
          <w:sz w:val="21"/>
          <w:szCs w:val="21"/>
        </w:rPr>
        <w:t xml:space="preserve"> 9</w:t>
      </w:r>
      <w:bookmarkStart w:id="0" w:name="_GoBack"/>
      <w:bookmarkEnd w:id="0"/>
      <w:r w:rsidR="00AA5141" w:rsidRPr="007D325D">
        <w:rPr>
          <w:rFonts w:asciiTheme="minorHAnsi" w:hAnsiTheme="minorHAnsi" w:cstheme="minorHAnsi"/>
          <w:i/>
          <w:sz w:val="21"/>
          <w:szCs w:val="21"/>
        </w:rPr>
        <w:t xml:space="preserve">. </w:t>
      </w:r>
      <w:r w:rsidR="003E5B34" w:rsidRPr="007D325D">
        <w:rPr>
          <w:rFonts w:asciiTheme="minorHAnsi" w:hAnsiTheme="minorHAnsi" w:cstheme="minorHAnsi"/>
          <w:i/>
          <w:sz w:val="21"/>
          <w:szCs w:val="21"/>
        </w:rPr>
        <w:t>ledna 2024</w:t>
      </w:r>
      <w:r w:rsidR="00F21D05" w:rsidRPr="007D325D">
        <w:rPr>
          <w:rFonts w:asciiTheme="minorHAnsi" w:hAnsiTheme="minorHAnsi" w:cstheme="minorHAnsi"/>
          <w:b/>
          <w:sz w:val="21"/>
          <w:szCs w:val="21"/>
        </w:rPr>
        <w:t xml:space="preserve"> </w:t>
      </w:r>
      <w:r w:rsidR="00FA69C2" w:rsidRPr="007D325D">
        <w:rPr>
          <w:rFonts w:asciiTheme="minorHAnsi" w:hAnsiTheme="minorHAnsi" w:cstheme="minorHAnsi"/>
          <w:b/>
          <w:sz w:val="21"/>
          <w:szCs w:val="21"/>
        </w:rPr>
        <w:t xml:space="preserve">– </w:t>
      </w:r>
      <w:r w:rsidR="009E233F">
        <w:rPr>
          <w:rFonts w:asciiTheme="minorHAnsi" w:hAnsiTheme="minorHAnsi" w:cstheme="minorHAnsi"/>
          <w:b/>
          <w:color w:val="000000" w:themeColor="text1"/>
          <w:sz w:val="21"/>
          <w:szCs w:val="21"/>
        </w:rPr>
        <w:t>Broker Consulting Index spotřebitelských úvěrů dosáhl v prosinci 2023 průměrné hodnoty 8,84 procenta. Oproti minulému, kdy byl index 8,51 procenta</w:t>
      </w:r>
      <w:r w:rsidR="007D325D">
        <w:rPr>
          <w:rFonts w:asciiTheme="minorHAnsi" w:hAnsiTheme="minorHAnsi" w:cstheme="minorHAnsi"/>
          <w:b/>
          <w:color w:val="000000" w:themeColor="text1"/>
          <w:sz w:val="21"/>
          <w:szCs w:val="21"/>
        </w:rPr>
        <w:t>,</w:t>
      </w:r>
      <w:r w:rsidR="009E233F">
        <w:rPr>
          <w:rFonts w:asciiTheme="minorHAnsi" w:hAnsiTheme="minorHAnsi" w:cstheme="minorHAnsi"/>
          <w:b/>
          <w:color w:val="000000" w:themeColor="text1"/>
          <w:sz w:val="21"/>
          <w:szCs w:val="21"/>
        </w:rPr>
        <w:t xml:space="preserve"> se jedná o nárůst o 0,33procentního bodu. Na prosincovém zasedání ČNB bylo po dlouhých měsících rozhodnuto o poklesu základní dvoutýdenní </w:t>
      </w:r>
      <w:proofErr w:type="spellStart"/>
      <w:r w:rsidR="009E233F">
        <w:rPr>
          <w:rFonts w:asciiTheme="minorHAnsi" w:hAnsiTheme="minorHAnsi" w:cstheme="minorHAnsi"/>
          <w:b/>
          <w:color w:val="000000" w:themeColor="text1"/>
          <w:sz w:val="21"/>
          <w:szCs w:val="21"/>
        </w:rPr>
        <w:t>repo</w:t>
      </w:r>
      <w:proofErr w:type="spellEnd"/>
      <w:r w:rsidR="009E233F">
        <w:rPr>
          <w:rFonts w:asciiTheme="minorHAnsi" w:hAnsiTheme="minorHAnsi" w:cstheme="minorHAnsi"/>
          <w:b/>
          <w:color w:val="000000" w:themeColor="text1"/>
          <w:sz w:val="21"/>
          <w:szCs w:val="21"/>
        </w:rPr>
        <w:t xml:space="preserve"> sazby ze 7 procent na 6,75 procenta. Tato změna ale podle mínění odborníků neb</w:t>
      </w:r>
      <w:r w:rsidR="007D325D">
        <w:rPr>
          <w:rFonts w:asciiTheme="minorHAnsi" w:hAnsiTheme="minorHAnsi" w:cstheme="minorHAnsi"/>
          <w:b/>
          <w:color w:val="000000" w:themeColor="text1"/>
          <w:sz w:val="21"/>
          <w:szCs w:val="21"/>
        </w:rPr>
        <w:t>ude mít u spotřebitelských úvěrů</w:t>
      </w:r>
      <w:r w:rsidR="009E233F">
        <w:rPr>
          <w:rFonts w:asciiTheme="minorHAnsi" w:hAnsiTheme="minorHAnsi" w:cstheme="minorHAnsi"/>
          <w:b/>
          <w:color w:val="000000" w:themeColor="text1"/>
          <w:sz w:val="21"/>
          <w:szCs w:val="21"/>
        </w:rPr>
        <w:t xml:space="preserve"> v blízké době zásadní vliv. Na rozdíl od úvěrů hypotečních, kde je doba splatnosti delší a poskytovaná částka vyšší, </w:t>
      </w:r>
      <w:r w:rsidR="007D325D">
        <w:rPr>
          <w:rFonts w:asciiTheme="minorHAnsi" w:hAnsiTheme="minorHAnsi" w:cstheme="minorHAnsi"/>
          <w:b/>
          <w:color w:val="000000" w:themeColor="text1"/>
          <w:sz w:val="21"/>
          <w:szCs w:val="21"/>
        </w:rPr>
        <w:t>nehraje prostá</w:t>
      </w:r>
      <w:r w:rsidR="009E233F">
        <w:rPr>
          <w:rFonts w:asciiTheme="minorHAnsi" w:hAnsiTheme="minorHAnsi" w:cstheme="minorHAnsi"/>
          <w:b/>
          <w:color w:val="000000" w:themeColor="text1"/>
          <w:sz w:val="21"/>
          <w:szCs w:val="21"/>
        </w:rPr>
        <w:t xml:space="preserve"> úroková sazba </w:t>
      </w:r>
      <w:r w:rsidR="007D325D">
        <w:rPr>
          <w:rFonts w:asciiTheme="minorHAnsi" w:hAnsiTheme="minorHAnsi" w:cstheme="minorHAnsi"/>
          <w:b/>
          <w:color w:val="000000" w:themeColor="text1"/>
          <w:sz w:val="21"/>
          <w:szCs w:val="21"/>
        </w:rPr>
        <w:t>stejnou</w:t>
      </w:r>
      <w:r w:rsidR="009E233F">
        <w:rPr>
          <w:rFonts w:asciiTheme="minorHAnsi" w:hAnsiTheme="minorHAnsi" w:cstheme="minorHAnsi"/>
          <w:b/>
          <w:color w:val="000000" w:themeColor="text1"/>
          <w:sz w:val="21"/>
          <w:szCs w:val="21"/>
        </w:rPr>
        <w:t xml:space="preserve"> roli. U úvěrů na cokoli je dobré sledovat i jiné parametry a porovnávat nabídky jednotlivých bank. </w:t>
      </w:r>
    </w:p>
    <w:p w14:paraId="60603B66" w14:textId="2A7BD1DD" w:rsidR="009E233F" w:rsidRDefault="009E233F" w:rsidP="007D325D">
      <w:pPr>
        <w:rPr>
          <w:rFonts w:asciiTheme="minorHAnsi" w:hAnsiTheme="minorHAnsi" w:cstheme="minorHAnsi"/>
          <w:b/>
          <w:color w:val="000000" w:themeColor="text1"/>
          <w:sz w:val="21"/>
          <w:szCs w:val="21"/>
        </w:rPr>
      </w:pPr>
      <w:r>
        <w:rPr>
          <w:rFonts w:asciiTheme="minorHAnsi" w:hAnsiTheme="minorHAnsi" w:cstheme="minorHAnsi"/>
          <w:bCs/>
          <w:color w:val="000000" w:themeColor="text1"/>
          <w:sz w:val="21"/>
          <w:szCs w:val="21"/>
        </w:rPr>
        <w:t>Prosincové monitorované hodnoty Broker Consul</w:t>
      </w:r>
      <w:r w:rsidR="007D325D">
        <w:rPr>
          <w:rFonts w:asciiTheme="minorHAnsi" w:hAnsiTheme="minorHAnsi" w:cstheme="minorHAnsi"/>
          <w:bCs/>
          <w:color w:val="000000" w:themeColor="text1"/>
          <w:sz w:val="21"/>
          <w:szCs w:val="21"/>
        </w:rPr>
        <w:t>ting Indexu spotřebitelských úvěrů</w:t>
      </w:r>
      <w:r>
        <w:rPr>
          <w:rFonts w:asciiTheme="minorHAnsi" w:hAnsiTheme="minorHAnsi" w:cstheme="minorHAnsi"/>
          <w:bCs/>
          <w:color w:val="000000" w:themeColor="text1"/>
          <w:sz w:val="21"/>
          <w:szCs w:val="21"/>
        </w:rPr>
        <w:t xml:space="preserve"> vystoupaly na 8,84 procenta. Oproti listopadovému průměru tak zaznamenaly růst o 0,33procentního bodu. Vývoj sazeb u úvěrů na cokoli by v roce 2024 mělo podle </w:t>
      </w:r>
      <w:hyperlink r:id="rId25" w:history="1">
        <w:r>
          <w:rPr>
            <w:rStyle w:val="Hypertextovodkaz"/>
            <w:rFonts w:asciiTheme="minorHAnsi" w:hAnsiTheme="minorHAnsi" w:cstheme="minorHAnsi"/>
            <w:bCs/>
            <w:sz w:val="21"/>
            <w:szCs w:val="21"/>
          </w:rPr>
          <w:t>prognózy ČNB</w:t>
        </w:r>
      </w:hyperlink>
      <w:r>
        <w:rPr>
          <w:rFonts w:asciiTheme="minorHAnsi" w:hAnsiTheme="minorHAnsi" w:cstheme="minorHAnsi"/>
          <w:bCs/>
          <w:color w:val="000000" w:themeColor="text1"/>
          <w:sz w:val="21"/>
          <w:szCs w:val="21"/>
        </w:rPr>
        <w:t xml:space="preserve"> ovlivnit také očekávané snižování základních</w:t>
      </w:r>
      <w:r w:rsidR="007D325D">
        <w:rPr>
          <w:rFonts w:asciiTheme="minorHAnsi" w:hAnsiTheme="minorHAnsi" w:cstheme="minorHAnsi"/>
          <w:bCs/>
          <w:color w:val="000000" w:themeColor="text1"/>
          <w:sz w:val="21"/>
          <w:szCs w:val="21"/>
        </w:rPr>
        <w:t xml:space="preserve"> úroků</w:t>
      </w:r>
      <w:r>
        <w:rPr>
          <w:rFonts w:asciiTheme="minorHAnsi" w:hAnsiTheme="minorHAnsi" w:cstheme="minorHAnsi"/>
          <w:bCs/>
          <w:color w:val="000000" w:themeColor="text1"/>
          <w:sz w:val="21"/>
          <w:szCs w:val="21"/>
        </w:rPr>
        <w:t xml:space="preserve">. K němu ČNB přistoupila již na posledním zasedání v roce 2023, kdy snížila základní dvoutýdenní </w:t>
      </w:r>
      <w:proofErr w:type="spellStart"/>
      <w:r>
        <w:rPr>
          <w:rFonts w:asciiTheme="minorHAnsi" w:hAnsiTheme="minorHAnsi" w:cstheme="minorHAnsi"/>
          <w:bCs/>
          <w:color w:val="000000" w:themeColor="text1"/>
          <w:sz w:val="21"/>
          <w:szCs w:val="21"/>
        </w:rPr>
        <w:t>repo</w:t>
      </w:r>
      <w:proofErr w:type="spellEnd"/>
      <w:r>
        <w:rPr>
          <w:rFonts w:asciiTheme="minorHAnsi" w:hAnsiTheme="minorHAnsi" w:cstheme="minorHAnsi"/>
          <w:bCs/>
          <w:color w:val="000000" w:themeColor="text1"/>
          <w:sz w:val="21"/>
          <w:szCs w:val="21"/>
        </w:rPr>
        <w:t xml:space="preserve"> sazbu o čtvrt procentního bodu. „</w:t>
      </w:r>
      <w:r w:rsidRPr="007D325D">
        <w:rPr>
          <w:rFonts w:asciiTheme="minorHAnsi" w:hAnsiTheme="minorHAnsi" w:cstheme="minorHAnsi"/>
          <w:bCs/>
          <w:i/>
          <w:color w:val="000000" w:themeColor="text1"/>
          <w:sz w:val="21"/>
          <w:szCs w:val="21"/>
        </w:rPr>
        <w:t>Na úrokové sazb</w:t>
      </w:r>
      <w:r w:rsidR="007D325D" w:rsidRPr="007D325D">
        <w:rPr>
          <w:rFonts w:asciiTheme="minorHAnsi" w:hAnsiTheme="minorHAnsi" w:cstheme="minorHAnsi"/>
          <w:bCs/>
          <w:i/>
          <w:color w:val="000000" w:themeColor="text1"/>
          <w:sz w:val="21"/>
          <w:szCs w:val="21"/>
        </w:rPr>
        <w:t>y úvěrů na</w:t>
      </w:r>
      <w:r w:rsidRPr="007D325D">
        <w:rPr>
          <w:rFonts w:asciiTheme="minorHAnsi" w:hAnsiTheme="minorHAnsi" w:cstheme="minorHAnsi"/>
          <w:bCs/>
          <w:i/>
          <w:color w:val="000000" w:themeColor="text1"/>
          <w:sz w:val="21"/>
          <w:szCs w:val="21"/>
        </w:rPr>
        <w:t xml:space="preserve"> cokoli ale toto rozhodnutí nebude mít v nejbližší době zásadní vliv,“</w:t>
      </w:r>
      <w:r>
        <w:rPr>
          <w:rFonts w:asciiTheme="minorHAnsi" w:hAnsiTheme="minorHAnsi" w:cstheme="minorHAnsi"/>
          <w:bCs/>
          <w:color w:val="000000" w:themeColor="text1"/>
          <w:sz w:val="21"/>
          <w:szCs w:val="21"/>
        </w:rPr>
        <w:t xml:space="preserve"> komentuje </w:t>
      </w:r>
      <w:r>
        <w:rPr>
          <w:rFonts w:asciiTheme="minorHAnsi" w:hAnsiTheme="minorHAnsi" w:cstheme="minorHAnsi"/>
          <w:b/>
          <w:color w:val="000000" w:themeColor="text1"/>
          <w:sz w:val="21"/>
          <w:szCs w:val="21"/>
        </w:rPr>
        <w:t xml:space="preserve">Michaela Pudilová, analytička hypotečních a spotřebitelských úvěrů ze společnosti Broker Consulting. </w:t>
      </w:r>
    </w:p>
    <w:p w14:paraId="5E76C584" w14:textId="77777777" w:rsidR="009E233F" w:rsidRDefault="009E233F" w:rsidP="009E233F">
      <w:pPr>
        <w:spacing w:after="120"/>
        <w:rPr>
          <w:rFonts w:asciiTheme="minorHAnsi" w:hAnsiTheme="minorHAnsi" w:cstheme="minorHAnsi"/>
          <w:b/>
          <w:color w:val="000000" w:themeColor="text1"/>
          <w:sz w:val="21"/>
          <w:szCs w:val="21"/>
        </w:rPr>
      </w:pPr>
    </w:p>
    <w:p w14:paraId="68468882" w14:textId="795FE96E" w:rsidR="004D6DB4" w:rsidRPr="00EF6D8C" w:rsidRDefault="00BD4403" w:rsidP="007D325D">
      <w:pPr>
        <w:spacing w:after="240"/>
        <w:rPr>
          <w:rFonts w:asciiTheme="minorHAnsi" w:hAnsiTheme="minorHAnsi" w:cstheme="minorHAnsi"/>
          <w:b/>
          <w:sz w:val="21"/>
          <w:szCs w:val="21"/>
        </w:rPr>
      </w:pPr>
      <w:r>
        <w:rPr>
          <w:rFonts w:asciiTheme="minorHAnsi" w:hAnsiTheme="minorHAnsi" w:cstheme="minorHAnsi"/>
          <w:b/>
          <w:noProof/>
          <w:sz w:val="21"/>
          <w:szCs w:val="21"/>
          <w:lang w:bidi="ar-SA"/>
        </w:rPr>
        <w:drawing>
          <wp:inline distT="0" distB="0" distL="0" distR="0" wp14:anchorId="6F8B0AAF" wp14:editId="77626198">
            <wp:extent cx="6521450" cy="2895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 BC Index spotřebitelských úvěrů - prosinec 2023.jpg"/>
                    <pic:cNvPicPr/>
                  </pic:nvPicPr>
                  <pic:blipFill>
                    <a:blip r:embed="rId26">
                      <a:extLst>
                        <a:ext uri="{28A0092B-C50C-407E-A947-70E740481C1C}">
                          <a14:useLocalDpi xmlns:a14="http://schemas.microsoft.com/office/drawing/2010/main" val="0"/>
                        </a:ext>
                      </a:extLst>
                    </a:blip>
                    <a:stretch>
                      <a:fillRect/>
                    </a:stretch>
                  </pic:blipFill>
                  <pic:spPr>
                    <a:xfrm>
                      <a:off x="0" y="0"/>
                      <a:ext cx="6521450" cy="2895600"/>
                    </a:xfrm>
                    <a:prstGeom prst="rect">
                      <a:avLst/>
                    </a:prstGeom>
                  </pic:spPr>
                </pic:pic>
              </a:graphicData>
            </a:graphic>
          </wp:inline>
        </w:drawing>
      </w:r>
    </w:p>
    <w:p w14:paraId="7BE8CA0B" w14:textId="77777777" w:rsidR="007D325D" w:rsidRDefault="007D325D" w:rsidP="007D325D">
      <w:pPr>
        <w:spacing w:before="120" w:after="120"/>
        <w:rPr>
          <w:rFonts w:asciiTheme="minorHAnsi" w:hAnsiTheme="minorHAnsi" w:cstheme="minorHAnsi"/>
          <w:bCs/>
          <w:color w:val="000000" w:themeColor="text1"/>
          <w:sz w:val="21"/>
          <w:szCs w:val="21"/>
        </w:rPr>
      </w:pPr>
    </w:p>
    <w:p w14:paraId="7E91D962" w14:textId="5CC6F6C7" w:rsidR="009E233F" w:rsidRDefault="009E233F" w:rsidP="007D325D">
      <w:pPr>
        <w:spacing w:after="120"/>
        <w:rPr>
          <w:rFonts w:asciiTheme="minorHAnsi" w:hAnsiTheme="minorHAnsi" w:cstheme="minorHAnsi"/>
          <w:bCs/>
          <w:color w:val="000000" w:themeColor="text1"/>
          <w:sz w:val="21"/>
          <w:szCs w:val="21"/>
        </w:rPr>
      </w:pPr>
      <w:r>
        <w:rPr>
          <w:rFonts w:asciiTheme="minorHAnsi" w:hAnsiTheme="minorHAnsi" w:cstheme="minorHAnsi"/>
          <w:bCs/>
          <w:color w:val="000000" w:themeColor="text1"/>
          <w:sz w:val="21"/>
          <w:szCs w:val="21"/>
        </w:rPr>
        <w:t>Prostá úroková sazba by podle mínění odborníku neměla být u spotřebitelských úvěrů, které mají oproti úvěrům hypo</w:t>
      </w:r>
      <w:r w:rsidR="00DF4BD2">
        <w:rPr>
          <w:rFonts w:asciiTheme="minorHAnsi" w:hAnsiTheme="minorHAnsi" w:cstheme="minorHAnsi"/>
          <w:bCs/>
          <w:color w:val="000000" w:themeColor="text1"/>
          <w:sz w:val="21"/>
          <w:szCs w:val="21"/>
        </w:rPr>
        <w:t>tečním výrazně kratší splatnost</w:t>
      </w:r>
      <w:r>
        <w:rPr>
          <w:rFonts w:asciiTheme="minorHAnsi" w:hAnsiTheme="minorHAnsi" w:cstheme="minorHAnsi"/>
          <w:bCs/>
          <w:color w:val="000000" w:themeColor="text1"/>
          <w:sz w:val="21"/>
          <w:szCs w:val="21"/>
        </w:rPr>
        <w:t xml:space="preserve"> a nižší poskytované částky, pro klienty tím nejsledovanějším ukazatelem, podle kterého by </w:t>
      </w:r>
      <w:r w:rsidR="00DF4BD2">
        <w:rPr>
          <w:rFonts w:asciiTheme="minorHAnsi" w:hAnsiTheme="minorHAnsi" w:cstheme="minorHAnsi"/>
          <w:bCs/>
          <w:color w:val="000000" w:themeColor="text1"/>
          <w:sz w:val="21"/>
          <w:szCs w:val="21"/>
        </w:rPr>
        <w:t xml:space="preserve">se </w:t>
      </w:r>
      <w:r>
        <w:rPr>
          <w:rFonts w:asciiTheme="minorHAnsi" w:hAnsiTheme="minorHAnsi" w:cstheme="minorHAnsi"/>
          <w:bCs/>
          <w:color w:val="000000" w:themeColor="text1"/>
          <w:sz w:val="21"/>
          <w:szCs w:val="21"/>
        </w:rPr>
        <w:t xml:space="preserve">měli rozhodovat. </w:t>
      </w:r>
      <w:r>
        <w:rPr>
          <w:rFonts w:asciiTheme="minorHAnsi" w:hAnsiTheme="minorHAnsi" w:cstheme="minorHAnsi"/>
          <w:bCs/>
          <w:i/>
          <w:iCs/>
          <w:color w:val="000000" w:themeColor="text1"/>
          <w:sz w:val="21"/>
          <w:szCs w:val="21"/>
        </w:rPr>
        <w:t>„Je nezbytné nabídky jednotlivých bank posuzovat také podle nabízených služeb a poplatků, které můžou výši měsíční splátky výrazně ovlivnit,“</w:t>
      </w:r>
      <w:r>
        <w:rPr>
          <w:rFonts w:asciiTheme="minorHAnsi" w:hAnsiTheme="minorHAnsi" w:cstheme="minorHAnsi"/>
          <w:bCs/>
          <w:color w:val="000000" w:themeColor="text1"/>
          <w:sz w:val="21"/>
          <w:szCs w:val="21"/>
        </w:rPr>
        <w:t xml:space="preserve"> radí</w:t>
      </w:r>
      <w:r w:rsidR="00DF4BD2">
        <w:rPr>
          <w:rFonts w:asciiTheme="minorHAnsi" w:hAnsiTheme="minorHAnsi" w:cstheme="minorHAnsi"/>
          <w:bCs/>
          <w:color w:val="000000" w:themeColor="text1"/>
          <w:sz w:val="21"/>
          <w:szCs w:val="21"/>
        </w:rPr>
        <w:t xml:space="preserve"> Michaela</w:t>
      </w:r>
      <w:r>
        <w:rPr>
          <w:rFonts w:asciiTheme="minorHAnsi" w:hAnsiTheme="minorHAnsi" w:cstheme="minorHAnsi"/>
          <w:bCs/>
          <w:color w:val="000000" w:themeColor="text1"/>
          <w:sz w:val="21"/>
          <w:szCs w:val="21"/>
        </w:rPr>
        <w:t xml:space="preserve"> Pudilová. Nejčastější poplatky bývají za sjednání úvěrového produktu a měsíční poplatky za vedení úvěrového účtu. Jedná se ale také například o poplatek za čerpání úvěru či změny v úvěrovém účtu. </w:t>
      </w:r>
    </w:p>
    <w:p w14:paraId="3C4D8075" w14:textId="1ADBD9DF" w:rsidR="009E233F" w:rsidRDefault="009E233F" w:rsidP="009E233F">
      <w:pPr>
        <w:spacing w:after="200"/>
        <w:rPr>
          <w:rFonts w:asciiTheme="minorHAnsi" w:hAnsiTheme="minorHAnsi" w:cstheme="minorHAnsi"/>
          <w:b/>
          <w:color w:val="000000" w:themeColor="text1"/>
          <w:sz w:val="21"/>
          <w:szCs w:val="21"/>
        </w:rPr>
      </w:pPr>
      <w:r>
        <w:rPr>
          <w:rFonts w:asciiTheme="minorHAnsi" w:hAnsiTheme="minorHAnsi" w:cstheme="minorHAnsi"/>
          <w:b/>
          <w:color w:val="000000" w:themeColor="text1"/>
          <w:sz w:val="21"/>
          <w:szCs w:val="21"/>
        </w:rPr>
        <w:t xml:space="preserve">Posuzování úvěruschopnosti </w:t>
      </w:r>
      <w:r w:rsidR="00B0200B">
        <w:rPr>
          <w:rFonts w:asciiTheme="minorHAnsi" w:hAnsiTheme="minorHAnsi" w:cstheme="minorHAnsi"/>
          <w:b/>
          <w:color w:val="000000" w:themeColor="text1"/>
          <w:sz w:val="21"/>
          <w:szCs w:val="21"/>
        </w:rPr>
        <w:t>se zpřesňuje</w:t>
      </w:r>
    </w:p>
    <w:p w14:paraId="0445EC16" w14:textId="47766614" w:rsidR="009E233F" w:rsidRDefault="009E233F" w:rsidP="009E233F">
      <w:pPr>
        <w:spacing w:after="200"/>
        <w:rPr>
          <w:rFonts w:asciiTheme="minorHAnsi" w:hAnsiTheme="minorHAnsi" w:cstheme="minorHAnsi"/>
          <w:bCs/>
          <w:color w:val="000000" w:themeColor="text1"/>
          <w:sz w:val="21"/>
          <w:szCs w:val="21"/>
        </w:rPr>
      </w:pPr>
      <w:r>
        <w:rPr>
          <w:rFonts w:asciiTheme="minorHAnsi" w:hAnsiTheme="minorHAnsi" w:cstheme="minorHAnsi"/>
          <w:bCs/>
          <w:color w:val="000000" w:themeColor="text1"/>
          <w:sz w:val="21"/>
          <w:szCs w:val="21"/>
        </w:rPr>
        <w:t xml:space="preserve">Mezi další poplatky, na které nelze zapomenout patří ten za případné pojištění schopnosti splácet. </w:t>
      </w:r>
      <w:r>
        <w:rPr>
          <w:rFonts w:asciiTheme="minorHAnsi" w:hAnsiTheme="minorHAnsi" w:cstheme="minorHAnsi"/>
          <w:bCs/>
          <w:i/>
          <w:iCs/>
          <w:color w:val="000000" w:themeColor="text1"/>
          <w:sz w:val="21"/>
          <w:szCs w:val="21"/>
        </w:rPr>
        <w:t>„Tento poplatek se odvíjí od výše poskytnutého úvěru a chrání žadatele před případným výpadkem splácení úvěrů například v případě dlouhodobé nemoci či invalidity. Vždy je ovšem dobré předem zjistit, na co všechno se uzavřené pojištění vztahuje. Některé banky nabízejí i více variant pojištění,“</w:t>
      </w:r>
      <w:r>
        <w:rPr>
          <w:rFonts w:asciiTheme="minorHAnsi" w:hAnsiTheme="minorHAnsi" w:cstheme="minorHAnsi"/>
          <w:bCs/>
          <w:color w:val="000000" w:themeColor="text1"/>
          <w:sz w:val="21"/>
          <w:szCs w:val="21"/>
        </w:rPr>
        <w:t xml:space="preserve"> uzavírá </w:t>
      </w:r>
      <w:r w:rsidR="00B0200B">
        <w:rPr>
          <w:rFonts w:asciiTheme="minorHAnsi" w:hAnsiTheme="minorHAnsi" w:cstheme="minorHAnsi"/>
          <w:bCs/>
          <w:color w:val="000000" w:themeColor="text1"/>
          <w:sz w:val="21"/>
          <w:szCs w:val="21"/>
        </w:rPr>
        <w:t xml:space="preserve">již citovaná </w:t>
      </w:r>
      <w:r>
        <w:rPr>
          <w:rFonts w:asciiTheme="minorHAnsi" w:hAnsiTheme="minorHAnsi" w:cstheme="minorHAnsi"/>
          <w:bCs/>
          <w:color w:val="000000" w:themeColor="text1"/>
          <w:sz w:val="21"/>
          <w:szCs w:val="21"/>
        </w:rPr>
        <w:t>analytička Broker Consulting.</w:t>
      </w:r>
    </w:p>
    <w:p w14:paraId="097ECAD5" w14:textId="77777777" w:rsidR="009E233F" w:rsidRDefault="009E233F" w:rsidP="009E233F">
      <w:pPr>
        <w:spacing w:after="120"/>
        <w:rPr>
          <w:rFonts w:asciiTheme="minorHAnsi" w:hAnsiTheme="minorHAnsi" w:cstheme="minorHAnsi"/>
          <w:bCs/>
          <w:color w:val="000000" w:themeColor="text1"/>
          <w:sz w:val="21"/>
          <w:szCs w:val="21"/>
        </w:rPr>
      </w:pPr>
      <w:r>
        <w:rPr>
          <w:rFonts w:asciiTheme="minorHAnsi" w:hAnsiTheme="minorHAnsi" w:cstheme="minorHAnsi"/>
          <w:bCs/>
          <w:color w:val="000000" w:themeColor="text1"/>
          <w:sz w:val="21"/>
          <w:szCs w:val="21"/>
        </w:rPr>
        <w:t xml:space="preserve">V posuzování úvěruschopnosti nastávají díky novele zákona o spotřebitelském úvěru drobné změny, které se týkají </w:t>
      </w:r>
      <w:r>
        <w:rPr>
          <w:rFonts w:asciiTheme="minorHAnsi" w:hAnsiTheme="minorHAnsi" w:cstheme="minorHAnsi"/>
          <w:bCs/>
          <w:color w:val="000000" w:themeColor="text1"/>
          <w:sz w:val="21"/>
          <w:szCs w:val="21"/>
        </w:rPr>
        <w:lastRenderedPageBreak/>
        <w:t>doplnění a upřesnění stávající úpravy. Jak vyplývá z </w:t>
      </w:r>
      <w:hyperlink r:id="rId27" w:history="1">
        <w:r>
          <w:rPr>
            <w:rStyle w:val="Hypertextovodkaz"/>
            <w:rFonts w:asciiTheme="minorHAnsi" w:hAnsiTheme="minorHAnsi" w:cstheme="minorHAnsi"/>
            <w:bCs/>
            <w:sz w:val="21"/>
            <w:szCs w:val="21"/>
          </w:rPr>
          <w:t>přehledu změn pro rok 2024</w:t>
        </w:r>
      </w:hyperlink>
      <w:r>
        <w:rPr>
          <w:rFonts w:asciiTheme="minorHAnsi" w:hAnsiTheme="minorHAnsi" w:cstheme="minorHAnsi"/>
          <w:bCs/>
          <w:color w:val="000000" w:themeColor="text1"/>
          <w:sz w:val="21"/>
          <w:szCs w:val="21"/>
        </w:rPr>
        <w:t xml:space="preserve">, které shrnulo v jednom ze svých příspěvků Ministerstvo finanční ČR, se nově staví najisto, že pro ověření informací o výdajích spotřebitele může banka nebo nebankovní poskytovatel úvěru využít i automatizované modely. Dále se zpřesňuje rozsah údajů, na základě kterých má poskytovatel úvěruschopnost spotřebitele posuzovat. </w:t>
      </w:r>
    </w:p>
    <w:p w14:paraId="603801C1" w14:textId="77777777" w:rsidR="009E233F" w:rsidRDefault="009E233F" w:rsidP="009E233F">
      <w:pPr>
        <w:spacing w:after="200"/>
        <w:rPr>
          <w:rFonts w:asciiTheme="minorHAnsi" w:hAnsiTheme="minorHAnsi" w:cstheme="minorHAnsi"/>
          <w:b/>
          <w:color w:val="000000" w:themeColor="text1"/>
          <w:sz w:val="21"/>
          <w:szCs w:val="21"/>
        </w:rPr>
      </w:pPr>
      <w:r>
        <w:rPr>
          <w:rFonts w:asciiTheme="minorHAnsi" w:hAnsiTheme="minorHAnsi" w:cstheme="minorHAnsi"/>
          <w:b/>
          <w:color w:val="000000" w:themeColor="text1"/>
          <w:sz w:val="21"/>
          <w:szCs w:val="21"/>
        </w:rPr>
        <w:t>BOX: Co je úvěruschopnost?</w:t>
      </w:r>
    </w:p>
    <w:p w14:paraId="5FA821AD" w14:textId="44986BD6" w:rsidR="009E233F" w:rsidRDefault="009E233F" w:rsidP="009E233F">
      <w:pPr>
        <w:spacing w:after="200"/>
        <w:rPr>
          <w:rFonts w:asciiTheme="minorHAnsi" w:hAnsiTheme="minorHAnsi" w:cstheme="minorHAnsi"/>
          <w:bCs/>
          <w:color w:val="000000" w:themeColor="text1"/>
          <w:sz w:val="21"/>
          <w:szCs w:val="21"/>
        </w:rPr>
      </w:pPr>
      <w:r>
        <w:rPr>
          <w:rFonts w:asciiTheme="minorHAnsi" w:hAnsiTheme="minorHAnsi" w:cstheme="minorHAnsi"/>
          <w:bCs/>
          <w:color w:val="000000" w:themeColor="text1"/>
          <w:sz w:val="21"/>
          <w:szCs w:val="21"/>
        </w:rPr>
        <w:t>Úvěruschopnost neboli bonita klienta, je schopnost žadatele o úvěr splácet tento úvěr. Úvěruschopnost vždy zjišťuje poskytovatel půjčky. Důležitým kritériem jsou dostatečné pravidelné příjmy, které pokryjí mandatorní výdaje a zároveň žadateli ještě zůstane do</w:t>
      </w:r>
      <w:r w:rsidR="002116F0">
        <w:rPr>
          <w:rFonts w:asciiTheme="minorHAnsi" w:hAnsiTheme="minorHAnsi" w:cstheme="minorHAnsi"/>
          <w:bCs/>
          <w:color w:val="000000" w:themeColor="text1"/>
          <w:sz w:val="21"/>
          <w:szCs w:val="21"/>
        </w:rPr>
        <w:t>statek volných peněz na nečekané</w:t>
      </w:r>
      <w:r>
        <w:rPr>
          <w:rFonts w:asciiTheme="minorHAnsi" w:hAnsiTheme="minorHAnsi" w:cstheme="minorHAnsi"/>
          <w:bCs/>
          <w:color w:val="000000" w:themeColor="text1"/>
          <w:sz w:val="21"/>
          <w:szCs w:val="21"/>
        </w:rPr>
        <w:t xml:space="preserve"> výdaje i na případné splácení úvěru.  </w:t>
      </w:r>
    </w:p>
    <w:p w14:paraId="5020DE83" w14:textId="77777777" w:rsidR="009E233F" w:rsidRDefault="009E233F" w:rsidP="009E233F">
      <w:pPr>
        <w:spacing w:after="200"/>
        <w:rPr>
          <w:rFonts w:asciiTheme="minorHAnsi" w:hAnsiTheme="minorHAnsi" w:cstheme="minorHAnsi"/>
          <w:bCs/>
          <w:color w:val="000000" w:themeColor="text1"/>
          <w:sz w:val="21"/>
          <w:szCs w:val="21"/>
        </w:rPr>
      </w:pPr>
      <w:r>
        <w:rPr>
          <w:rFonts w:asciiTheme="minorHAnsi" w:hAnsiTheme="minorHAnsi" w:cstheme="minorHAnsi"/>
          <w:bCs/>
          <w:color w:val="000000" w:themeColor="text1"/>
          <w:sz w:val="21"/>
          <w:szCs w:val="21"/>
        </w:rPr>
        <w:t>Více pod heslem „</w:t>
      </w:r>
      <w:hyperlink r:id="rId28" w:anchor="/dictionary" w:history="1">
        <w:r>
          <w:rPr>
            <w:rStyle w:val="Hypertextovodkaz"/>
            <w:rFonts w:asciiTheme="minorHAnsi" w:hAnsiTheme="minorHAnsi" w:cstheme="minorHAnsi"/>
            <w:bCs/>
            <w:sz w:val="21"/>
            <w:szCs w:val="21"/>
          </w:rPr>
          <w:t>bonita</w:t>
        </w:r>
      </w:hyperlink>
      <w:r>
        <w:rPr>
          <w:rFonts w:asciiTheme="minorHAnsi" w:hAnsiTheme="minorHAnsi" w:cstheme="minorHAnsi"/>
          <w:bCs/>
          <w:color w:val="000000" w:themeColor="text1"/>
          <w:sz w:val="21"/>
          <w:szCs w:val="21"/>
        </w:rPr>
        <w:t xml:space="preserve">“ ve slovníku pojmů Broker </w:t>
      </w:r>
      <w:proofErr w:type="spellStart"/>
      <w:r>
        <w:rPr>
          <w:rFonts w:asciiTheme="minorHAnsi" w:hAnsiTheme="minorHAnsi" w:cstheme="minorHAnsi"/>
          <w:bCs/>
          <w:color w:val="000000" w:themeColor="text1"/>
          <w:sz w:val="21"/>
          <w:szCs w:val="21"/>
        </w:rPr>
        <w:t>Friend</w:t>
      </w:r>
      <w:proofErr w:type="spellEnd"/>
      <w:r>
        <w:rPr>
          <w:rFonts w:asciiTheme="minorHAnsi" w:hAnsiTheme="minorHAnsi" w:cstheme="minorHAnsi"/>
          <w:bCs/>
          <w:color w:val="000000" w:themeColor="text1"/>
          <w:sz w:val="21"/>
          <w:szCs w:val="21"/>
        </w:rPr>
        <w:t>.</w:t>
      </w:r>
    </w:p>
    <w:p w14:paraId="5C325780" w14:textId="77777777" w:rsidR="00DF7709" w:rsidRPr="00EF6D8C" w:rsidRDefault="00DF7709" w:rsidP="00DF7709">
      <w:pPr>
        <w:pBdr>
          <w:bottom w:val="single" w:sz="4" w:space="1" w:color="auto"/>
        </w:pBdr>
        <w:jc w:val="both"/>
        <w:rPr>
          <w:rFonts w:asciiTheme="minorHAnsi" w:hAnsiTheme="minorHAnsi" w:cstheme="minorHAnsi"/>
          <w:bCs/>
          <w:sz w:val="2"/>
          <w:szCs w:val="2"/>
        </w:rPr>
      </w:pPr>
    </w:p>
    <w:p w14:paraId="4CF17F9A" w14:textId="31E6AE10" w:rsidR="00C10C80" w:rsidRPr="00EF6D8C" w:rsidRDefault="008F3C6D" w:rsidP="00EE3451">
      <w:pPr>
        <w:spacing w:before="120"/>
        <w:rPr>
          <w:rFonts w:asciiTheme="minorHAnsi" w:hAnsiTheme="minorHAnsi" w:cstheme="minorHAnsi"/>
          <w:b/>
          <w:sz w:val="21"/>
          <w:szCs w:val="21"/>
        </w:rPr>
      </w:pPr>
      <w:r w:rsidRPr="00EF6D8C">
        <w:rPr>
          <w:rFonts w:asciiTheme="minorHAnsi" w:hAnsiTheme="minorHAnsi" w:cstheme="minorHAnsi"/>
          <w:b/>
          <w:sz w:val="21"/>
          <w:szCs w:val="21"/>
        </w:rPr>
        <w:t>Broker Consulting Index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t>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pouze  skutečně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t>Proč je dobré Index sledovat</w:t>
      </w:r>
      <w:r w:rsidRPr="00EF6D8C">
        <w:rPr>
          <w:rFonts w:asciiTheme="minorHAnsi" w:hAnsiTheme="minorHAnsi" w:cstheme="minorHAnsi"/>
          <w:b/>
          <w:sz w:val="21"/>
          <w:szCs w:val="21"/>
        </w:rPr>
        <w:tab/>
      </w:r>
    </w:p>
    <w:p w14:paraId="0979CE30" w14:textId="0F07CF11"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9"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3FDF8955" w14:textId="399F6C6F" w:rsidR="00EF6D8C" w:rsidRPr="00EF6D8C" w:rsidRDefault="008F3C6D" w:rsidP="00EF6D8C">
      <w:pPr>
        <w:spacing w:before="120"/>
        <w:rPr>
          <w:rFonts w:asciiTheme="minorHAnsi" w:eastAsia="Calibri" w:hAnsiTheme="minorHAnsi" w:cstheme="minorHAnsi"/>
          <w:b/>
          <w:bCs/>
          <w:noProof/>
          <w:sz w:val="21"/>
          <w:szCs w:val="21"/>
        </w:rPr>
      </w:pPr>
      <w:r w:rsidRPr="00EF6D8C">
        <w:rPr>
          <w:rFonts w:asciiTheme="minorHAnsi" w:eastAsia="Calibri" w:hAnsiTheme="minorHAnsi" w:cstheme="minorHAnsi"/>
          <w:b/>
          <w:bCs/>
          <w:noProof/>
          <w:sz w:val="21"/>
          <w:szCs w:val="21"/>
        </w:rPr>
        <w:t>Kontakt pro média:</w:t>
      </w:r>
    </w:p>
    <w:p w14:paraId="16BB5E7E" w14:textId="2F1E51F1" w:rsidR="0053079B" w:rsidRPr="00EF6D8C" w:rsidRDefault="0053079B" w:rsidP="00EF6D8C">
      <w:pPr>
        <w:rPr>
          <w:rFonts w:asciiTheme="minorHAnsi" w:eastAsia="Calibri" w:hAnsiTheme="minorHAnsi" w:cstheme="minorHAnsi"/>
          <w:b/>
          <w:bCs/>
          <w:noProof/>
          <w:sz w:val="21"/>
          <w:szCs w:val="21"/>
        </w:rPr>
      </w:pPr>
      <w:r w:rsidRPr="00EF6D8C">
        <w:rPr>
          <w:rFonts w:asciiTheme="minorHAnsi" w:eastAsia="Calibri" w:hAnsiTheme="minorHAnsi" w:cstheme="minorHAnsi"/>
          <w:bCs/>
          <w:noProof/>
          <w:sz w:val="21"/>
          <w:szCs w:val="21"/>
        </w:rPr>
        <w:t>Michaela Sahulová</w:t>
      </w:r>
      <w:r w:rsidR="00EF6D8C" w:rsidRPr="00EF6D8C">
        <w:rPr>
          <w:rFonts w:asciiTheme="minorHAnsi" w:eastAsia="Calibri" w:hAnsiTheme="minorHAnsi" w:cstheme="minorHAnsi"/>
          <w:bCs/>
          <w:noProof/>
          <w:sz w:val="21"/>
          <w:szCs w:val="21"/>
        </w:rPr>
        <w:t xml:space="preserve">, </w:t>
      </w:r>
      <w:r w:rsidRPr="00EF6D8C">
        <w:rPr>
          <w:rFonts w:asciiTheme="minorHAnsi" w:eastAsia="Calibri" w:hAnsiTheme="minorHAnsi" w:cstheme="minorHAnsi"/>
          <w:noProof/>
          <w:sz w:val="21"/>
          <w:szCs w:val="21"/>
        </w:rPr>
        <w:t>Specialistka PR a externí komunikace</w:t>
      </w:r>
    </w:p>
    <w:p w14:paraId="12134AC2" w14:textId="72493835" w:rsidR="008F3C6D" w:rsidRPr="00EF6D8C" w:rsidRDefault="0053079B" w:rsidP="00EF6D8C">
      <w:pPr>
        <w:rPr>
          <w:rFonts w:asciiTheme="minorHAnsi" w:eastAsiaTheme="minorEastAsia" w:hAnsiTheme="minorHAnsi" w:cstheme="minorHAnsi"/>
          <w:noProof/>
          <w:color w:val="000000" w:themeColor="text1"/>
          <w:sz w:val="21"/>
          <w:szCs w:val="21"/>
          <w:lang w:bidi="ar-SA"/>
        </w:rPr>
      </w:pPr>
      <w:r w:rsidRPr="00EF6D8C">
        <w:rPr>
          <w:rFonts w:asciiTheme="minorHAnsi" w:eastAsiaTheme="minorEastAsia" w:hAnsiTheme="minorHAnsi" w:cstheme="minorHAnsi"/>
          <w:noProof/>
          <w:color w:val="000000" w:themeColor="text1"/>
          <w:sz w:val="21"/>
          <w:szCs w:val="21"/>
        </w:rPr>
        <w:t>tel.: +420 731 538</w:t>
      </w:r>
      <w:r w:rsidR="00EF6D8C" w:rsidRPr="00EF6D8C">
        <w:rPr>
          <w:rFonts w:asciiTheme="minorHAnsi" w:eastAsiaTheme="minorEastAsia" w:hAnsiTheme="minorHAnsi" w:cstheme="minorHAnsi"/>
          <w:noProof/>
          <w:color w:val="000000" w:themeColor="text1"/>
          <w:sz w:val="21"/>
          <w:szCs w:val="21"/>
        </w:rPr>
        <w:t> </w:t>
      </w:r>
      <w:r w:rsidRPr="00EF6D8C">
        <w:rPr>
          <w:rFonts w:asciiTheme="minorHAnsi" w:eastAsiaTheme="minorEastAsia" w:hAnsiTheme="minorHAnsi" w:cstheme="minorHAnsi"/>
          <w:noProof/>
          <w:color w:val="000000" w:themeColor="text1"/>
          <w:sz w:val="21"/>
          <w:szCs w:val="21"/>
        </w:rPr>
        <w:t>373</w:t>
      </w:r>
      <w:r w:rsidR="00EF6D8C" w:rsidRPr="00EF6D8C">
        <w:rPr>
          <w:rFonts w:asciiTheme="minorHAnsi" w:eastAsiaTheme="minorEastAsia" w:hAnsiTheme="minorHAnsi" w:cstheme="minorHAnsi"/>
          <w:noProof/>
          <w:color w:val="000000" w:themeColor="text1"/>
          <w:sz w:val="21"/>
          <w:szCs w:val="21"/>
          <w:lang w:bidi="ar-SA"/>
        </w:rPr>
        <w:t xml:space="preserve">, </w:t>
      </w:r>
      <w:r w:rsidR="00EF6D8C" w:rsidRPr="00EF6D8C">
        <w:rPr>
          <w:rFonts w:asciiTheme="minorHAnsi" w:eastAsia="Calibri" w:hAnsiTheme="minorHAnsi" w:cstheme="minorHAnsi"/>
          <w:noProof/>
          <w:sz w:val="21"/>
          <w:szCs w:val="21"/>
        </w:rPr>
        <w:t>e</w:t>
      </w:r>
      <w:r w:rsidRPr="00EF6D8C">
        <w:rPr>
          <w:rFonts w:asciiTheme="minorHAnsi" w:eastAsia="Calibri" w:hAnsiTheme="minorHAnsi" w:cstheme="minorHAnsi"/>
          <w:noProof/>
          <w:sz w:val="21"/>
          <w:szCs w:val="21"/>
        </w:rPr>
        <w:t xml:space="preserve">-mail: </w:t>
      </w:r>
      <w:r w:rsidR="00EF6D8C" w:rsidRPr="00EF6D8C">
        <w:rPr>
          <w:rFonts w:asciiTheme="minorHAnsi" w:eastAsia="Calibri" w:hAnsiTheme="minorHAnsi" w:cstheme="minorHAnsi"/>
          <w:noProof/>
          <w:sz w:val="21"/>
          <w:szCs w:val="21"/>
        </w:rPr>
        <w:t>michaela.sahulova@bcas.c</w:t>
      </w:r>
      <w:r w:rsidR="00EF6D8C" w:rsidRPr="00EF6D8C">
        <w:rPr>
          <w:rFonts w:asciiTheme="minorHAnsi" w:eastAsiaTheme="minorEastAsia" w:hAnsiTheme="minorHAnsi" w:cstheme="minorHAnsi"/>
          <w:noProof/>
          <w:color w:val="000000" w:themeColor="text1"/>
          <w:sz w:val="21"/>
          <w:szCs w:val="21"/>
          <w:lang w:bidi="ar-SA"/>
        </w:rPr>
        <w:t>z</w:t>
      </w:r>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E0B64E" w14:textId="77777777" w:rsidR="00651B48" w:rsidRDefault="00651B48">
      <w:r>
        <w:separator/>
      </w:r>
    </w:p>
  </w:endnote>
  <w:endnote w:type="continuationSeparator" w:id="0">
    <w:p w14:paraId="7F57D73D" w14:textId="77777777" w:rsidR="00651B48" w:rsidRDefault="00651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651B48"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FF21FF"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651B48"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FF21FF"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651B48"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FF21FF"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D91ACC" w14:textId="77777777" w:rsidR="00651B48" w:rsidRDefault="00651B48">
      <w:r>
        <w:separator/>
      </w:r>
    </w:p>
  </w:footnote>
  <w:footnote w:type="continuationSeparator" w:id="0">
    <w:p w14:paraId="5B5566E3" w14:textId="77777777" w:rsidR="00651B48" w:rsidRDefault="00651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5"/>
  </w:num>
  <w:num w:numId="5">
    <w:abstractNumId w:val="2"/>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20EC7"/>
    <w:rsid w:val="00021C70"/>
    <w:rsid w:val="00022715"/>
    <w:rsid w:val="00024AC6"/>
    <w:rsid w:val="00026F23"/>
    <w:rsid w:val="000276A7"/>
    <w:rsid w:val="000277AC"/>
    <w:rsid w:val="000329A2"/>
    <w:rsid w:val="00032D94"/>
    <w:rsid w:val="00036C73"/>
    <w:rsid w:val="000374D7"/>
    <w:rsid w:val="000400E4"/>
    <w:rsid w:val="0004253B"/>
    <w:rsid w:val="00045B39"/>
    <w:rsid w:val="0005252A"/>
    <w:rsid w:val="0005423A"/>
    <w:rsid w:val="00057018"/>
    <w:rsid w:val="000611E3"/>
    <w:rsid w:val="000618FE"/>
    <w:rsid w:val="00061ABB"/>
    <w:rsid w:val="00070675"/>
    <w:rsid w:val="000766E7"/>
    <w:rsid w:val="00076D0E"/>
    <w:rsid w:val="00080552"/>
    <w:rsid w:val="00080ADE"/>
    <w:rsid w:val="00081616"/>
    <w:rsid w:val="00082FDB"/>
    <w:rsid w:val="000853D4"/>
    <w:rsid w:val="00087263"/>
    <w:rsid w:val="0009776B"/>
    <w:rsid w:val="000A5467"/>
    <w:rsid w:val="000A6063"/>
    <w:rsid w:val="000B0D84"/>
    <w:rsid w:val="000B2E5D"/>
    <w:rsid w:val="000B2F39"/>
    <w:rsid w:val="000B5339"/>
    <w:rsid w:val="000B54E5"/>
    <w:rsid w:val="000C0090"/>
    <w:rsid w:val="000C1853"/>
    <w:rsid w:val="000C4C77"/>
    <w:rsid w:val="000D145E"/>
    <w:rsid w:val="000D14E2"/>
    <w:rsid w:val="000D5F5D"/>
    <w:rsid w:val="000D68AC"/>
    <w:rsid w:val="000D7A4D"/>
    <w:rsid w:val="000E0EEC"/>
    <w:rsid w:val="000E168E"/>
    <w:rsid w:val="000E3D86"/>
    <w:rsid w:val="000F0BA4"/>
    <w:rsid w:val="000F1EC4"/>
    <w:rsid w:val="000F29D1"/>
    <w:rsid w:val="000F6249"/>
    <w:rsid w:val="00103543"/>
    <w:rsid w:val="001069A1"/>
    <w:rsid w:val="0010739A"/>
    <w:rsid w:val="00111C28"/>
    <w:rsid w:val="00112079"/>
    <w:rsid w:val="00112CC0"/>
    <w:rsid w:val="00112D65"/>
    <w:rsid w:val="001130B7"/>
    <w:rsid w:val="00114F7B"/>
    <w:rsid w:val="00115429"/>
    <w:rsid w:val="0012330F"/>
    <w:rsid w:val="00123939"/>
    <w:rsid w:val="001302C1"/>
    <w:rsid w:val="0013044E"/>
    <w:rsid w:val="00131A69"/>
    <w:rsid w:val="001352B7"/>
    <w:rsid w:val="00136C97"/>
    <w:rsid w:val="00137003"/>
    <w:rsid w:val="0013717C"/>
    <w:rsid w:val="00137474"/>
    <w:rsid w:val="00143EFE"/>
    <w:rsid w:val="0014644B"/>
    <w:rsid w:val="001546F5"/>
    <w:rsid w:val="00156082"/>
    <w:rsid w:val="00161D10"/>
    <w:rsid w:val="00164597"/>
    <w:rsid w:val="001675AF"/>
    <w:rsid w:val="00170556"/>
    <w:rsid w:val="00170D87"/>
    <w:rsid w:val="00170E0F"/>
    <w:rsid w:val="00173F5C"/>
    <w:rsid w:val="00175224"/>
    <w:rsid w:val="001767A5"/>
    <w:rsid w:val="00180051"/>
    <w:rsid w:val="00182B07"/>
    <w:rsid w:val="0018460D"/>
    <w:rsid w:val="00187ECB"/>
    <w:rsid w:val="001901D0"/>
    <w:rsid w:val="00191B34"/>
    <w:rsid w:val="001925C8"/>
    <w:rsid w:val="00192716"/>
    <w:rsid w:val="00192C2A"/>
    <w:rsid w:val="00193550"/>
    <w:rsid w:val="00194C95"/>
    <w:rsid w:val="0019698F"/>
    <w:rsid w:val="001A54DD"/>
    <w:rsid w:val="001B296D"/>
    <w:rsid w:val="001B29C7"/>
    <w:rsid w:val="001B501B"/>
    <w:rsid w:val="001B6A93"/>
    <w:rsid w:val="001B745F"/>
    <w:rsid w:val="001D015A"/>
    <w:rsid w:val="001D3DFC"/>
    <w:rsid w:val="001D4EA8"/>
    <w:rsid w:val="001D6965"/>
    <w:rsid w:val="001E22F1"/>
    <w:rsid w:val="001E3D5F"/>
    <w:rsid w:val="001E3FBF"/>
    <w:rsid w:val="001E4209"/>
    <w:rsid w:val="001E44AC"/>
    <w:rsid w:val="001E5D83"/>
    <w:rsid w:val="001F045E"/>
    <w:rsid w:val="001F25C4"/>
    <w:rsid w:val="001F2BE0"/>
    <w:rsid w:val="001F3CF1"/>
    <w:rsid w:val="001F7194"/>
    <w:rsid w:val="001F71BA"/>
    <w:rsid w:val="001F7D30"/>
    <w:rsid w:val="00200B65"/>
    <w:rsid w:val="002116F0"/>
    <w:rsid w:val="002141AF"/>
    <w:rsid w:val="002157B1"/>
    <w:rsid w:val="0022066E"/>
    <w:rsid w:val="00220944"/>
    <w:rsid w:val="002227D9"/>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551C"/>
    <w:rsid w:val="0025264B"/>
    <w:rsid w:val="0025428A"/>
    <w:rsid w:val="002542AA"/>
    <w:rsid w:val="00255182"/>
    <w:rsid w:val="00263C8C"/>
    <w:rsid w:val="002645E4"/>
    <w:rsid w:val="002679C9"/>
    <w:rsid w:val="00270DB3"/>
    <w:rsid w:val="00271F07"/>
    <w:rsid w:val="0027623E"/>
    <w:rsid w:val="00281834"/>
    <w:rsid w:val="0028590C"/>
    <w:rsid w:val="00287D46"/>
    <w:rsid w:val="002A0285"/>
    <w:rsid w:val="002A3F19"/>
    <w:rsid w:val="002A6FA3"/>
    <w:rsid w:val="002A7325"/>
    <w:rsid w:val="002B0728"/>
    <w:rsid w:val="002B1317"/>
    <w:rsid w:val="002B7DA9"/>
    <w:rsid w:val="002B7F6D"/>
    <w:rsid w:val="002C0240"/>
    <w:rsid w:val="002C4A25"/>
    <w:rsid w:val="002C4BCE"/>
    <w:rsid w:val="002C7224"/>
    <w:rsid w:val="002D1619"/>
    <w:rsid w:val="002D6D20"/>
    <w:rsid w:val="002E1ABC"/>
    <w:rsid w:val="002E3DC6"/>
    <w:rsid w:val="002E633F"/>
    <w:rsid w:val="002F002B"/>
    <w:rsid w:val="002F05B2"/>
    <w:rsid w:val="002F1DD3"/>
    <w:rsid w:val="002F3FCA"/>
    <w:rsid w:val="002F485A"/>
    <w:rsid w:val="002F56BD"/>
    <w:rsid w:val="002F7EC2"/>
    <w:rsid w:val="003001F4"/>
    <w:rsid w:val="003028DB"/>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1518"/>
    <w:rsid w:val="00321E19"/>
    <w:rsid w:val="003226EB"/>
    <w:rsid w:val="003247B0"/>
    <w:rsid w:val="00330918"/>
    <w:rsid w:val="003358BA"/>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83942"/>
    <w:rsid w:val="00383DC5"/>
    <w:rsid w:val="00385325"/>
    <w:rsid w:val="00385EED"/>
    <w:rsid w:val="00386B09"/>
    <w:rsid w:val="00390B58"/>
    <w:rsid w:val="00392024"/>
    <w:rsid w:val="003948A1"/>
    <w:rsid w:val="003A1549"/>
    <w:rsid w:val="003A285A"/>
    <w:rsid w:val="003A2887"/>
    <w:rsid w:val="003A375A"/>
    <w:rsid w:val="003A43AB"/>
    <w:rsid w:val="003A6435"/>
    <w:rsid w:val="003B0E4E"/>
    <w:rsid w:val="003B0E4F"/>
    <w:rsid w:val="003B3F0C"/>
    <w:rsid w:val="003C0CBE"/>
    <w:rsid w:val="003C2A23"/>
    <w:rsid w:val="003C5664"/>
    <w:rsid w:val="003C59A8"/>
    <w:rsid w:val="003C6F57"/>
    <w:rsid w:val="003C7F98"/>
    <w:rsid w:val="003D157E"/>
    <w:rsid w:val="003D1987"/>
    <w:rsid w:val="003D2162"/>
    <w:rsid w:val="003D47CB"/>
    <w:rsid w:val="003E0649"/>
    <w:rsid w:val="003E5B34"/>
    <w:rsid w:val="003E6537"/>
    <w:rsid w:val="003F0CAF"/>
    <w:rsid w:val="003F324C"/>
    <w:rsid w:val="003F7018"/>
    <w:rsid w:val="003F79EC"/>
    <w:rsid w:val="0040257E"/>
    <w:rsid w:val="00403729"/>
    <w:rsid w:val="004041EF"/>
    <w:rsid w:val="004053BB"/>
    <w:rsid w:val="004075C9"/>
    <w:rsid w:val="00411153"/>
    <w:rsid w:val="004116FD"/>
    <w:rsid w:val="0041759C"/>
    <w:rsid w:val="0042193A"/>
    <w:rsid w:val="004228ED"/>
    <w:rsid w:val="00424406"/>
    <w:rsid w:val="00432DAE"/>
    <w:rsid w:val="0043347D"/>
    <w:rsid w:val="004336E4"/>
    <w:rsid w:val="00433F20"/>
    <w:rsid w:val="00434FAE"/>
    <w:rsid w:val="00435342"/>
    <w:rsid w:val="004372BB"/>
    <w:rsid w:val="004376B0"/>
    <w:rsid w:val="00445316"/>
    <w:rsid w:val="00445D0A"/>
    <w:rsid w:val="00447FBA"/>
    <w:rsid w:val="004501B9"/>
    <w:rsid w:val="00453CFE"/>
    <w:rsid w:val="00454843"/>
    <w:rsid w:val="004556BB"/>
    <w:rsid w:val="00455F65"/>
    <w:rsid w:val="00457FFE"/>
    <w:rsid w:val="00460FA7"/>
    <w:rsid w:val="00461BF2"/>
    <w:rsid w:val="004627B9"/>
    <w:rsid w:val="004678E9"/>
    <w:rsid w:val="00467E69"/>
    <w:rsid w:val="00471166"/>
    <w:rsid w:val="00473E24"/>
    <w:rsid w:val="00474C76"/>
    <w:rsid w:val="00477DC5"/>
    <w:rsid w:val="00480982"/>
    <w:rsid w:val="00483C09"/>
    <w:rsid w:val="00486655"/>
    <w:rsid w:val="0049280D"/>
    <w:rsid w:val="00492BA9"/>
    <w:rsid w:val="004935C2"/>
    <w:rsid w:val="004A59C1"/>
    <w:rsid w:val="004A7830"/>
    <w:rsid w:val="004B2DF6"/>
    <w:rsid w:val="004B2FF6"/>
    <w:rsid w:val="004B4E91"/>
    <w:rsid w:val="004B5797"/>
    <w:rsid w:val="004B7412"/>
    <w:rsid w:val="004C222D"/>
    <w:rsid w:val="004C3DD1"/>
    <w:rsid w:val="004C3F71"/>
    <w:rsid w:val="004D5CC6"/>
    <w:rsid w:val="004D6DB4"/>
    <w:rsid w:val="004E09B8"/>
    <w:rsid w:val="004E1737"/>
    <w:rsid w:val="004F303D"/>
    <w:rsid w:val="004F38CD"/>
    <w:rsid w:val="004F5D36"/>
    <w:rsid w:val="004F6195"/>
    <w:rsid w:val="00504EBB"/>
    <w:rsid w:val="0050659B"/>
    <w:rsid w:val="005130A9"/>
    <w:rsid w:val="00514932"/>
    <w:rsid w:val="005153F7"/>
    <w:rsid w:val="00515952"/>
    <w:rsid w:val="005224C1"/>
    <w:rsid w:val="005231DA"/>
    <w:rsid w:val="0053079B"/>
    <w:rsid w:val="0053153F"/>
    <w:rsid w:val="00531C9F"/>
    <w:rsid w:val="005361AF"/>
    <w:rsid w:val="00536822"/>
    <w:rsid w:val="00536954"/>
    <w:rsid w:val="0053728E"/>
    <w:rsid w:val="00540563"/>
    <w:rsid w:val="00540606"/>
    <w:rsid w:val="005411AC"/>
    <w:rsid w:val="00541870"/>
    <w:rsid w:val="005436EC"/>
    <w:rsid w:val="00543DD3"/>
    <w:rsid w:val="00544A37"/>
    <w:rsid w:val="00545971"/>
    <w:rsid w:val="00550147"/>
    <w:rsid w:val="00550AC2"/>
    <w:rsid w:val="00551FDB"/>
    <w:rsid w:val="00554D18"/>
    <w:rsid w:val="0056501A"/>
    <w:rsid w:val="00571AD4"/>
    <w:rsid w:val="00573886"/>
    <w:rsid w:val="00573EE2"/>
    <w:rsid w:val="00577D19"/>
    <w:rsid w:val="005907CD"/>
    <w:rsid w:val="005A2139"/>
    <w:rsid w:val="005A37E5"/>
    <w:rsid w:val="005A4EB8"/>
    <w:rsid w:val="005A50EB"/>
    <w:rsid w:val="005A5BBA"/>
    <w:rsid w:val="005A5F08"/>
    <w:rsid w:val="005B3143"/>
    <w:rsid w:val="005B31D7"/>
    <w:rsid w:val="005B460E"/>
    <w:rsid w:val="005C150C"/>
    <w:rsid w:val="005C318A"/>
    <w:rsid w:val="005D52F3"/>
    <w:rsid w:val="005E1193"/>
    <w:rsid w:val="005E5A67"/>
    <w:rsid w:val="005E7865"/>
    <w:rsid w:val="005E7EC0"/>
    <w:rsid w:val="005F2D95"/>
    <w:rsid w:val="005F6BD8"/>
    <w:rsid w:val="005F7E72"/>
    <w:rsid w:val="005F7EAE"/>
    <w:rsid w:val="0060397A"/>
    <w:rsid w:val="0060554F"/>
    <w:rsid w:val="006135FD"/>
    <w:rsid w:val="0061438C"/>
    <w:rsid w:val="006166CE"/>
    <w:rsid w:val="0062060D"/>
    <w:rsid w:val="006218E4"/>
    <w:rsid w:val="00623C47"/>
    <w:rsid w:val="0062747C"/>
    <w:rsid w:val="0062786E"/>
    <w:rsid w:val="00636142"/>
    <w:rsid w:val="006365D5"/>
    <w:rsid w:val="0064160C"/>
    <w:rsid w:val="00643131"/>
    <w:rsid w:val="00646E6F"/>
    <w:rsid w:val="00650123"/>
    <w:rsid w:val="006509E8"/>
    <w:rsid w:val="00651B48"/>
    <w:rsid w:val="006542CA"/>
    <w:rsid w:val="006548C4"/>
    <w:rsid w:val="0066135D"/>
    <w:rsid w:val="00662758"/>
    <w:rsid w:val="00662AC6"/>
    <w:rsid w:val="00664259"/>
    <w:rsid w:val="00664867"/>
    <w:rsid w:val="00667012"/>
    <w:rsid w:val="00675867"/>
    <w:rsid w:val="006768F0"/>
    <w:rsid w:val="00677078"/>
    <w:rsid w:val="00681F49"/>
    <w:rsid w:val="00682D62"/>
    <w:rsid w:val="006839FB"/>
    <w:rsid w:val="00683F9A"/>
    <w:rsid w:val="006859AC"/>
    <w:rsid w:val="006859FD"/>
    <w:rsid w:val="00685AF9"/>
    <w:rsid w:val="0068617E"/>
    <w:rsid w:val="006870AB"/>
    <w:rsid w:val="006902C0"/>
    <w:rsid w:val="00690415"/>
    <w:rsid w:val="00691527"/>
    <w:rsid w:val="006939E7"/>
    <w:rsid w:val="006A2F6C"/>
    <w:rsid w:val="006A3BE2"/>
    <w:rsid w:val="006A4E81"/>
    <w:rsid w:val="006A5A20"/>
    <w:rsid w:val="006B2F00"/>
    <w:rsid w:val="006B4027"/>
    <w:rsid w:val="006B58D8"/>
    <w:rsid w:val="006B7185"/>
    <w:rsid w:val="006C5ED3"/>
    <w:rsid w:val="006C61E8"/>
    <w:rsid w:val="006D18F3"/>
    <w:rsid w:val="006D2B43"/>
    <w:rsid w:val="006D39DF"/>
    <w:rsid w:val="006D65EC"/>
    <w:rsid w:val="006E26DC"/>
    <w:rsid w:val="006E6A2F"/>
    <w:rsid w:val="006E70A0"/>
    <w:rsid w:val="006F32FB"/>
    <w:rsid w:val="006F66F1"/>
    <w:rsid w:val="007046C5"/>
    <w:rsid w:val="00704D83"/>
    <w:rsid w:val="007052FC"/>
    <w:rsid w:val="00705D83"/>
    <w:rsid w:val="00710AF5"/>
    <w:rsid w:val="00710E0C"/>
    <w:rsid w:val="007131CE"/>
    <w:rsid w:val="00716355"/>
    <w:rsid w:val="0072112F"/>
    <w:rsid w:val="00724267"/>
    <w:rsid w:val="00725BF5"/>
    <w:rsid w:val="007320FB"/>
    <w:rsid w:val="007362E3"/>
    <w:rsid w:val="007408D1"/>
    <w:rsid w:val="00741E71"/>
    <w:rsid w:val="00743390"/>
    <w:rsid w:val="00743627"/>
    <w:rsid w:val="00743E6A"/>
    <w:rsid w:val="0074636A"/>
    <w:rsid w:val="00753B64"/>
    <w:rsid w:val="007563D8"/>
    <w:rsid w:val="0076114C"/>
    <w:rsid w:val="00762590"/>
    <w:rsid w:val="0076280C"/>
    <w:rsid w:val="007648F0"/>
    <w:rsid w:val="0076667F"/>
    <w:rsid w:val="007672BB"/>
    <w:rsid w:val="00771B91"/>
    <w:rsid w:val="00772415"/>
    <w:rsid w:val="007725B8"/>
    <w:rsid w:val="00772FF0"/>
    <w:rsid w:val="007748AF"/>
    <w:rsid w:val="007753A0"/>
    <w:rsid w:val="00776CDE"/>
    <w:rsid w:val="007815BB"/>
    <w:rsid w:val="007824F4"/>
    <w:rsid w:val="00782848"/>
    <w:rsid w:val="00784109"/>
    <w:rsid w:val="0078410A"/>
    <w:rsid w:val="0078525A"/>
    <w:rsid w:val="00785FC5"/>
    <w:rsid w:val="0078631B"/>
    <w:rsid w:val="0078653C"/>
    <w:rsid w:val="00791A2B"/>
    <w:rsid w:val="00791B3A"/>
    <w:rsid w:val="00791E6F"/>
    <w:rsid w:val="00792EE9"/>
    <w:rsid w:val="0079572A"/>
    <w:rsid w:val="007969EF"/>
    <w:rsid w:val="007A1121"/>
    <w:rsid w:val="007A1122"/>
    <w:rsid w:val="007A15A6"/>
    <w:rsid w:val="007A41BD"/>
    <w:rsid w:val="007A6A4D"/>
    <w:rsid w:val="007A74F9"/>
    <w:rsid w:val="007A7C7B"/>
    <w:rsid w:val="007B152D"/>
    <w:rsid w:val="007B358E"/>
    <w:rsid w:val="007B48B8"/>
    <w:rsid w:val="007C0F6D"/>
    <w:rsid w:val="007D14AE"/>
    <w:rsid w:val="007D325D"/>
    <w:rsid w:val="007E3027"/>
    <w:rsid w:val="007E38CD"/>
    <w:rsid w:val="007E5614"/>
    <w:rsid w:val="007E768B"/>
    <w:rsid w:val="007F13CC"/>
    <w:rsid w:val="007F2512"/>
    <w:rsid w:val="007F2DE8"/>
    <w:rsid w:val="007F3E94"/>
    <w:rsid w:val="007F4493"/>
    <w:rsid w:val="007F4C72"/>
    <w:rsid w:val="007F5903"/>
    <w:rsid w:val="007F71F9"/>
    <w:rsid w:val="008011E7"/>
    <w:rsid w:val="0080323F"/>
    <w:rsid w:val="00805BDB"/>
    <w:rsid w:val="008063BB"/>
    <w:rsid w:val="00812394"/>
    <w:rsid w:val="008123FF"/>
    <w:rsid w:val="0081387C"/>
    <w:rsid w:val="0081474E"/>
    <w:rsid w:val="008171F9"/>
    <w:rsid w:val="00826BAD"/>
    <w:rsid w:val="0083053E"/>
    <w:rsid w:val="00831B5E"/>
    <w:rsid w:val="00832F5B"/>
    <w:rsid w:val="00841AC4"/>
    <w:rsid w:val="00845A34"/>
    <w:rsid w:val="00852192"/>
    <w:rsid w:val="00852BBB"/>
    <w:rsid w:val="00856806"/>
    <w:rsid w:val="00856D3C"/>
    <w:rsid w:val="00860609"/>
    <w:rsid w:val="00863FC3"/>
    <w:rsid w:val="0087199F"/>
    <w:rsid w:val="00871CBD"/>
    <w:rsid w:val="00874C1A"/>
    <w:rsid w:val="00880B97"/>
    <w:rsid w:val="00881800"/>
    <w:rsid w:val="00883A3E"/>
    <w:rsid w:val="008845ED"/>
    <w:rsid w:val="0088579E"/>
    <w:rsid w:val="00885B2F"/>
    <w:rsid w:val="008875C1"/>
    <w:rsid w:val="00891E25"/>
    <w:rsid w:val="008926E5"/>
    <w:rsid w:val="008926F3"/>
    <w:rsid w:val="008A04D3"/>
    <w:rsid w:val="008A4116"/>
    <w:rsid w:val="008B3925"/>
    <w:rsid w:val="008B4F0F"/>
    <w:rsid w:val="008C000E"/>
    <w:rsid w:val="008C1795"/>
    <w:rsid w:val="008C2254"/>
    <w:rsid w:val="008C3938"/>
    <w:rsid w:val="008C3A59"/>
    <w:rsid w:val="008C4B0D"/>
    <w:rsid w:val="008E1286"/>
    <w:rsid w:val="008E19F3"/>
    <w:rsid w:val="008E1F4A"/>
    <w:rsid w:val="008F2AEC"/>
    <w:rsid w:val="008F36CB"/>
    <w:rsid w:val="008F3C6D"/>
    <w:rsid w:val="008F6AAF"/>
    <w:rsid w:val="00901DB4"/>
    <w:rsid w:val="00901E1F"/>
    <w:rsid w:val="0090292E"/>
    <w:rsid w:val="009066E9"/>
    <w:rsid w:val="00906E67"/>
    <w:rsid w:val="009144B1"/>
    <w:rsid w:val="00915ADA"/>
    <w:rsid w:val="00916B03"/>
    <w:rsid w:val="0092097A"/>
    <w:rsid w:val="009222C9"/>
    <w:rsid w:val="009228CF"/>
    <w:rsid w:val="00925499"/>
    <w:rsid w:val="00930569"/>
    <w:rsid w:val="00931F18"/>
    <w:rsid w:val="00932625"/>
    <w:rsid w:val="009343CC"/>
    <w:rsid w:val="009344C2"/>
    <w:rsid w:val="00934CD7"/>
    <w:rsid w:val="009412B0"/>
    <w:rsid w:val="00944E57"/>
    <w:rsid w:val="0094645B"/>
    <w:rsid w:val="0094705C"/>
    <w:rsid w:val="00957739"/>
    <w:rsid w:val="00957B41"/>
    <w:rsid w:val="009631E0"/>
    <w:rsid w:val="009649D2"/>
    <w:rsid w:val="009660BD"/>
    <w:rsid w:val="009674F1"/>
    <w:rsid w:val="009750FA"/>
    <w:rsid w:val="009771E2"/>
    <w:rsid w:val="00977540"/>
    <w:rsid w:val="009834E2"/>
    <w:rsid w:val="00985DC8"/>
    <w:rsid w:val="009A4FC0"/>
    <w:rsid w:val="009A52BA"/>
    <w:rsid w:val="009A69B1"/>
    <w:rsid w:val="009A700C"/>
    <w:rsid w:val="009B1D25"/>
    <w:rsid w:val="009C0ECA"/>
    <w:rsid w:val="009C16D4"/>
    <w:rsid w:val="009C45BA"/>
    <w:rsid w:val="009C7948"/>
    <w:rsid w:val="009C79BD"/>
    <w:rsid w:val="009D01A2"/>
    <w:rsid w:val="009D24BB"/>
    <w:rsid w:val="009D44DD"/>
    <w:rsid w:val="009D64B2"/>
    <w:rsid w:val="009D729E"/>
    <w:rsid w:val="009D7493"/>
    <w:rsid w:val="009E233F"/>
    <w:rsid w:val="009E317D"/>
    <w:rsid w:val="009E31C0"/>
    <w:rsid w:val="009E3B52"/>
    <w:rsid w:val="009F2CB2"/>
    <w:rsid w:val="009F342D"/>
    <w:rsid w:val="009F3DA2"/>
    <w:rsid w:val="009F59EE"/>
    <w:rsid w:val="009F6CFC"/>
    <w:rsid w:val="00A008B8"/>
    <w:rsid w:val="00A04BAE"/>
    <w:rsid w:val="00A069E2"/>
    <w:rsid w:val="00A07639"/>
    <w:rsid w:val="00A10289"/>
    <w:rsid w:val="00A106F8"/>
    <w:rsid w:val="00A10BF9"/>
    <w:rsid w:val="00A11C90"/>
    <w:rsid w:val="00A12900"/>
    <w:rsid w:val="00A1395B"/>
    <w:rsid w:val="00A13D4D"/>
    <w:rsid w:val="00A14701"/>
    <w:rsid w:val="00A16A29"/>
    <w:rsid w:val="00A16E82"/>
    <w:rsid w:val="00A2244B"/>
    <w:rsid w:val="00A22B56"/>
    <w:rsid w:val="00A252BA"/>
    <w:rsid w:val="00A26285"/>
    <w:rsid w:val="00A27A7B"/>
    <w:rsid w:val="00A36CBA"/>
    <w:rsid w:val="00A36D79"/>
    <w:rsid w:val="00A41EA4"/>
    <w:rsid w:val="00A44FE0"/>
    <w:rsid w:val="00A4618A"/>
    <w:rsid w:val="00A50D03"/>
    <w:rsid w:val="00A522F5"/>
    <w:rsid w:val="00A566B1"/>
    <w:rsid w:val="00A61269"/>
    <w:rsid w:val="00A624BA"/>
    <w:rsid w:val="00A672BC"/>
    <w:rsid w:val="00A712B2"/>
    <w:rsid w:val="00A720B2"/>
    <w:rsid w:val="00A74214"/>
    <w:rsid w:val="00A7796E"/>
    <w:rsid w:val="00A86544"/>
    <w:rsid w:val="00A9085F"/>
    <w:rsid w:val="00A92C95"/>
    <w:rsid w:val="00A93A25"/>
    <w:rsid w:val="00AA0920"/>
    <w:rsid w:val="00AA3055"/>
    <w:rsid w:val="00AA469A"/>
    <w:rsid w:val="00AA5141"/>
    <w:rsid w:val="00AA6E6D"/>
    <w:rsid w:val="00AA715C"/>
    <w:rsid w:val="00AA7977"/>
    <w:rsid w:val="00AA79D9"/>
    <w:rsid w:val="00AB50FF"/>
    <w:rsid w:val="00AC4BEC"/>
    <w:rsid w:val="00AC57BB"/>
    <w:rsid w:val="00AC614D"/>
    <w:rsid w:val="00AD1F39"/>
    <w:rsid w:val="00AD4BC3"/>
    <w:rsid w:val="00AD647D"/>
    <w:rsid w:val="00AE2698"/>
    <w:rsid w:val="00AE313F"/>
    <w:rsid w:val="00AE34F4"/>
    <w:rsid w:val="00AF042F"/>
    <w:rsid w:val="00B00C49"/>
    <w:rsid w:val="00B0200B"/>
    <w:rsid w:val="00B03105"/>
    <w:rsid w:val="00B03461"/>
    <w:rsid w:val="00B0766F"/>
    <w:rsid w:val="00B07F42"/>
    <w:rsid w:val="00B10787"/>
    <w:rsid w:val="00B11974"/>
    <w:rsid w:val="00B12CF8"/>
    <w:rsid w:val="00B13035"/>
    <w:rsid w:val="00B225A2"/>
    <w:rsid w:val="00B244B9"/>
    <w:rsid w:val="00B24559"/>
    <w:rsid w:val="00B27020"/>
    <w:rsid w:val="00B27178"/>
    <w:rsid w:val="00B310C3"/>
    <w:rsid w:val="00B42229"/>
    <w:rsid w:val="00B43ABC"/>
    <w:rsid w:val="00B44FA9"/>
    <w:rsid w:val="00B51125"/>
    <w:rsid w:val="00B51F55"/>
    <w:rsid w:val="00B52CDF"/>
    <w:rsid w:val="00B5679C"/>
    <w:rsid w:val="00B60D60"/>
    <w:rsid w:val="00B63CDD"/>
    <w:rsid w:val="00B65687"/>
    <w:rsid w:val="00B6589C"/>
    <w:rsid w:val="00B65A3B"/>
    <w:rsid w:val="00B67AF0"/>
    <w:rsid w:val="00B72C6B"/>
    <w:rsid w:val="00B72E16"/>
    <w:rsid w:val="00B73012"/>
    <w:rsid w:val="00B83D7B"/>
    <w:rsid w:val="00B91131"/>
    <w:rsid w:val="00B94E88"/>
    <w:rsid w:val="00B95BB2"/>
    <w:rsid w:val="00B95EBA"/>
    <w:rsid w:val="00BA04AB"/>
    <w:rsid w:val="00BA23D8"/>
    <w:rsid w:val="00BA35C9"/>
    <w:rsid w:val="00BA3EE0"/>
    <w:rsid w:val="00BA786D"/>
    <w:rsid w:val="00BB4D49"/>
    <w:rsid w:val="00BB6439"/>
    <w:rsid w:val="00BB675F"/>
    <w:rsid w:val="00BC331B"/>
    <w:rsid w:val="00BC331D"/>
    <w:rsid w:val="00BC3E08"/>
    <w:rsid w:val="00BD17B0"/>
    <w:rsid w:val="00BD3E59"/>
    <w:rsid w:val="00BD4403"/>
    <w:rsid w:val="00BD56B7"/>
    <w:rsid w:val="00BD5A47"/>
    <w:rsid w:val="00BD5FB6"/>
    <w:rsid w:val="00BE2BCC"/>
    <w:rsid w:val="00BE3896"/>
    <w:rsid w:val="00BE424D"/>
    <w:rsid w:val="00BE7068"/>
    <w:rsid w:val="00BE768F"/>
    <w:rsid w:val="00C03192"/>
    <w:rsid w:val="00C10C80"/>
    <w:rsid w:val="00C11CD5"/>
    <w:rsid w:val="00C23E32"/>
    <w:rsid w:val="00C251C4"/>
    <w:rsid w:val="00C266F9"/>
    <w:rsid w:val="00C314C1"/>
    <w:rsid w:val="00C31917"/>
    <w:rsid w:val="00C37B8E"/>
    <w:rsid w:val="00C40571"/>
    <w:rsid w:val="00C40D7F"/>
    <w:rsid w:val="00C41741"/>
    <w:rsid w:val="00C41DD9"/>
    <w:rsid w:val="00C427DA"/>
    <w:rsid w:val="00C42C49"/>
    <w:rsid w:val="00C42FAF"/>
    <w:rsid w:val="00C521D9"/>
    <w:rsid w:val="00C568FB"/>
    <w:rsid w:val="00C56D0A"/>
    <w:rsid w:val="00C7063D"/>
    <w:rsid w:val="00C7255C"/>
    <w:rsid w:val="00C72FDA"/>
    <w:rsid w:val="00C734F1"/>
    <w:rsid w:val="00C73AA7"/>
    <w:rsid w:val="00C73DAB"/>
    <w:rsid w:val="00C85569"/>
    <w:rsid w:val="00C863A3"/>
    <w:rsid w:val="00C864DC"/>
    <w:rsid w:val="00C90075"/>
    <w:rsid w:val="00C915B4"/>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2EC2"/>
    <w:rsid w:val="00CD3324"/>
    <w:rsid w:val="00CD5FBC"/>
    <w:rsid w:val="00CD6162"/>
    <w:rsid w:val="00CE4309"/>
    <w:rsid w:val="00CE6C6E"/>
    <w:rsid w:val="00CF42B9"/>
    <w:rsid w:val="00CF580B"/>
    <w:rsid w:val="00CF7819"/>
    <w:rsid w:val="00D01832"/>
    <w:rsid w:val="00D04527"/>
    <w:rsid w:val="00D21C96"/>
    <w:rsid w:val="00D30854"/>
    <w:rsid w:val="00D31127"/>
    <w:rsid w:val="00D33134"/>
    <w:rsid w:val="00D366B5"/>
    <w:rsid w:val="00D4052C"/>
    <w:rsid w:val="00D447AC"/>
    <w:rsid w:val="00D4538C"/>
    <w:rsid w:val="00D4539F"/>
    <w:rsid w:val="00D458F0"/>
    <w:rsid w:val="00D472C6"/>
    <w:rsid w:val="00D5079D"/>
    <w:rsid w:val="00D535DF"/>
    <w:rsid w:val="00D54957"/>
    <w:rsid w:val="00D55BD2"/>
    <w:rsid w:val="00D57CA6"/>
    <w:rsid w:val="00D6041B"/>
    <w:rsid w:val="00D60D98"/>
    <w:rsid w:val="00D61018"/>
    <w:rsid w:val="00D6265B"/>
    <w:rsid w:val="00D66D12"/>
    <w:rsid w:val="00D72F33"/>
    <w:rsid w:val="00D7707C"/>
    <w:rsid w:val="00D80B6D"/>
    <w:rsid w:val="00D80CAD"/>
    <w:rsid w:val="00D8513A"/>
    <w:rsid w:val="00D85BBB"/>
    <w:rsid w:val="00D90628"/>
    <w:rsid w:val="00D92D49"/>
    <w:rsid w:val="00D930E7"/>
    <w:rsid w:val="00D93623"/>
    <w:rsid w:val="00D93D7A"/>
    <w:rsid w:val="00D9690A"/>
    <w:rsid w:val="00DA073A"/>
    <w:rsid w:val="00DA08E6"/>
    <w:rsid w:val="00DA244F"/>
    <w:rsid w:val="00DA50BA"/>
    <w:rsid w:val="00DA55A8"/>
    <w:rsid w:val="00DA7B87"/>
    <w:rsid w:val="00DB0266"/>
    <w:rsid w:val="00DB0F40"/>
    <w:rsid w:val="00DB63D9"/>
    <w:rsid w:val="00DB7514"/>
    <w:rsid w:val="00DB795C"/>
    <w:rsid w:val="00DB7E77"/>
    <w:rsid w:val="00DC0B27"/>
    <w:rsid w:val="00DC1667"/>
    <w:rsid w:val="00DC2FCA"/>
    <w:rsid w:val="00DC30D0"/>
    <w:rsid w:val="00DC7E88"/>
    <w:rsid w:val="00DD3AB0"/>
    <w:rsid w:val="00DD68B5"/>
    <w:rsid w:val="00DD7FC1"/>
    <w:rsid w:val="00DF0000"/>
    <w:rsid w:val="00DF020C"/>
    <w:rsid w:val="00DF05CC"/>
    <w:rsid w:val="00DF4BD2"/>
    <w:rsid w:val="00DF5A2C"/>
    <w:rsid w:val="00DF7709"/>
    <w:rsid w:val="00DF7D1B"/>
    <w:rsid w:val="00E00DC6"/>
    <w:rsid w:val="00E01A0A"/>
    <w:rsid w:val="00E02B4A"/>
    <w:rsid w:val="00E058A3"/>
    <w:rsid w:val="00E06422"/>
    <w:rsid w:val="00E11439"/>
    <w:rsid w:val="00E151F3"/>
    <w:rsid w:val="00E161C6"/>
    <w:rsid w:val="00E17539"/>
    <w:rsid w:val="00E21CDE"/>
    <w:rsid w:val="00E225BA"/>
    <w:rsid w:val="00E2483C"/>
    <w:rsid w:val="00E26CF0"/>
    <w:rsid w:val="00E31346"/>
    <w:rsid w:val="00E33BF5"/>
    <w:rsid w:val="00E36C23"/>
    <w:rsid w:val="00E376F8"/>
    <w:rsid w:val="00E40550"/>
    <w:rsid w:val="00E41C99"/>
    <w:rsid w:val="00E423B5"/>
    <w:rsid w:val="00E4313E"/>
    <w:rsid w:val="00E43F59"/>
    <w:rsid w:val="00E448C8"/>
    <w:rsid w:val="00E47FF9"/>
    <w:rsid w:val="00E518BB"/>
    <w:rsid w:val="00E56A60"/>
    <w:rsid w:val="00E57F9B"/>
    <w:rsid w:val="00E6726D"/>
    <w:rsid w:val="00E76043"/>
    <w:rsid w:val="00E77BCA"/>
    <w:rsid w:val="00E81433"/>
    <w:rsid w:val="00E81C95"/>
    <w:rsid w:val="00E8372E"/>
    <w:rsid w:val="00E84B41"/>
    <w:rsid w:val="00E852A3"/>
    <w:rsid w:val="00E93958"/>
    <w:rsid w:val="00EA01CC"/>
    <w:rsid w:val="00EA0C1C"/>
    <w:rsid w:val="00EA3819"/>
    <w:rsid w:val="00EA477A"/>
    <w:rsid w:val="00EA4F68"/>
    <w:rsid w:val="00EB1036"/>
    <w:rsid w:val="00EB4746"/>
    <w:rsid w:val="00EB4785"/>
    <w:rsid w:val="00EB48E6"/>
    <w:rsid w:val="00EB716B"/>
    <w:rsid w:val="00EC3BED"/>
    <w:rsid w:val="00EC7BC1"/>
    <w:rsid w:val="00EC7F0E"/>
    <w:rsid w:val="00ED1BBB"/>
    <w:rsid w:val="00ED2D1F"/>
    <w:rsid w:val="00ED47B9"/>
    <w:rsid w:val="00ED58E9"/>
    <w:rsid w:val="00ED79D6"/>
    <w:rsid w:val="00EE1831"/>
    <w:rsid w:val="00EE3451"/>
    <w:rsid w:val="00EE63BE"/>
    <w:rsid w:val="00EE6922"/>
    <w:rsid w:val="00EF0284"/>
    <w:rsid w:val="00EF18D9"/>
    <w:rsid w:val="00EF1AE7"/>
    <w:rsid w:val="00EF2F7C"/>
    <w:rsid w:val="00EF318B"/>
    <w:rsid w:val="00EF6D8C"/>
    <w:rsid w:val="00F01A8D"/>
    <w:rsid w:val="00F01BFC"/>
    <w:rsid w:val="00F02356"/>
    <w:rsid w:val="00F02D95"/>
    <w:rsid w:val="00F101B3"/>
    <w:rsid w:val="00F10A3C"/>
    <w:rsid w:val="00F13FDA"/>
    <w:rsid w:val="00F14982"/>
    <w:rsid w:val="00F14B6E"/>
    <w:rsid w:val="00F20B64"/>
    <w:rsid w:val="00F20D55"/>
    <w:rsid w:val="00F21D05"/>
    <w:rsid w:val="00F250B8"/>
    <w:rsid w:val="00F253CD"/>
    <w:rsid w:val="00F2598D"/>
    <w:rsid w:val="00F259AE"/>
    <w:rsid w:val="00F30F02"/>
    <w:rsid w:val="00F31B7E"/>
    <w:rsid w:val="00F336A2"/>
    <w:rsid w:val="00F33826"/>
    <w:rsid w:val="00F33D58"/>
    <w:rsid w:val="00F34E7C"/>
    <w:rsid w:val="00F3561E"/>
    <w:rsid w:val="00F36EC6"/>
    <w:rsid w:val="00F4229F"/>
    <w:rsid w:val="00F44AEB"/>
    <w:rsid w:val="00F45620"/>
    <w:rsid w:val="00F46BBD"/>
    <w:rsid w:val="00F479A2"/>
    <w:rsid w:val="00F51B95"/>
    <w:rsid w:val="00F5432C"/>
    <w:rsid w:val="00F5470D"/>
    <w:rsid w:val="00F5611C"/>
    <w:rsid w:val="00F637FB"/>
    <w:rsid w:val="00F640A4"/>
    <w:rsid w:val="00F66B41"/>
    <w:rsid w:val="00F712AB"/>
    <w:rsid w:val="00F77D7D"/>
    <w:rsid w:val="00F80CD0"/>
    <w:rsid w:val="00F82DDB"/>
    <w:rsid w:val="00F838FF"/>
    <w:rsid w:val="00F83CDB"/>
    <w:rsid w:val="00F8771B"/>
    <w:rsid w:val="00F90003"/>
    <w:rsid w:val="00F9173C"/>
    <w:rsid w:val="00F94180"/>
    <w:rsid w:val="00FA1C73"/>
    <w:rsid w:val="00FA69C2"/>
    <w:rsid w:val="00FA6B22"/>
    <w:rsid w:val="00FA6E63"/>
    <w:rsid w:val="00FA73E5"/>
    <w:rsid w:val="00FB18D0"/>
    <w:rsid w:val="00FB2ED6"/>
    <w:rsid w:val="00FB3309"/>
    <w:rsid w:val="00FB53F1"/>
    <w:rsid w:val="00FC0973"/>
    <w:rsid w:val="00FC2216"/>
    <w:rsid w:val="00FC23FE"/>
    <w:rsid w:val="00FC2522"/>
    <w:rsid w:val="00FC309B"/>
    <w:rsid w:val="00FC5B56"/>
    <w:rsid w:val="00FC7D97"/>
    <w:rsid w:val="00FD43E4"/>
    <w:rsid w:val="00FD4B12"/>
    <w:rsid w:val="00FD7195"/>
    <w:rsid w:val="00FD747A"/>
    <w:rsid w:val="00FE10BB"/>
    <w:rsid w:val="00FE3038"/>
    <w:rsid w:val="00FE4313"/>
    <w:rsid w:val="00FE6055"/>
    <w:rsid w:val="00FE619E"/>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image" Target="media/image4.jp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hyperlink" Target="https://www.cnb.cz/cs/menova-politika/prognoza/" TargetMode="Externa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hyperlink" Target="https://www.bcas.cz/o-nas/broker-consulting-index-spotrebitelskych-uve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hyperlink" Target="https://brokerfriend.bcas.cz/" TargetMode="External"/><Relationship Id="rId10" Type="http://schemas.openxmlformats.org/officeDocument/2006/relationships/hyperlink" Target="http://okpointy.cz" TargetMode="External"/><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https://www.mfcr.cz/cs/ministerstvo/media/tiskove-zpravy/2023/prehledne-ktere-zmeny-prinese-rok-2024-nejen-pro-o-54178"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97020-3B32-4785-894B-4D1D5FD4A2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3</Pages>
  <Words>1176</Words>
  <Characters>6942</Characters>
  <Application>Microsoft Office Word</Application>
  <DocSecurity>0</DocSecurity>
  <Lines>57</Lines>
  <Paragraphs>16</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8102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28</cp:revision>
  <dcterms:created xsi:type="dcterms:W3CDTF">2023-11-29T09:00:00Z</dcterms:created>
  <dcterms:modified xsi:type="dcterms:W3CDTF">2024-01-09T12:49:00Z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