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14DBE9" w14:textId="6E0639B0" w:rsidR="00677C07" w:rsidRDefault="00677C07">
      <w:pPr>
        <w:rPr>
          <w:highlight w:val="yellow"/>
        </w:rPr>
      </w:pPr>
    </w:p>
    <w:sdt>
      <w:sdtPr>
        <w:rPr>
          <w:highlight w:val="yellow"/>
        </w:rPr>
        <w:id w:val="120037484"/>
        <w:docPartObj>
          <w:docPartGallery w:val="Cover Pages"/>
          <w:docPartUnique/>
        </w:docPartObj>
      </w:sdtPr>
      <w:sdtEndPr>
        <w:rPr>
          <w:rFonts w:ascii="Arial" w:hAnsi="Arial" w:cs="Arial"/>
          <w:sz w:val="20"/>
          <w:szCs w:val="20"/>
        </w:rPr>
      </w:sdtEndPr>
      <w:sdtContent>
        <w:p w14:paraId="7ED014A1" w14:textId="55F827D2" w:rsidR="00D80B6D" w:rsidRPr="00B346ED" w:rsidRDefault="00D80B6D" w:rsidP="00B346ED">
          <w:pPr>
            <w:rPr>
              <w:highlight w:val="yellow"/>
            </w:rPr>
          </w:pPr>
        </w:p>
        <w:p w14:paraId="0FB45B67" w14:textId="77777777" w:rsidR="00D80B6D" w:rsidRPr="007443AD" w:rsidRDefault="00D80B6D" w:rsidP="00D80B6D">
          <w:pPr>
            <w:spacing w:before="230"/>
            <w:ind w:left="165"/>
            <w:jc w:val="center"/>
            <w:rPr>
              <w:rFonts w:asciiTheme="minorHAnsi" w:hAnsiTheme="minorHAnsi" w:cstheme="minorHAnsi"/>
              <w:sz w:val="24"/>
            </w:rPr>
          </w:pPr>
          <w:r w:rsidRPr="007443AD">
            <w:rPr>
              <w:rFonts w:asciiTheme="minorHAnsi" w:hAnsiTheme="minorHAnsi" w:cstheme="minorHAnsi"/>
              <w:b/>
              <w:sz w:val="24"/>
            </w:rPr>
            <w:t>INDEX HYPOTEČNÍCH ÚVĚRŮ</w:t>
          </w:r>
          <w:r w:rsidRPr="007443AD">
            <w:rPr>
              <w:rFonts w:asciiTheme="minorHAnsi" w:hAnsiTheme="minorHAnsi" w:cstheme="minorHAnsi"/>
              <w:sz w:val="24"/>
            </w:rPr>
            <w:t xml:space="preserve"> | </w:t>
          </w:r>
          <w:r w:rsidRPr="007443AD">
            <w:rPr>
              <w:rFonts w:asciiTheme="minorHAnsi" w:hAnsiTheme="minorHAnsi" w:cstheme="minorHAnsi"/>
              <w:b/>
              <w:sz w:val="24"/>
            </w:rPr>
            <w:t xml:space="preserve">FIXINDEX </w:t>
          </w:r>
        </w:p>
        <w:p w14:paraId="03C4DE47" w14:textId="137DE246" w:rsidR="0009776B" w:rsidRDefault="00D80B6D" w:rsidP="005F65A1">
          <w:pPr>
            <w:spacing w:before="230"/>
            <w:ind w:left="165"/>
            <w:jc w:val="center"/>
            <w:rPr>
              <w:rFonts w:asciiTheme="minorHAnsi" w:hAnsiTheme="minorHAnsi" w:cstheme="minorHAnsi"/>
              <w:sz w:val="24"/>
            </w:rPr>
          </w:pPr>
          <w:r w:rsidRPr="007443AD">
            <w:rPr>
              <w:rFonts w:asciiTheme="minorHAnsi" w:hAnsiTheme="minorHAnsi" w:cstheme="minorHAnsi"/>
              <w:sz w:val="24"/>
            </w:rPr>
            <w:t xml:space="preserve">INDEX PODÍLOVÝCH FONDŮ </w:t>
          </w:r>
        </w:p>
        <w:p w14:paraId="5F5E486E" w14:textId="2A454C45" w:rsidR="004B5B94" w:rsidRPr="007443AD" w:rsidRDefault="004B5B94" w:rsidP="005F65A1">
          <w:pPr>
            <w:spacing w:before="230"/>
            <w:ind w:left="165"/>
            <w:jc w:val="center"/>
            <w:rPr>
              <w:rFonts w:asciiTheme="minorHAnsi" w:hAnsiTheme="minorHAnsi" w:cstheme="minorHAnsi"/>
              <w:sz w:val="24"/>
            </w:rPr>
          </w:pPr>
          <w:r>
            <w:rPr>
              <w:rFonts w:asciiTheme="minorHAnsi" w:hAnsiTheme="minorHAnsi" w:cstheme="minorHAnsi"/>
              <w:sz w:val="24"/>
            </w:rPr>
            <w:t>REALINDEX</w:t>
          </w:r>
        </w:p>
        <w:p w14:paraId="32900BCE" w14:textId="5904F9FC" w:rsidR="00D80B6D" w:rsidRPr="007443AD" w:rsidRDefault="00D80B6D" w:rsidP="00D80B6D">
          <w:pPr>
            <w:spacing w:before="230"/>
            <w:ind w:left="165"/>
            <w:jc w:val="center"/>
            <w:rPr>
              <w:rFonts w:asciiTheme="minorHAnsi" w:hAnsiTheme="minorHAnsi" w:cstheme="minorHAnsi"/>
              <w:sz w:val="24"/>
            </w:rPr>
          </w:pPr>
          <w:r w:rsidRPr="007443AD">
            <w:rPr>
              <w:rFonts w:asciiTheme="minorHAnsi" w:hAnsiTheme="minorHAnsi" w:cstheme="minorHAnsi"/>
              <w:sz w:val="24"/>
            </w:rPr>
            <w:t>P</w:t>
          </w:r>
          <w:r w:rsidR="005F65A1" w:rsidRPr="007443AD">
            <w:rPr>
              <w:rFonts w:asciiTheme="minorHAnsi" w:hAnsiTheme="minorHAnsi" w:cstheme="minorHAnsi"/>
              <w:sz w:val="24"/>
            </w:rPr>
            <w:t>OV</w:t>
          </w:r>
          <w:r w:rsidRPr="007443AD">
            <w:rPr>
              <w:rFonts w:asciiTheme="minorHAnsi" w:hAnsiTheme="minorHAnsi" w:cstheme="minorHAnsi"/>
              <w:sz w:val="24"/>
            </w:rPr>
            <w:t xml:space="preserve">INDEX </w:t>
          </w:r>
        </w:p>
        <w:p w14:paraId="5B21B8A6" w14:textId="77777777" w:rsidR="00D80B6D" w:rsidRPr="007443AD" w:rsidRDefault="00D80B6D" w:rsidP="00D80B6D">
          <w:pPr>
            <w:spacing w:before="230"/>
            <w:ind w:left="165"/>
            <w:jc w:val="center"/>
            <w:rPr>
              <w:rFonts w:asciiTheme="minorHAnsi" w:hAnsiTheme="minorHAnsi" w:cstheme="minorHAnsi"/>
              <w:sz w:val="24"/>
            </w:rPr>
          </w:pPr>
          <w:r w:rsidRPr="007443AD">
            <w:rPr>
              <w:rFonts w:asciiTheme="minorHAnsi" w:hAnsiTheme="minorHAnsi" w:cstheme="minorHAnsi"/>
              <w:sz w:val="24"/>
            </w:rPr>
            <w:t xml:space="preserve">INDEX SPOTŘEBITELSKÝCH ÚVĚRŮ  </w:t>
          </w:r>
        </w:p>
        <w:p w14:paraId="720CCDBB" w14:textId="77777777" w:rsidR="00D80B6D" w:rsidRPr="00D84B7D" w:rsidRDefault="00D80B6D" w:rsidP="00D80B6D">
          <w:pPr>
            <w:pStyle w:val="Zkladntext"/>
            <w:spacing w:before="240"/>
            <w:rPr>
              <w:sz w:val="20"/>
              <w:highlight w:val="yellow"/>
            </w:rPr>
          </w:pPr>
        </w:p>
        <w:p w14:paraId="703D71F2" w14:textId="77777777" w:rsidR="00D80B6D" w:rsidRPr="00D84B7D" w:rsidRDefault="00D80B6D" w:rsidP="00D80B6D">
          <w:pPr>
            <w:pStyle w:val="Zkladntext"/>
            <w:rPr>
              <w:sz w:val="20"/>
              <w:highlight w:val="yellow"/>
            </w:rPr>
          </w:pPr>
        </w:p>
        <w:p w14:paraId="00494A3A" w14:textId="77777777" w:rsidR="00D80B6D" w:rsidRPr="00D84B7D" w:rsidRDefault="00D80B6D" w:rsidP="00D80B6D">
          <w:pPr>
            <w:pStyle w:val="Zkladntext"/>
            <w:rPr>
              <w:sz w:val="20"/>
              <w:highlight w:val="yellow"/>
            </w:rPr>
          </w:pPr>
          <w:r w:rsidRPr="00D84B7D">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D84B7D" w:rsidRDefault="00D80B6D" w:rsidP="00D80B6D">
          <w:pPr>
            <w:pStyle w:val="Zkladntext"/>
            <w:rPr>
              <w:sz w:val="20"/>
              <w:highlight w:val="yellow"/>
            </w:rPr>
          </w:pPr>
        </w:p>
        <w:p w14:paraId="2A5F355C" w14:textId="77777777" w:rsidR="00D80B6D" w:rsidRPr="00D84B7D" w:rsidRDefault="00D80B6D" w:rsidP="00D80B6D">
          <w:pPr>
            <w:pStyle w:val="Zkladntext"/>
            <w:rPr>
              <w:sz w:val="20"/>
              <w:highlight w:val="yellow"/>
            </w:rPr>
          </w:pPr>
        </w:p>
        <w:p w14:paraId="218EE6CB" w14:textId="77777777" w:rsidR="00D80B6D" w:rsidRPr="00D84B7D" w:rsidRDefault="00D80B6D" w:rsidP="00D80B6D">
          <w:pPr>
            <w:pStyle w:val="Zkladntext"/>
            <w:rPr>
              <w:sz w:val="20"/>
              <w:highlight w:val="yellow"/>
            </w:rPr>
          </w:pPr>
        </w:p>
        <w:p w14:paraId="0238B3AB" w14:textId="77777777" w:rsidR="00D80B6D" w:rsidRPr="00D84B7D" w:rsidRDefault="00D80B6D" w:rsidP="00D80B6D">
          <w:pPr>
            <w:pStyle w:val="Zkladntext"/>
            <w:rPr>
              <w:sz w:val="20"/>
              <w:highlight w:val="yellow"/>
            </w:rPr>
          </w:pPr>
        </w:p>
        <w:p w14:paraId="54516A42" w14:textId="77777777" w:rsidR="00D80B6D" w:rsidRPr="00D84B7D" w:rsidRDefault="00D80B6D" w:rsidP="00D80B6D">
          <w:pPr>
            <w:pStyle w:val="Zkladntext"/>
            <w:rPr>
              <w:sz w:val="20"/>
              <w:highlight w:val="yellow"/>
            </w:rPr>
          </w:pPr>
        </w:p>
        <w:p w14:paraId="5266363A" w14:textId="77777777" w:rsidR="00D80B6D" w:rsidRPr="00D84B7D" w:rsidRDefault="00D80B6D" w:rsidP="00D80B6D">
          <w:pPr>
            <w:pStyle w:val="Zkladntext"/>
            <w:rPr>
              <w:sz w:val="20"/>
              <w:highlight w:val="yellow"/>
            </w:rPr>
          </w:pPr>
        </w:p>
        <w:p w14:paraId="363B2E28" w14:textId="77777777" w:rsidR="00D80B6D" w:rsidRPr="00D84B7D" w:rsidRDefault="00D80B6D" w:rsidP="00D80B6D">
          <w:pPr>
            <w:pStyle w:val="Zkladntext"/>
            <w:rPr>
              <w:sz w:val="20"/>
              <w:highlight w:val="yellow"/>
            </w:rPr>
          </w:pPr>
        </w:p>
        <w:p w14:paraId="17667B44" w14:textId="77777777" w:rsidR="00D80B6D" w:rsidRPr="00D84B7D" w:rsidRDefault="00D80B6D" w:rsidP="00D80B6D">
          <w:pPr>
            <w:pStyle w:val="Zkladntext"/>
            <w:jc w:val="both"/>
            <w:rPr>
              <w:rFonts w:ascii="Arial" w:hAnsi="Arial" w:cs="Arial"/>
              <w:sz w:val="20"/>
              <w:highlight w:val="yellow"/>
            </w:rPr>
          </w:pPr>
        </w:p>
        <w:p w14:paraId="5193A529" w14:textId="77777777" w:rsidR="00D80B6D" w:rsidRPr="00D84B7D" w:rsidRDefault="00D80B6D" w:rsidP="00D80B6D">
          <w:pPr>
            <w:pStyle w:val="Zkladntext"/>
            <w:jc w:val="both"/>
            <w:rPr>
              <w:rFonts w:ascii="Arial" w:hAnsi="Arial" w:cs="Arial"/>
              <w:b/>
              <w:sz w:val="20"/>
              <w:highlight w:val="yellow"/>
            </w:rPr>
          </w:pPr>
        </w:p>
        <w:p w14:paraId="2833FE59" w14:textId="77777777" w:rsidR="00D80B6D" w:rsidRPr="00D84B7D" w:rsidRDefault="00D80B6D" w:rsidP="00D80B6D">
          <w:pPr>
            <w:pStyle w:val="Zkladntext"/>
            <w:jc w:val="both"/>
            <w:rPr>
              <w:rFonts w:ascii="Arial" w:hAnsi="Arial" w:cs="Arial"/>
              <w:b/>
              <w:sz w:val="20"/>
              <w:highlight w:val="yellow"/>
            </w:rPr>
          </w:pPr>
        </w:p>
        <w:p w14:paraId="6DB157BF" w14:textId="77777777" w:rsidR="00D80B6D" w:rsidRPr="00D84B7D" w:rsidRDefault="00D80B6D" w:rsidP="00D80B6D">
          <w:pPr>
            <w:pStyle w:val="Zkladntext"/>
            <w:jc w:val="both"/>
            <w:rPr>
              <w:rFonts w:ascii="Arial" w:hAnsi="Arial" w:cs="Arial"/>
              <w:b/>
              <w:sz w:val="20"/>
              <w:highlight w:val="yellow"/>
            </w:rPr>
          </w:pPr>
        </w:p>
        <w:p w14:paraId="47803C2A" w14:textId="77777777" w:rsidR="00D80B6D" w:rsidRPr="00D84B7D" w:rsidRDefault="00D80B6D" w:rsidP="00D80B6D">
          <w:pPr>
            <w:pStyle w:val="Zkladntext"/>
            <w:jc w:val="both"/>
            <w:rPr>
              <w:rFonts w:ascii="Arial" w:hAnsi="Arial" w:cs="Arial"/>
              <w:b/>
              <w:sz w:val="20"/>
              <w:highlight w:val="yellow"/>
            </w:rPr>
          </w:pPr>
        </w:p>
        <w:p w14:paraId="1D90E1D0" w14:textId="77777777" w:rsidR="00D80B6D" w:rsidRPr="00D84B7D" w:rsidRDefault="00D80B6D" w:rsidP="00D80B6D">
          <w:pPr>
            <w:pStyle w:val="Zkladntext"/>
            <w:jc w:val="both"/>
            <w:rPr>
              <w:rFonts w:ascii="Arial" w:hAnsi="Arial" w:cs="Arial"/>
              <w:b/>
              <w:sz w:val="20"/>
              <w:highlight w:val="yellow"/>
            </w:rPr>
          </w:pPr>
        </w:p>
        <w:p w14:paraId="5A33B823" w14:textId="77777777" w:rsidR="00D80B6D" w:rsidRPr="00D84B7D" w:rsidRDefault="00D80B6D" w:rsidP="00D80B6D">
          <w:pPr>
            <w:pStyle w:val="Zkladntext"/>
            <w:jc w:val="both"/>
            <w:rPr>
              <w:rFonts w:ascii="Arial" w:hAnsi="Arial" w:cs="Arial"/>
              <w:b/>
              <w:sz w:val="20"/>
              <w:highlight w:val="yellow"/>
            </w:rPr>
          </w:pPr>
        </w:p>
        <w:p w14:paraId="0D2BECD0" w14:textId="77777777" w:rsidR="00D80B6D" w:rsidRPr="00D84B7D" w:rsidRDefault="00D80B6D" w:rsidP="00D80B6D">
          <w:pPr>
            <w:pStyle w:val="Zkladntext"/>
            <w:jc w:val="both"/>
            <w:rPr>
              <w:rFonts w:ascii="Arial" w:hAnsi="Arial" w:cs="Arial"/>
              <w:b/>
              <w:sz w:val="20"/>
              <w:highlight w:val="yellow"/>
            </w:rPr>
          </w:pPr>
        </w:p>
        <w:p w14:paraId="69288FB9" w14:textId="77777777" w:rsidR="00D80B6D" w:rsidRPr="00D84B7D" w:rsidRDefault="00D80B6D" w:rsidP="00D80B6D">
          <w:pPr>
            <w:pStyle w:val="Zkladntext"/>
            <w:jc w:val="both"/>
            <w:rPr>
              <w:rFonts w:ascii="Arial" w:hAnsi="Arial" w:cs="Arial"/>
              <w:b/>
              <w:sz w:val="20"/>
              <w:highlight w:val="yellow"/>
            </w:rPr>
          </w:pPr>
        </w:p>
        <w:p w14:paraId="541E93D5" w14:textId="77777777" w:rsidR="00D80B6D" w:rsidRPr="00D84B7D" w:rsidRDefault="00D80B6D" w:rsidP="00D80B6D">
          <w:pPr>
            <w:pStyle w:val="Zkladntext"/>
            <w:jc w:val="both"/>
            <w:rPr>
              <w:rFonts w:ascii="Arial" w:hAnsi="Arial" w:cs="Arial"/>
              <w:b/>
              <w:sz w:val="20"/>
              <w:highlight w:val="yellow"/>
            </w:rPr>
          </w:pPr>
        </w:p>
        <w:p w14:paraId="341A343C" w14:textId="77777777" w:rsidR="00D80B6D" w:rsidRPr="00D84B7D" w:rsidRDefault="00D80B6D" w:rsidP="00D80B6D">
          <w:pPr>
            <w:pStyle w:val="Zkladntext"/>
            <w:jc w:val="both"/>
            <w:rPr>
              <w:rFonts w:ascii="Arial" w:hAnsi="Arial" w:cs="Arial"/>
              <w:b/>
              <w:sz w:val="20"/>
              <w:highlight w:val="yellow"/>
            </w:rPr>
          </w:pPr>
        </w:p>
        <w:p w14:paraId="6C52C42D" w14:textId="77777777" w:rsidR="00D80B6D" w:rsidRPr="00D84B7D" w:rsidRDefault="00D80B6D" w:rsidP="00D80B6D">
          <w:pPr>
            <w:pStyle w:val="Zkladntext"/>
            <w:jc w:val="both"/>
            <w:rPr>
              <w:rFonts w:ascii="Arial" w:hAnsi="Arial" w:cs="Arial"/>
              <w:b/>
              <w:sz w:val="20"/>
              <w:highlight w:val="yellow"/>
            </w:rPr>
          </w:pPr>
        </w:p>
        <w:p w14:paraId="3E3CDF25" w14:textId="77777777" w:rsidR="00D80B6D" w:rsidRPr="00D84B7D" w:rsidRDefault="00D80B6D" w:rsidP="00D80B6D">
          <w:pPr>
            <w:pStyle w:val="Zkladntext"/>
            <w:jc w:val="both"/>
            <w:rPr>
              <w:rFonts w:ascii="Arial" w:hAnsi="Arial" w:cs="Arial"/>
              <w:b/>
              <w:sz w:val="20"/>
              <w:highlight w:val="yellow"/>
            </w:rPr>
          </w:pPr>
        </w:p>
        <w:p w14:paraId="40495E64" w14:textId="77777777" w:rsidR="00D80B6D" w:rsidRPr="00D84B7D" w:rsidRDefault="00D80B6D" w:rsidP="00D80B6D">
          <w:pPr>
            <w:pStyle w:val="Zkladntext"/>
            <w:jc w:val="both"/>
            <w:rPr>
              <w:rFonts w:ascii="Arial" w:hAnsi="Arial" w:cs="Arial"/>
              <w:b/>
              <w:sz w:val="20"/>
              <w:highlight w:val="yellow"/>
            </w:rPr>
          </w:pPr>
        </w:p>
        <w:p w14:paraId="59B6F4E6" w14:textId="77777777" w:rsidR="00D80B6D" w:rsidRPr="00D84B7D" w:rsidRDefault="00D80B6D" w:rsidP="00D80B6D">
          <w:pPr>
            <w:pStyle w:val="Zkladntext"/>
            <w:jc w:val="both"/>
            <w:rPr>
              <w:rFonts w:ascii="Arial" w:hAnsi="Arial" w:cs="Arial"/>
              <w:b/>
              <w:sz w:val="20"/>
              <w:highlight w:val="yellow"/>
            </w:rPr>
          </w:pPr>
        </w:p>
        <w:p w14:paraId="5ADDFBD6" w14:textId="77777777" w:rsidR="00D80B6D" w:rsidRPr="00D84B7D" w:rsidRDefault="00D80B6D" w:rsidP="00D80B6D">
          <w:pPr>
            <w:pStyle w:val="Zkladntext"/>
            <w:jc w:val="both"/>
            <w:rPr>
              <w:rFonts w:ascii="Arial" w:hAnsi="Arial" w:cs="Arial"/>
              <w:b/>
              <w:sz w:val="20"/>
              <w:highlight w:val="yellow"/>
            </w:rPr>
          </w:pPr>
        </w:p>
        <w:p w14:paraId="1CB27DF8" w14:textId="77777777" w:rsidR="007B358E" w:rsidRPr="00D84B7D" w:rsidRDefault="007B358E" w:rsidP="00D80B6D">
          <w:pPr>
            <w:pStyle w:val="Zkladntext"/>
            <w:jc w:val="both"/>
            <w:rPr>
              <w:rFonts w:ascii="Arial" w:hAnsi="Arial" w:cs="Arial"/>
              <w:b/>
              <w:sz w:val="20"/>
              <w:highlight w:val="yellow"/>
            </w:rPr>
          </w:pPr>
        </w:p>
        <w:p w14:paraId="3A61C564" w14:textId="77777777" w:rsidR="0068617E" w:rsidRPr="00D84B7D" w:rsidRDefault="0068617E" w:rsidP="00D80B6D">
          <w:pPr>
            <w:pStyle w:val="Zkladntext"/>
            <w:jc w:val="both"/>
            <w:rPr>
              <w:rFonts w:ascii="Arial" w:hAnsi="Arial" w:cs="Arial"/>
              <w:b/>
              <w:sz w:val="20"/>
              <w:highlight w:val="yellow"/>
            </w:rPr>
          </w:pPr>
        </w:p>
        <w:p w14:paraId="1414E639" w14:textId="77777777" w:rsidR="0068617E" w:rsidRPr="00D84B7D" w:rsidRDefault="0068617E" w:rsidP="00D80B6D">
          <w:pPr>
            <w:pStyle w:val="Zkladntext"/>
            <w:jc w:val="both"/>
            <w:rPr>
              <w:rFonts w:ascii="Arial" w:hAnsi="Arial" w:cs="Arial"/>
              <w:b/>
              <w:sz w:val="20"/>
              <w:highlight w:val="yellow"/>
            </w:rPr>
          </w:pPr>
        </w:p>
        <w:p w14:paraId="3660AEB6" w14:textId="77777777" w:rsidR="005B7E46" w:rsidRDefault="005B7E46" w:rsidP="00D80B6D">
          <w:pPr>
            <w:pStyle w:val="Zkladntext"/>
            <w:jc w:val="both"/>
            <w:rPr>
              <w:rFonts w:ascii="Arial" w:hAnsi="Arial" w:cs="Arial"/>
              <w:b/>
              <w:sz w:val="20"/>
            </w:rPr>
          </w:pPr>
        </w:p>
        <w:p w14:paraId="51D468A4" w14:textId="77777777" w:rsidR="005B7E46" w:rsidRDefault="005B7E46" w:rsidP="00D80B6D">
          <w:pPr>
            <w:pStyle w:val="Zkladntext"/>
            <w:jc w:val="both"/>
            <w:rPr>
              <w:rFonts w:ascii="Arial" w:hAnsi="Arial" w:cs="Arial"/>
              <w:b/>
              <w:sz w:val="20"/>
            </w:rPr>
          </w:pPr>
        </w:p>
        <w:p w14:paraId="2F2ED302" w14:textId="77777777" w:rsidR="005B7E46" w:rsidRDefault="005B7E46" w:rsidP="00D80B6D">
          <w:pPr>
            <w:pStyle w:val="Zkladntext"/>
            <w:jc w:val="both"/>
            <w:rPr>
              <w:rFonts w:ascii="Arial" w:hAnsi="Arial" w:cs="Arial"/>
              <w:b/>
              <w:sz w:val="20"/>
            </w:rPr>
          </w:pPr>
        </w:p>
        <w:p w14:paraId="6C828C12" w14:textId="77777777" w:rsidR="005B7E46" w:rsidRDefault="005B7E46" w:rsidP="00D80B6D">
          <w:pPr>
            <w:pStyle w:val="Zkladntext"/>
            <w:jc w:val="both"/>
            <w:rPr>
              <w:rFonts w:ascii="Arial" w:hAnsi="Arial" w:cs="Arial"/>
              <w:b/>
              <w:sz w:val="20"/>
            </w:rPr>
          </w:pPr>
        </w:p>
        <w:p w14:paraId="49B23CF7" w14:textId="77777777" w:rsidR="005B7E46" w:rsidRDefault="005B7E46" w:rsidP="00D80B6D">
          <w:pPr>
            <w:pStyle w:val="Zkladntext"/>
            <w:jc w:val="both"/>
            <w:rPr>
              <w:rFonts w:ascii="Arial" w:hAnsi="Arial" w:cs="Arial"/>
              <w:b/>
              <w:sz w:val="20"/>
            </w:rPr>
          </w:pPr>
        </w:p>
        <w:p w14:paraId="17EC9300" w14:textId="77777777" w:rsidR="005B7E46" w:rsidRDefault="005B7E46" w:rsidP="00D80B6D">
          <w:pPr>
            <w:pStyle w:val="Zkladntext"/>
            <w:jc w:val="both"/>
            <w:rPr>
              <w:rFonts w:ascii="Arial" w:hAnsi="Arial" w:cs="Arial"/>
              <w:b/>
              <w:sz w:val="20"/>
            </w:rPr>
          </w:pPr>
        </w:p>
        <w:p w14:paraId="11132A3F" w14:textId="5D367D7A" w:rsidR="00D80B6D" w:rsidRPr="00D84B7D" w:rsidRDefault="00D80B6D" w:rsidP="00D80B6D">
          <w:pPr>
            <w:pStyle w:val="Zkladntext"/>
            <w:jc w:val="both"/>
            <w:rPr>
              <w:rFonts w:ascii="Arial" w:hAnsi="Arial" w:cs="Arial"/>
              <w:b/>
              <w:sz w:val="20"/>
            </w:rPr>
          </w:pPr>
          <w:r w:rsidRPr="00D84B7D">
            <w:rPr>
              <w:rFonts w:ascii="Arial" w:hAnsi="Arial" w:cs="Arial"/>
              <w:b/>
              <w:sz w:val="20"/>
            </w:rPr>
            <w:t>O společnosti Broker Consulting</w:t>
          </w:r>
        </w:p>
        <w:p w14:paraId="27485CC6" w14:textId="77777777" w:rsidR="00D80B6D" w:rsidRPr="005B7E46" w:rsidRDefault="00D80B6D" w:rsidP="00D80B6D">
          <w:pPr>
            <w:jc w:val="both"/>
            <w:rPr>
              <w:rFonts w:asciiTheme="minorHAnsi" w:hAnsiTheme="minorHAnsi" w:cstheme="minorHAnsi"/>
              <w:sz w:val="20"/>
              <w:szCs w:val="20"/>
            </w:rPr>
          </w:pPr>
        </w:p>
        <w:p w14:paraId="08070DCC" w14:textId="269FF1F2" w:rsidR="00792EE9" w:rsidRPr="005B7E46" w:rsidRDefault="00792EE9" w:rsidP="00792EE9">
          <w:pPr>
            <w:jc w:val="both"/>
            <w:rPr>
              <w:rStyle w:val="dn"/>
              <w:rFonts w:asciiTheme="minorHAnsi" w:hAnsiTheme="minorHAnsi" w:cstheme="minorHAnsi"/>
              <w:sz w:val="20"/>
              <w:szCs w:val="20"/>
            </w:rPr>
          </w:pPr>
          <w:r w:rsidRPr="005B7E46">
            <w:rPr>
              <w:rFonts w:asciiTheme="minorHAnsi" w:hAnsiTheme="minorHAnsi" w:cstheme="minorHAnsi"/>
              <w:sz w:val="20"/>
              <w:szCs w:val="20"/>
            </w:rPr>
            <w:t>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w:t>
          </w:r>
          <w:r w:rsidR="00B8133C">
            <w:rPr>
              <w:rFonts w:asciiTheme="minorHAnsi" w:hAnsiTheme="minorHAnsi" w:cstheme="minorHAnsi"/>
              <w:sz w:val="20"/>
              <w:szCs w:val="20"/>
            </w:rPr>
            <w:t>) ve více než 150 kancelářích</w:t>
          </w:r>
          <w:r w:rsidR="00CD6257" w:rsidRPr="005B7E46">
            <w:rPr>
              <w:rFonts w:asciiTheme="minorHAnsi" w:hAnsiTheme="minorHAnsi" w:cstheme="minorHAnsi"/>
              <w:sz w:val="20"/>
              <w:szCs w:val="20"/>
            </w:rPr>
            <w:t xml:space="preserve"> </w:t>
          </w:r>
          <w:r w:rsidR="00B8133C">
            <w:rPr>
              <w:rFonts w:asciiTheme="minorHAnsi" w:hAnsiTheme="minorHAnsi" w:cstheme="minorHAnsi"/>
              <w:sz w:val="20"/>
              <w:szCs w:val="20"/>
            </w:rPr>
            <w:t>a na několika desítkách poboček</w:t>
          </w:r>
          <w:r w:rsidR="00B2198E">
            <w:rPr>
              <w:rFonts w:asciiTheme="minorHAnsi" w:hAnsiTheme="minorHAnsi" w:cstheme="minorHAnsi"/>
              <w:sz w:val="20"/>
              <w:szCs w:val="20"/>
            </w:rPr>
            <w:t xml:space="preserve"> Broker Point Premium</w:t>
          </w:r>
          <w:r w:rsidRPr="005B7E46">
            <w:rPr>
              <w:rFonts w:asciiTheme="minorHAnsi" w:hAnsiTheme="minorHAnsi" w:cstheme="minorHAnsi"/>
              <w:sz w:val="20"/>
              <w:szCs w:val="20"/>
            </w:rPr>
            <w: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w:t>
          </w:r>
          <w:r w:rsidR="00B2198E">
            <w:rPr>
              <w:rFonts w:asciiTheme="minorHAnsi" w:hAnsiTheme="minorHAnsi" w:cstheme="minorHAnsi"/>
              <w:sz w:val="20"/>
              <w:szCs w:val="20"/>
            </w:rPr>
            <w:t xml:space="preserve"> služby společně, to je Broker Point Premium</w:t>
          </w:r>
          <w:r w:rsidR="004D6BA6">
            <w:rPr>
              <w:rFonts w:asciiTheme="minorHAnsi" w:hAnsiTheme="minorHAnsi" w:cstheme="minorHAnsi"/>
              <w:sz w:val="20"/>
              <w:szCs w:val="20"/>
            </w:rPr>
            <w:t>,</w:t>
          </w:r>
          <w:r w:rsidR="00961519" w:rsidRPr="00961519">
            <w:rPr>
              <w:rFonts w:asciiTheme="minorHAnsi" w:hAnsiTheme="minorHAnsi" w:cstheme="minorHAnsi"/>
              <w:sz w:val="20"/>
              <w:szCs w:val="20"/>
            </w:rPr>
            <w:t xml:space="preserve"> </w:t>
          </w:r>
          <w:r w:rsidR="00961519">
            <w:rPr>
              <w:rFonts w:asciiTheme="minorHAnsi" w:hAnsiTheme="minorHAnsi" w:cstheme="minorHAnsi"/>
              <w:sz w:val="20"/>
              <w:szCs w:val="20"/>
            </w:rPr>
            <w:t xml:space="preserve">jehož přináší společnost Broker Consulting, která za vedení franšízy a její podporu získala ocenění </w:t>
          </w:r>
          <w:proofErr w:type="spellStart"/>
          <w:r w:rsidR="00961519" w:rsidRPr="00A0680F">
            <w:rPr>
              <w:rFonts w:asciiTheme="minorHAnsi" w:hAnsiTheme="minorHAnsi" w:cstheme="minorHAnsi"/>
              <w:b/>
              <w:color w:val="FF0000"/>
              <w:sz w:val="20"/>
              <w:szCs w:val="20"/>
            </w:rPr>
            <w:t>Franchisor</w:t>
          </w:r>
          <w:proofErr w:type="spellEnd"/>
          <w:r w:rsidR="00961519" w:rsidRPr="00A0680F">
            <w:rPr>
              <w:rFonts w:asciiTheme="minorHAnsi" w:hAnsiTheme="minorHAnsi" w:cstheme="minorHAnsi"/>
              <w:b/>
              <w:color w:val="FF0000"/>
              <w:sz w:val="20"/>
              <w:szCs w:val="20"/>
            </w:rPr>
            <w:t xml:space="preserve"> roku 2022</w:t>
          </w:r>
          <w:r w:rsidR="00961519" w:rsidRPr="00A0680F">
            <w:rPr>
              <w:rFonts w:asciiTheme="minorHAnsi" w:hAnsiTheme="minorHAnsi" w:cstheme="minorHAnsi"/>
              <w:color w:val="FF0000"/>
              <w:sz w:val="20"/>
              <w:szCs w:val="20"/>
            </w:rPr>
            <w:t xml:space="preserve"> </w:t>
          </w:r>
          <w:r w:rsidR="00961519">
            <w:rPr>
              <w:rFonts w:asciiTheme="minorHAnsi" w:hAnsiTheme="minorHAnsi" w:cstheme="minorHAnsi"/>
              <w:sz w:val="20"/>
              <w:szCs w:val="20"/>
            </w:rPr>
            <w:t xml:space="preserve">od České asociace </w:t>
          </w:r>
          <w:proofErr w:type="spellStart"/>
          <w:r w:rsidR="00961519">
            <w:rPr>
              <w:rFonts w:asciiTheme="minorHAnsi" w:hAnsiTheme="minorHAnsi" w:cstheme="minorHAnsi"/>
              <w:sz w:val="20"/>
              <w:szCs w:val="20"/>
            </w:rPr>
            <w:t>franchisingu</w:t>
          </w:r>
          <w:proofErr w:type="spellEnd"/>
          <w:r w:rsidR="008D373A" w:rsidRPr="005B7E46">
            <w:rPr>
              <w:rFonts w:asciiTheme="minorHAnsi" w:hAnsiTheme="minorHAnsi" w:cstheme="minorHAnsi"/>
              <w:sz w:val="20"/>
              <w:szCs w:val="20"/>
            </w:rPr>
            <w:t xml:space="preserve">. </w:t>
          </w:r>
          <w:proofErr w:type="spellStart"/>
          <w:r w:rsidRPr="005B7E46">
            <w:rPr>
              <w:rStyle w:val="dn"/>
              <w:rFonts w:asciiTheme="minorHAnsi" w:hAnsiTheme="minorHAnsi" w:cstheme="minorHAnsi"/>
              <w:sz w:val="20"/>
              <w:szCs w:val="20"/>
            </w:rPr>
            <w:t>Více</w:t>
          </w:r>
          <w:proofErr w:type="spellEnd"/>
          <w:r w:rsidRPr="005B7E46">
            <w:rPr>
              <w:rStyle w:val="dn"/>
              <w:rFonts w:asciiTheme="minorHAnsi" w:hAnsiTheme="minorHAnsi" w:cstheme="minorHAnsi"/>
              <w:sz w:val="20"/>
              <w:szCs w:val="20"/>
            </w:rPr>
            <w:t xml:space="preserve"> na </w:t>
          </w:r>
          <w:hyperlink r:id="rId9" w:history="1">
            <w:r w:rsidR="007B232E" w:rsidRPr="005B7E46">
              <w:rPr>
                <w:rStyle w:val="Hypertextovodkaz"/>
                <w:rFonts w:asciiTheme="minorHAnsi" w:hAnsiTheme="minorHAnsi" w:cstheme="minorHAnsi"/>
                <w:color w:val="auto"/>
                <w:sz w:val="20"/>
                <w:szCs w:val="20"/>
              </w:rPr>
              <w:t>bcas.cz</w:t>
            </w:r>
          </w:hyperlink>
          <w:r w:rsidRPr="005B7E46">
            <w:rPr>
              <w:rStyle w:val="Hypertextovodkaz"/>
              <w:rFonts w:asciiTheme="minorHAnsi" w:hAnsiTheme="minorHAnsi" w:cstheme="minorHAnsi"/>
              <w:color w:val="auto"/>
              <w:sz w:val="20"/>
              <w:szCs w:val="20"/>
              <w:u w:val="none"/>
            </w:rPr>
            <w:t xml:space="preserve">, </w:t>
          </w:r>
          <w:hyperlink r:id="rId10" w:history="1">
            <w:r w:rsidR="00B2198E">
              <w:rPr>
                <w:rStyle w:val="Hypertextovodkaz"/>
                <w:rFonts w:asciiTheme="minorHAnsi" w:hAnsiTheme="minorHAnsi" w:cstheme="minorHAnsi"/>
                <w:color w:val="auto"/>
                <w:sz w:val="20"/>
                <w:szCs w:val="20"/>
              </w:rPr>
              <w:t>brokerpointy</w:t>
            </w:r>
            <w:r w:rsidR="007B232E" w:rsidRPr="005B7E46">
              <w:rPr>
                <w:rStyle w:val="Hypertextovodkaz"/>
                <w:rFonts w:asciiTheme="minorHAnsi" w:hAnsiTheme="minorHAnsi" w:cstheme="minorHAnsi"/>
                <w:color w:val="auto"/>
                <w:sz w:val="20"/>
                <w:szCs w:val="20"/>
              </w:rPr>
              <w:t>.cz</w:t>
            </w:r>
          </w:hyperlink>
          <w:r w:rsidR="007B232E" w:rsidRPr="005B7E46">
            <w:rPr>
              <w:rStyle w:val="Hypertextovodkaz"/>
              <w:rFonts w:asciiTheme="minorHAnsi" w:hAnsiTheme="minorHAnsi" w:cstheme="minorHAnsi"/>
              <w:color w:val="auto"/>
              <w:sz w:val="20"/>
              <w:szCs w:val="20"/>
              <w:u w:val="none"/>
            </w:rPr>
            <w:t xml:space="preserve">, </w:t>
          </w:r>
          <w:r w:rsidR="00B2198E">
            <w:rPr>
              <w:rStyle w:val="Hypertextovodkaz"/>
              <w:rFonts w:asciiTheme="minorHAnsi" w:hAnsiTheme="minorHAnsi" w:cstheme="minorHAnsi"/>
              <w:color w:val="auto"/>
              <w:sz w:val="20"/>
              <w:szCs w:val="20"/>
              <w:u w:val="none"/>
            </w:rPr>
            <w:t>brokerpoint</w:t>
          </w:r>
          <w:hyperlink r:id="rId11" w:history="1">
            <w:r w:rsidR="007B232E" w:rsidRPr="005B7E46">
              <w:rPr>
                <w:rStyle w:val="Hypertextovodkaz"/>
                <w:rFonts w:asciiTheme="minorHAnsi" w:hAnsiTheme="minorHAnsi" w:cstheme="minorHAnsi"/>
                <w:color w:val="auto"/>
                <w:sz w:val="20"/>
                <w:szCs w:val="20"/>
              </w:rPr>
              <w:t>.tv</w:t>
            </w:r>
          </w:hyperlink>
          <w:r w:rsidRPr="005B7E46">
            <w:rPr>
              <w:rStyle w:val="dn"/>
              <w:rFonts w:asciiTheme="minorHAnsi" w:hAnsiTheme="minorHAnsi" w:cstheme="minorHAnsi"/>
              <w:sz w:val="20"/>
              <w:szCs w:val="20"/>
            </w:rPr>
            <w:t xml:space="preserve"> a na </w:t>
          </w:r>
          <w:hyperlink r:id="rId12" w:history="1">
            <w:r w:rsidRPr="005B7E46">
              <w:rPr>
                <w:rStyle w:val="Hypertextovodkaz"/>
                <w:rFonts w:asciiTheme="minorHAnsi" w:hAnsiTheme="minorHAnsi" w:cstheme="minorHAnsi"/>
                <w:color w:val="auto"/>
                <w:sz w:val="20"/>
                <w:szCs w:val="20"/>
              </w:rPr>
              <w:t>realityspolu.cz</w:t>
            </w:r>
          </w:hyperlink>
          <w:r w:rsidR="007B232E" w:rsidRPr="005B7E46">
            <w:rPr>
              <w:rStyle w:val="Hypertextovodkaz"/>
              <w:rFonts w:asciiTheme="minorHAnsi" w:hAnsiTheme="minorHAnsi" w:cstheme="minorHAnsi"/>
              <w:color w:val="auto"/>
              <w:sz w:val="20"/>
              <w:szCs w:val="20"/>
              <w:u w:val="none"/>
            </w:rPr>
            <w:t xml:space="preserve">. </w:t>
          </w:r>
          <w:proofErr w:type="spellStart"/>
          <w:r w:rsidRPr="005B7E46">
            <w:rPr>
              <w:rStyle w:val="dn"/>
              <w:rFonts w:asciiTheme="minorHAnsi" w:hAnsiTheme="minorHAnsi" w:cstheme="minorHAnsi"/>
              <w:sz w:val="20"/>
              <w:szCs w:val="20"/>
            </w:rPr>
            <w:t>Navštivte</w:t>
          </w:r>
          <w:proofErr w:type="spellEnd"/>
          <w:r w:rsidRPr="005B7E46">
            <w:rPr>
              <w:rStyle w:val="dn"/>
              <w:rFonts w:asciiTheme="minorHAnsi" w:hAnsiTheme="minorHAnsi" w:cstheme="minorHAnsi"/>
              <w:sz w:val="20"/>
              <w:szCs w:val="20"/>
            </w:rPr>
            <w:t xml:space="preserve"> </w:t>
          </w:r>
          <w:proofErr w:type="spellStart"/>
          <w:r w:rsidRPr="005B7E46">
            <w:rPr>
              <w:rStyle w:val="dn"/>
              <w:rFonts w:asciiTheme="minorHAnsi" w:hAnsiTheme="minorHAnsi" w:cstheme="minorHAnsi"/>
              <w:sz w:val="20"/>
              <w:szCs w:val="20"/>
            </w:rPr>
            <w:t>také</w:t>
          </w:r>
          <w:proofErr w:type="spellEnd"/>
          <w:r w:rsidRPr="005B7E46">
            <w:rPr>
              <w:rStyle w:val="dn"/>
              <w:rFonts w:asciiTheme="minorHAnsi" w:hAnsiTheme="minorHAnsi" w:cstheme="minorHAnsi"/>
              <w:sz w:val="20"/>
              <w:szCs w:val="20"/>
            </w:rPr>
            <w:t xml:space="preserve"> </w:t>
          </w:r>
          <w:proofErr w:type="spellStart"/>
          <w:r w:rsidRPr="005B7E46">
            <w:rPr>
              <w:rStyle w:val="dn"/>
              <w:rFonts w:asciiTheme="minorHAnsi" w:hAnsiTheme="minorHAnsi" w:cstheme="minorHAnsi"/>
              <w:sz w:val="20"/>
              <w:szCs w:val="20"/>
            </w:rPr>
            <w:t>náš</w:t>
          </w:r>
          <w:proofErr w:type="spellEnd"/>
          <w:r w:rsidRPr="005B7E46">
            <w:rPr>
              <w:rStyle w:val="dn"/>
              <w:rFonts w:asciiTheme="minorHAnsi" w:hAnsiTheme="minorHAnsi" w:cstheme="minorHAnsi"/>
              <w:sz w:val="20"/>
              <w:szCs w:val="20"/>
            </w:rPr>
            <w:t xml:space="preserve"> </w:t>
          </w:r>
          <w:hyperlink r:id="rId13" w:history="1">
            <w:proofErr w:type="spellStart"/>
            <w:r w:rsidRPr="005B7E46">
              <w:rPr>
                <w:rStyle w:val="Hypertextovodkaz"/>
                <w:rFonts w:asciiTheme="minorHAnsi" w:hAnsiTheme="minorHAnsi" w:cstheme="minorHAnsi"/>
                <w:color w:val="auto"/>
                <w:sz w:val="20"/>
                <w:szCs w:val="20"/>
              </w:rPr>
              <w:t>Facebook</w:t>
            </w:r>
            <w:proofErr w:type="spellEnd"/>
          </w:hyperlink>
          <w:r w:rsidR="005B7E46" w:rsidRPr="005B7E46">
            <w:rPr>
              <w:rStyle w:val="dn"/>
              <w:rFonts w:asciiTheme="minorHAnsi" w:hAnsiTheme="minorHAnsi" w:cstheme="minorHAnsi"/>
              <w:sz w:val="20"/>
              <w:szCs w:val="20"/>
            </w:rPr>
            <w:t xml:space="preserve">, </w:t>
          </w:r>
          <w:hyperlink r:id="rId14" w:history="1">
            <w:proofErr w:type="spellStart"/>
            <w:r w:rsidRPr="005B7E46">
              <w:rPr>
                <w:rStyle w:val="Hypertextovodkaz"/>
                <w:rFonts w:asciiTheme="minorHAnsi" w:hAnsiTheme="minorHAnsi" w:cstheme="minorHAnsi"/>
                <w:color w:val="auto"/>
                <w:sz w:val="20"/>
                <w:szCs w:val="20"/>
              </w:rPr>
              <w:t>LinkedIN</w:t>
            </w:r>
            <w:proofErr w:type="spellEnd"/>
          </w:hyperlink>
          <w:r w:rsidR="005B7E46" w:rsidRPr="005B7E46">
            <w:rPr>
              <w:rStyle w:val="dn"/>
              <w:rFonts w:asciiTheme="minorHAnsi" w:hAnsiTheme="minorHAnsi" w:cstheme="minorHAnsi"/>
              <w:sz w:val="20"/>
              <w:szCs w:val="20"/>
            </w:rPr>
            <w:t xml:space="preserve"> Broker Consulting, Twitter </w:t>
          </w:r>
          <w:r w:rsidR="005B7E46" w:rsidRPr="005B7E46">
            <w:rPr>
              <w:rFonts w:asciiTheme="minorHAnsi" w:hAnsiTheme="minorHAnsi" w:cstheme="minorHAnsi"/>
              <w:sz w:val="20"/>
              <w:szCs w:val="20"/>
              <w:shd w:val="clear" w:color="auto" w:fill="FFFFFF"/>
            </w:rPr>
            <w:t>@</w:t>
          </w:r>
          <w:proofErr w:type="spellStart"/>
          <w:r w:rsidR="005B7E46" w:rsidRPr="005B7E46">
            <w:rPr>
              <w:rFonts w:asciiTheme="minorHAnsi" w:hAnsiTheme="minorHAnsi" w:cstheme="minorHAnsi"/>
              <w:sz w:val="20"/>
              <w:szCs w:val="20"/>
              <w:shd w:val="clear" w:color="auto" w:fill="FFFFFF"/>
            </w:rPr>
            <w:t>BC_oficialni</w:t>
          </w:r>
          <w:proofErr w:type="spellEnd"/>
          <w:r w:rsidR="005B7E46" w:rsidRPr="005B7E46">
            <w:rPr>
              <w:rFonts w:asciiTheme="minorHAnsi" w:hAnsiTheme="minorHAnsi" w:cstheme="minorHAnsi"/>
              <w:sz w:val="20"/>
              <w:szCs w:val="20"/>
              <w:shd w:val="clear" w:color="auto" w:fill="FFFFFF"/>
            </w:rPr>
            <w:t xml:space="preserve">, </w:t>
          </w:r>
          <w:r w:rsidRPr="005B7E46">
            <w:rPr>
              <w:rStyle w:val="dn"/>
              <w:rFonts w:asciiTheme="minorHAnsi" w:hAnsiTheme="minorHAnsi" w:cstheme="minorHAnsi"/>
              <w:sz w:val="20"/>
              <w:szCs w:val="20"/>
            </w:rPr>
            <w:t xml:space="preserve"> </w:t>
          </w:r>
          <w:hyperlink r:id="rId15" w:history="1">
            <w:proofErr w:type="spellStart"/>
            <w:r w:rsidRPr="005B7E46">
              <w:rPr>
                <w:rStyle w:val="Hypertextovodkaz"/>
                <w:rFonts w:asciiTheme="minorHAnsi" w:hAnsiTheme="minorHAnsi" w:cstheme="minorHAnsi"/>
                <w:color w:val="auto"/>
                <w:sz w:val="20"/>
                <w:szCs w:val="20"/>
              </w:rPr>
              <w:t>Facebook</w:t>
            </w:r>
            <w:proofErr w:type="spellEnd"/>
          </w:hyperlink>
          <w:r w:rsidRPr="005B7E46">
            <w:rPr>
              <w:rStyle w:val="dn"/>
              <w:rFonts w:asciiTheme="minorHAnsi" w:hAnsiTheme="minorHAnsi" w:cstheme="minorHAnsi"/>
              <w:sz w:val="20"/>
              <w:szCs w:val="20"/>
            </w:rPr>
            <w:t xml:space="preserve"> a </w:t>
          </w:r>
          <w:hyperlink r:id="rId16" w:history="1">
            <w:proofErr w:type="spellStart"/>
            <w:r w:rsidRPr="005B7E46">
              <w:rPr>
                <w:rStyle w:val="Hypertextovodkaz"/>
                <w:rFonts w:asciiTheme="minorHAnsi" w:hAnsiTheme="minorHAnsi" w:cstheme="minorHAnsi"/>
                <w:color w:val="auto"/>
                <w:sz w:val="20"/>
                <w:szCs w:val="20"/>
              </w:rPr>
              <w:t>LinkedI</w:t>
            </w:r>
          </w:hyperlink>
          <w:r w:rsidRPr="005B7E46">
            <w:rPr>
              <w:rStyle w:val="Hypertextovodkaz"/>
              <w:rFonts w:asciiTheme="minorHAnsi" w:hAnsiTheme="minorHAnsi" w:cstheme="minorHAnsi"/>
              <w:color w:val="auto"/>
              <w:sz w:val="20"/>
              <w:szCs w:val="20"/>
            </w:rPr>
            <w:t>N</w:t>
          </w:r>
          <w:proofErr w:type="spellEnd"/>
          <w:r w:rsidR="00B2198E">
            <w:rPr>
              <w:rStyle w:val="dn"/>
              <w:rFonts w:asciiTheme="minorHAnsi" w:hAnsiTheme="minorHAnsi" w:cstheme="minorHAnsi"/>
              <w:sz w:val="20"/>
              <w:szCs w:val="20"/>
            </w:rPr>
            <w:t xml:space="preserve"> Broker Point Premium</w:t>
          </w:r>
          <w:r w:rsidRPr="005B7E46">
            <w:rPr>
              <w:rStyle w:val="dn"/>
              <w:rFonts w:asciiTheme="minorHAnsi" w:hAnsiTheme="minorHAnsi" w:cstheme="minorHAnsi"/>
              <w:sz w:val="20"/>
              <w:szCs w:val="20"/>
            </w:rPr>
            <w:t xml:space="preserve">. </w:t>
          </w:r>
        </w:p>
        <w:p w14:paraId="3F0EC976" w14:textId="3496D289" w:rsidR="00D80B6D" w:rsidRPr="006545F8" w:rsidRDefault="00D80B6D" w:rsidP="0068617E">
          <w:pPr>
            <w:pStyle w:val="Zkladntext"/>
            <w:jc w:val="both"/>
            <w:rPr>
              <w:rFonts w:ascii="Arial" w:hAnsi="Arial" w:cs="Arial"/>
              <w:sz w:val="20"/>
              <w:highlight w:val="yellow"/>
            </w:rPr>
            <w:sectPr w:rsidR="00D80B6D" w:rsidRPr="006545F8" w:rsidSect="00D80B6D">
              <w:headerReference w:type="even" r:id="rId17"/>
              <w:headerReference w:type="default" r:id="rId18"/>
              <w:footerReference w:type="even" r:id="rId19"/>
              <w:footerReference w:type="default" r:id="rId20"/>
              <w:headerReference w:type="first" r:id="rId21"/>
              <w:footerReference w:type="first" r:id="rId22"/>
              <w:pgSz w:w="11910" w:h="16840"/>
              <w:pgMar w:top="960" w:right="740" w:bottom="0" w:left="720" w:header="708" w:footer="708" w:gutter="0"/>
              <w:cols w:space="708"/>
            </w:sectPr>
          </w:pPr>
        </w:p>
        <w:p w14:paraId="4F038982" w14:textId="77777777" w:rsidR="00203BD4" w:rsidRDefault="00203BD4" w:rsidP="0025264B">
          <w:pPr>
            <w:rPr>
              <w:rFonts w:ascii="Arial" w:hAnsi="Arial" w:cs="Arial"/>
              <w:sz w:val="20"/>
              <w:szCs w:val="20"/>
              <w:highlight w:val="yellow"/>
            </w:rPr>
          </w:pPr>
        </w:p>
        <w:p w14:paraId="35539C65" w14:textId="06F0629B" w:rsidR="00D31127" w:rsidRPr="006545F8" w:rsidRDefault="00941295" w:rsidP="0025264B">
          <w:pPr>
            <w:rPr>
              <w:rFonts w:ascii="Arial" w:hAnsi="Arial" w:cs="Arial"/>
              <w:sz w:val="20"/>
              <w:szCs w:val="20"/>
              <w:highlight w:val="yellow"/>
            </w:rPr>
            <w:sectPr w:rsidR="00D31127" w:rsidRPr="006545F8" w:rsidSect="00D80B6D">
              <w:headerReference w:type="even" r:id="rId23"/>
              <w:headerReference w:type="default" r:id="rId24"/>
              <w:footerReference w:type="even" r:id="rId25"/>
              <w:footerReference w:type="default" r:id="rId26"/>
              <w:headerReference w:type="first" r:id="rId27"/>
              <w:footerReference w:type="first" r:id="rId28"/>
              <w:pgSz w:w="11910" w:h="16840"/>
              <w:pgMar w:top="1418" w:right="740" w:bottom="420" w:left="720" w:header="340" w:footer="223" w:gutter="0"/>
              <w:pgNumType w:start="0"/>
              <w:cols w:space="708"/>
              <w:titlePg/>
              <w:docGrid w:linePitch="299"/>
            </w:sectPr>
          </w:pPr>
        </w:p>
      </w:sdtContent>
    </w:sdt>
    <w:p w14:paraId="16780204" w14:textId="3A22EB9C" w:rsidR="00241DC1" w:rsidRPr="00C20789" w:rsidRDefault="000878FB" w:rsidP="00241DC1">
      <w:pPr>
        <w:pStyle w:val="Odstavecseseznamem"/>
        <w:spacing w:after="240"/>
        <w:ind w:left="720" w:firstLine="0"/>
        <w:jc w:val="center"/>
        <w:rPr>
          <w:rFonts w:asciiTheme="minorHAnsi" w:hAnsiTheme="minorHAnsi" w:cstheme="minorHAnsi"/>
          <w:b/>
          <w:sz w:val="26"/>
          <w:szCs w:val="26"/>
        </w:rPr>
      </w:pPr>
      <w:r>
        <w:rPr>
          <w:rFonts w:asciiTheme="minorHAnsi" w:hAnsiTheme="minorHAnsi" w:cstheme="minorHAnsi"/>
          <w:b/>
          <w:sz w:val="26"/>
          <w:szCs w:val="26"/>
        </w:rPr>
        <w:t>Rok 2023 se nesl ve znamení stabilních úroků u hypoték</w:t>
      </w:r>
    </w:p>
    <w:p w14:paraId="1ACE25C1" w14:textId="77777777" w:rsidR="00AB7BAF" w:rsidRPr="00651B66" w:rsidRDefault="00AB7BAF" w:rsidP="00AB7BAF">
      <w:pPr>
        <w:pStyle w:val="Odstavecseseznamem"/>
        <w:numPr>
          <w:ilvl w:val="0"/>
          <w:numId w:val="12"/>
        </w:numPr>
        <w:ind w:right="40"/>
        <w:rPr>
          <w:rFonts w:asciiTheme="minorHAnsi" w:eastAsiaTheme="minorHAnsi" w:hAnsiTheme="minorHAnsi" w:cstheme="minorHAnsi"/>
          <w:b/>
          <w:color w:val="000000" w:themeColor="text1"/>
          <w:sz w:val="21"/>
          <w:szCs w:val="21"/>
          <w:lang w:bidi="ar-SA"/>
        </w:rPr>
      </w:pPr>
      <w:r w:rsidRPr="00651B66">
        <w:rPr>
          <w:rFonts w:asciiTheme="minorHAnsi" w:eastAsiaTheme="minorHAnsi" w:hAnsiTheme="minorHAnsi" w:cstheme="minorHAnsi"/>
          <w:b/>
          <w:color w:val="000000" w:themeColor="text1"/>
          <w:sz w:val="21"/>
          <w:szCs w:val="21"/>
          <w:lang w:bidi="ar-SA"/>
        </w:rPr>
        <w:t>Broker Consulting Index hypotečních úvěrů dosáhl v prosinci 2023 hodnoty 5,71 procenta.</w:t>
      </w:r>
    </w:p>
    <w:p w14:paraId="718B2B7C" w14:textId="55498738" w:rsidR="00AB7BAF" w:rsidRPr="00651B66" w:rsidRDefault="00AB7BAF" w:rsidP="00AB7BAF">
      <w:pPr>
        <w:pStyle w:val="Odstavecseseznamem"/>
        <w:numPr>
          <w:ilvl w:val="0"/>
          <w:numId w:val="12"/>
        </w:numPr>
        <w:ind w:right="40"/>
        <w:rPr>
          <w:rFonts w:asciiTheme="minorHAnsi" w:eastAsiaTheme="minorHAnsi" w:hAnsiTheme="minorHAnsi" w:cstheme="minorHAnsi"/>
          <w:b/>
          <w:color w:val="000000" w:themeColor="text1"/>
          <w:sz w:val="21"/>
          <w:szCs w:val="21"/>
          <w:lang w:bidi="ar-SA"/>
        </w:rPr>
      </w:pPr>
      <w:r w:rsidRPr="00651B66">
        <w:rPr>
          <w:rFonts w:asciiTheme="minorHAnsi" w:eastAsiaTheme="minorHAnsi" w:hAnsiTheme="minorHAnsi" w:cstheme="minorHAnsi"/>
          <w:b/>
          <w:color w:val="000000" w:themeColor="text1"/>
          <w:sz w:val="21"/>
          <w:szCs w:val="21"/>
          <w:lang w:bidi="ar-SA"/>
        </w:rPr>
        <w:t>Předstihový ukazatel v prosinci opět klesl o 4 bazické body na hodnotu 5,81 procenta</w:t>
      </w:r>
      <w:r w:rsidR="00651B66" w:rsidRPr="00651B66">
        <w:rPr>
          <w:rFonts w:asciiTheme="minorHAnsi" w:eastAsiaTheme="minorHAnsi" w:hAnsiTheme="minorHAnsi" w:cstheme="minorHAnsi"/>
          <w:b/>
          <w:color w:val="000000" w:themeColor="text1"/>
          <w:sz w:val="21"/>
          <w:szCs w:val="21"/>
          <w:lang w:bidi="ar-SA"/>
        </w:rPr>
        <w:t>.</w:t>
      </w:r>
      <w:r w:rsidRPr="00651B66">
        <w:rPr>
          <w:rFonts w:asciiTheme="minorHAnsi" w:eastAsiaTheme="minorHAnsi" w:hAnsiTheme="minorHAnsi" w:cstheme="minorHAnsi"/>
          <w:b/>
          <w:color w:val="000000" w:themeColor="text1"/>
          <w:sz w:val="21"/>
          <w:szCs w:val="21"/>
          <w:lang w:bidi="ar-SA"/>
        </w:rPr>
        <w:t xml:space="preserve"> </w:t>
      </w:r>
    </w:p>
    <w:p w14:paraId="0310341A" w14:textId="1FAB8D42" w:rsidR="00AB7BAF" w:rsidRPr="00651B66" w:rsidRDefault="00AB7BAF" w:rsidP="00AB7BAF">
      <w:pPr>
        <w:pStyle w:val="Odstavecseseznamem"/>
        <w:numPr>
          <w:ilvl w:val="0"/>
          <w:numId w:val="12"/>
        </w:numPr>
        <w:ind w:right="40"/>
        <w:rPr>
          <w:rFonts w:asciiTheme="minorHAnsi" w:eastAsiaTheme="minorHAnsi" w:hAnsiTheme="minorHAnsi" w:cstheme="minorHAnsi"/>
          <w:b/>
          <w:color w:val="000000" w:themeColor="text1"/>
          <w:sz w:val="21"/>
          <w:szCs w:val="21"/>
          <w:lang w:bidi="ar-SA"/>
        </w:rPr>
      </w:pPr>
      <w:r w:rsidRPr="00651B66">
        <w:rPr>
          <w:rFonts w:asciiTheme="minorHAnsi" w:eastAsiaTheme="minorHAnsi" w:hAnsiTheme="minorHAnsi" w:cstheme="minorHAnsi"/>
          <w:b/>
          <w:color w:val="000000" w:themeColor="text1"/>
          <w:sz w:val="21"/>
          <w:szCs w:val="21"/>
          <w:lang w:bidi="ar-SA"/>
        </w:rPr>
        <w:t xml:space="preserve">V prosinci ČNB poprvé v roce 2023 snížila dvoutýdenní </w:t>
      </w:r>
      <w:proofErr w:type="spellStart"/>
      <w:r w:rsidRPr="00651B66">
        <w:rPr>
          <w:rFonts w:asciiTheme="minorHAnsi" w:eastAsiaTheme="minorHAnsi" w:hAnsiTheme="minorHAnsi" w:cstheme="minorHAnsi"/>
          <w:b/>
          <w:color w:val="000000" w:themeColor="text1"/>
          <w:sz w:val="21"/>
          <w:szCs w:val="21"/>
          <w:lang w:bidi="ar-SA"/>
        </w:rPr>
        <w:t>repo</w:t>
      </w:r>
      <w:proofErr w:type="spellEnd"/>
      <w:r w:rsidRPr="00651B66">
        <w:rPr>
          <w:rFonts w:asciiTheme="minorHAnsi" w:eastAsiaTheme="minorHAnsi" w:hAnsiTheme="minorHAnsi" w:cstheme="minorHAnsi"/>
          <w:b/>
          <w:color w:val="000000" w:themeColor="text1"/>
          <w:sz w:val="21"/>
          <w:szCs w:val="21"/>
          <w:lang w:bidi="ar-SA"/>
        </w:rPr>
        <w:t xml:space="preserve"> sazbu na 6,75 procenta. Prudší pokles sazeb odborníci ale neočekávají.</w:t>
      </w:r>
    </w:p>
    <w:p w14:paraId="18525D95" w14:textId="77D1735B" w:rsidR="00A803EF" w:rsidRPr="00C21F84" w:rsidRDefault="002B4265" w:rsidP="00D15619">
      <w:pPr>
        <w:spacing w:before="200" w:after="200"/>
        <w:ind w:right="40"/>
        <w:rPr>
          <w:rFonts w:asciiTheme="minorHAnsi" w:hAnsiTheme="minorHAnsi" w:cstheme="minorHAnsi"/>
          <w:b/>
          <w:color w:val="000000" w:themeColor="text1"/>
          <w:sz w:val="20"/>
          <w:szCs w:val="20"/>
        </w:rPr>
      </w:pPr>
      <w:r w:rsidRPr="00C21F84">
        <w:rPr>
          <w:rFonts w:asciiTheme="minorHAnsi" w:hAnsiTheme="minorHAnsi" w:cstheme="minorHAnsi"/>
          <w:b/>
          <w:i/>
          <w:sz w:val="20"/>
          <w:szCs w:val="20"/>
        </w:rPr>
        <w:t xml:space="preserve">Praha, </w:t>
      </w:r>
      <w:r w:rsidR="000878FB" w:rsidRPr="00C21F84">
        <w:rPr>
          <w:rFonts w:asciiTheme="minorHAnsi" w:hAnsiTheme="minorHAnsi" w:cstheme="minorHAnsi"/>
          <w:b/>
          <w:i/>
          <w:sz w:val="20"/>
          <w:szCs w:val="20"/>
        </w:rPr>
        <w:t>4</w:t>
      </w:r>
      <w:r w:rsidR="00241DC1" w:rsidRPr="00C21F84">
        <w:rPr>
          <w:rFonts w:asciiTheme="minorHAnsi" w:hAnsiTheme="minorHAnsi" w:cstheme="minorHAnsi"/>
          <w:b/>
          <w:i/>
          <w:sz w:val="20"/>
          <w:szCs w:val="20"/>
        </w:rPr>
        <w:t>.</w:t>
      </w:r>
      <w:r w:rsidR="000878FB" w:rsidRPr="00C21F84">
        <w:rPr>
          <w:rFonts w:asciiTheme="minorHAnsi" w:hAnsiTheme="minorHAnsi" w:cstheme="minorHAnsi"/>
          <w:b/>
          <w:i/>
          <w:sz w:val="20"/>
          <w:szCs w:val="20"/>
        </w:rPr>
        <w:t xml:space="preserve"> ledna</w:t>
      </w:r>
      <w:r w:rsidR="00241DC1" w:rsidRPr="00C21F84">
        <w:rPr>
          <w:rFonts w:asciiTheme="minorHAnsi" w:hAnsiTheme="minorHAnsi" w:cstheme="minorHAnsi"/>
          <w:b/>
          <w:i/>
          <w:sz w:val="20"/>
          <w:szCs w:val="20"/>
        </w:rPr>
        <w:t xml:space="preserve"> </w:t>
      </w:r>
      <w:r w:rsidR="000878FB" w:rsidRPr="00C21F84">
        <w:rPr>
          <w:rFonts w:asciiTheme="minorHAnsi" w:hAnsiTheme="minorHAnsi" w:cstheme="minorHAnsi"/>
          <w:b/>
          <w:i/>
          <w:sz w:val="20"/>
          <w:szCs w:val="20"/>
        </w:rPr>
        <w:t xml:space="preserve">2024 </w:t>
      </w:r>
      <w:r w:rsidR="00241DC1" w:rsidRPr="00C21F84">
        <w:rPr>
          <w:rFonts w:asciiTheme="minorHAnsi" w:hAnsiTheme="minorHAnsi" w:cstheme="minorHAnsi"/>
          <w:b/>
          <w:i/>
          <w:sz w:val="20"/>
          <w:szCs w:val="20"/>
        </w:rPr>
        <w:t xml:space="preserve">- </w:t>
      </w:r>
      <w:r w:rsidR="00176E93" w:rsidRPr="00C21F84">
        <w:rPr>
          <w:rFonts w:asciiTheme="minorHAnsi" w:hAnsiTheme="minorHAnsi" w:cstheme="minorHAnsi"/>
          <w:b/>
          <w:i/>
          <w:sz w:val="20"/>
          <w:szCs w:val="20"/>
        </w:rPr>
        <w:t xml:space="preserve"> </w:t>
      </w:r>
      <w:r w:rsidR="00651B66" w:rsidRPr="00C21F84">
        <w:rPr>
          <w:rFonts w:asciiTheme="minorHAnsi" w:hAnsiTheme="minorHAnsi" w:cstheme="minorHAnsi"/>
          <w:b/>
          <w:color w:val="000000" w:themeColor="text1"/>
          <w:sz w:val="20"/>
          <w:szCs w:val="20"/>
        </w:rPr>
        <w:t>Hodnota Broker Consulting I</w:t>
      </w:r>
      <w:r w:rsidR="00AB7BAF" w:rsidRPr="00C21F84">
        <w:rPr>
          <w:rFonts w:asciiTheme="minorHAnsi" w:hAnsiTheme="minorHAnsi" w:cstheme="minorHAnsi"/>
          <w:b/>
          <w:color w:val="000000" w:themeColor="text1"/>
          <w:sz w:val="20"/>
          <w:szCs w:val="20"/>
        </w:rPr>
        <w:t>ndexu hypotečních úvěrů v prosinci opět zůstala v porovnání s předchozími měsíci téměř nezměněna. Průměrné úrokové sazby hypoték v posledním měsíci roku dosáhly hodnoty 5,71 procenta. Pro rok 2024 očekávají analytici i vzhledem k výs</w:t>
      </w:r>
      <w:r w:rsidR="00651B66" w:rsidRPr="00C21F84">
        <w:rPr>
          <w:rFonts w:asciiTheme="minorHAnsi" w:hAnsiTheme="minorHAnsi" w:cstheme="minorHAnsi"/>
          <w:b/>
          <w:color w:val="000000" w:themeColor="text1"/>
          <w:sz w:val="20"/>
          <w:szCs w:val="20"/>
        </w:rPr>
        <w:t>ledkům prosincového zasedání České národní banky</w:t>
      </w:r>
      <w:r w:rsidR="00AB7BAF" w:rsidRPr="00C21F84">
        <w:rPr>
          <w:rFonts w:asciiTheme="minorHAnsi" w:hAnsiTheme="minorHAnsi" w:cstheme="minorHAnsi"/>
          <w:b/>
          <w:color w:val="000000" w:themeColor="text1"/>
          <w:sz w:val="20"/>
          <w:szCs w:val="20"/>
        </w:rPr>
        <w:t xml:space="preserve">, na kterém došlo po </w:t>
      </w:r>
      <w:r w:rsidR="00651B66" w:rsidRPr="00C21F84">
        <w:rPr>
          <w:rFonts w:asciiTheme="minorHAnsi" w:hAnsiTheme="minorHAnsi" w:cstheme="minorHAnsi"/>
          <w:b/>
          <w:color w:val="000000" w:themeColor="text1"/>
          <w:sz w:val="20"/>
          <w:szCs w:val="20"/>
        </w:rPr>
        <w:t>roce a půl</w:t>
      </w:r>
      <w:r w:rsidR="00AB7BAF" w:rsidRPr="00C21F84">
        <w:rPr>
          <w:rFonts w:asciiTheme="minorHAnsi" w:hAnsiTheme="minorHAnsi" w:cstheme="minorHAnsi"/>
          <w:b/>
          <w:color w:val="000000" w:themeColor="text1"/>
          <w:sz w:val="20"/>
          <w:szCs w:val="20"/>
        </w:rPr>
        <w:t xml:space="preserve"> ke snížení dvoutýdenní </w:t>
      </w:r>
      <w:proofErr w:type="spellStart"/>
      <w:r w:rsidR="00AB7BAF" w:rsidRPr="00C21F84">
        <w:rPr>
          <w:rFonts w:asciiTheme="minorHAnsi" w:hAnsiTheme="minorHAnsi" w:cstheme="minorHAnsi"/>
          <w:b/>
          <w:color w:val="000000" w:themeColor="text1"/>
          <w:sz w:val="20"/>
          <w:szCs w:val="20"/>
        </w:rPr>
        <w:t>repo</w:t>
      </w:r>
      <w:proofErr w:type="spellEnd"/>
      <w:r w:rsidR="00AB7BAF" w:rsidRPr="00C21F84">
        <w:rPr>
          <w:rFonts w:asciiTheme="minorHAnsi" w:hAnsiTheme="minorHAnsi" w:cstheme="minorHAnsi"/>
          <w:b/>
          <w:color w:val="000000" w:themeColor="text1"/>
          <w:sz w:val="20"/>
          <w:szCs w:val="20"/>
        </w:rPr>
        <w:t xml:space="preserve"> sazby, postupné oživení poptávky na hypotečním trhu i velmi pozvolné snižování </w:t>
      </w:r>
      <w:r w:rsidR="00651B66" w:rsidRPr="00C21F84">
        <w:rPr>
          <w:rFonts w:asciiTheme="minorHAnsi" w:hAnsiTheme="minorHAnsi" w:cstheme="minorHAnsi"/>
          <w:b/>
          <w:color w:val="000000" w:themeColor="text1"/>
          <w:sz w:val="20"/>
          <w:szCs w:val="20"/>
        </w:rPr>
        <w:t>ú</w:t>
      </w:r>
      <w:r w:rsidR="00AB7BAF" w:rsidRPr="00C21F84">
        <w:rPr>
          <w:rFonts w:asciiTheme="minorHAnsi" w:hAnsiTheme="minorHAnsi" w:cstheme="minorHAnsi"/>
          <w:b/>
          <w:color w:val="000000" w:themeColor="text1"/>
          <w:sz w:val="20"/>
          <w:szCs w:val="20"/>
        </w:rPr>
        <w:t xml:space="preserve">rokových sazeb. Tento fakt je zásadní nejen pro nové žadatele o hypotéku, ale také pro ty, kterým bude letos končit fixace. Aktuálně je výhodné </w:t>
      </w:r>
      <w:bookmarkStart w:id="0" w:name="_GoBack"/>
      <w:bookmarkEnd w:id="0"/>
      <w:r w:rsidR="00AB7BAF" w:rsidRPr="00C21F84">
        <w:rPr>
          <w:rFonts w:asciiTheme="minorHAnsi" w:hAnsiTheme="minorHAnsi" w:cstheme="minorHAnsi"/>
          <w:b/>
          <w:color w:val="000000" w:themeColor="text1"/>
          <w:sz w:val="20"/>
          <w:szCs w:val="20"/>
        </w:rPr>
        <w:t>volit spíš kratší dobu fixace.</w:t>
      </w:r>
    </w:p>
    <w:p w14:paraId="6CCDBC01" w14:textId="5D587F69" w:rsidR="00AB7BAF" w:rsidRPr="00AB7BAF" w:rsidRDefault="00AB7BAF" w:rsidP="00AB7BAF">
      <w:pPr>
        <w:spacing w:before="200" w:after="200"/>
        <w:ind w:right="40"/>
        <w:rPr>
          <w:rFonts w:asciiTheme="minorHAnsi" w:hAnsiTheme="minorHAnsi" w:cstheme="minorHAnsi"/>
          <w:bCs/>
          <w:color w:val="000000" w:themeColor="text1"/>
          <w:sz w:val="21"/>
          <w:szCs w:val="21"/>
        </w:rPr>
      </w:pPr>
      <w:r w:rsidRPr="00AB7BAF">
        <w:rPr>
          <w:rFonts w:asciiTheme="minorHAnsi" w:hAnsiTheme="minorHAnsi" w:cstheme="minorHAnsi"/>
          <w:bCs/>
          <w:color w:val="000000" w:themeColor="text1"/>
          <w:sz w:val="21"/>
          <w:szCs w:val="21"/>
        </w:rPr>
        <w:t>Prosincový Broker Consulting index hypotečních úvěrů dosáhla hodnoty 5,71 procenta, což je oproti listopadové hodnotě zanedbatelný nárůst o jeden bazický bod. To naprosto odpovídá situaci, která na hypotečním trhu byla patrná po celý rok 2023, kdy byly průměrné sazby hypoték stabilní. Pro rok 2024 se ale postupné snižování úrokových sazeb očekává, a to i díky prosincovému rozhodnutí ČNB, které přineslo pokles</w:t>
      </w:r>
      <w:r w:rsidR="000D6DDC">
        <w:rPr>
          <w:rFonts w:asciiTheme="minorHAnsi" w:hAnsiTheme="minorHAnsi" w:cstheme="minorHAnsi"/>
          <w:bCs/>
          <w:color w:val="000000" w:themeColor="text1"/>
          <w:sz w:val="21"/>
          <w:szCs w:val="21"/>
        </w:rPr>
        <w:t xml:space="preserve"> dvoutýdenní </w:t>
      </w:r>
      <w:proofErr w:type="spellStart"/>
      <w:r w:rsidR="000D6DDC">
        <w:rPr>
          <w:rFonts w:asciiTheme="minorHAnsi" w:hAnsiTheme="minorHAnsi" w:cstheme="minorHAnsi"/>
          <w:bCs/>
          <w:color w:val="000000" w:themeColor="text1"/>
          <w:sz w:val="21"/>
          <w:szCs w:val="21"/>
        </w:rPr>
        <w:t>repo</w:t>
      </w:r>
      <w:proofErr w:type="spellEnd"/>
      <w:r w:rsidR="000D6DDC">
        <w:rPr>
          <w:rFonts w:asciiTheme="minorHAnsi" w:hAnsiTheme="minorHAnsi" w:cstheme="minorHAnsi"/>
          <w:bCs/>
          <w:color w:val="000000" w:themeColor="text1"/>
          <w:sz w:val="21"/>
          <w:szCs w:val="21"/>
        </w:rPr>
        <w:t xml:space="preserve"> sazby o 0,25 procentního bodu</w:t>
      </w:r>
      <w:r w:rsidRPr="00AB7BAF">
        <w:rPr>
          <w:rFonts w:asciiTheme="minorHAnsi" w:hAnsiTheme="minorHAnsi" w:cstheme="minorHAnsi"/>
          <w:bCs/>
          <w:color w:val="000000" w:themeColor="text1"/>
          <w:sz w:val="21"/>
          <w:szCs w:val="21"/>
        </w:rPr>
        <w:t xml:space="preserve">. </w:t>
      </w:r>
      <w:r w:rsidRPr="00AB7BAF">
        <w:rPr>
          <w:rFonts w:asciiTheme="minorHAnsi" w:hAnsiTheme="minorHAnsi" w:cstheme="minorHAnsi"/>
          <w:bCs/>
          <w:i/>
          <w:iCs/>
          <w:color w:val="000000" w:themeColor="text1"/>
          <w:sz w:val="21"/>
          <w:szCs w:val="21"/>
        </w:rPr>
        <w:t xml:space="preserve">„Na posledním zasedání </w:t>
      </w:r>
      <w:r w:rsidR="000D6DDC">
        <w:rPr>
          <w:rFonts w:asciiTheme="minorHAnsi" w:hAnsiTheme="minorHAnsi" w:cstheme="minorHAnsi"/>
          <w:bCs/>
          <w:i/>
          <w:iCs/>
          <w:color w:val="000000" w:themeColor="text1"/>
          <w:sz w:val="21"/>
          <w:szCs w:val="21"/>
        </w:rPr>
        <w:t>bankovní rady</w:t>
      </w:r>
      <w:r w:rsidRPr="00AB7BAF">
        <w:rPr>
          <w:rFonts w:asciiTheme="minorHAnsi" w:hAnsiTheme="minorHAnsi" w:cstheme="minorHAnsi"/>
          <w:bCs/>
          <w:i/>
          <w:iCs/>
          <w:color w:val="000000" w:themeColor="text1"/>
          <w:sz w:val="21"/>
          <w:szCs w:val="21"/>
        </w:rPr>
        <w:t xml:space="preserve"> došlo ke snížení</w:t>
      </w:r>
      <w:r w:rsidR="000D6DDC">
        <w:rPr>
          <w:rFonts w:asciiTheme="minorHAnsi" w:hAnsiTheme="minorHAnsi" w:cstheme="minorHAnsi"/>
          <w:bCs/>
          <w:i/>
          <w:iCs/>
          <w:color w:val="000000" w:themeColor="text1"/>
          <w:sz w:val="21"/>
          <w:szCs w:val="21"/>
        </w:rPr>
        <w:t xml:space="preserve"> u všech tří</w:t>
      </w:r>
      <w:r w:rsidRPr="00AB7BAF">
        <w:rPr>
          <w:rFonts w:asciiTheme="minorHAnsi" w:hAnsiTheme="minorHAnsi" w:cstheme="minorHAnsi"/>
          <w:bCs/>
          <w:i/>
          <w:iCs/>
          <w:color w:val="000000" w:themeColor="text1"/>
          <w:sz w:val="21"/>
          <w:szCs w:val="21"/>
        </w:rPr>
        <w:t xml:space="preserve"> </w:t>
      </w:r>
      <w:r w:rsidR="000D6DDC">
        <w:rPr>
          <w:rFonts w:asciiTheme="minorHAnsi" w:hAnsiTheme="minorHAnsi" w:cstheme="minorHAnsi"/>
          <w:bCs/>
          <w:i/>
          <w:iCs/>
          <w:color w:val="000000" w:themeColor="text1"/>
          <w:sz w:val="21"/>
          <w:szCs w:val="21"/>
        </w:rPr>
        <w:t xml:space="preserve">základních úrokových sazeb. U </w:t>
      </w:r>
      <w:proofErr w:type="spellStart"/>
      <w:r w:rsidR="000D6DDC">
        <w:rPr>
          <w:rFonts w:asciiTheme="minorHAnsi" w:hAnsiTheme="minorHAnsi" w:cstheme="minorHAnsi"/>
          <w:bCs/>
          <w:i/>
          <w:iCs/>
          <w:color w:val="000000" w:themeColor="text1"/>
          <w:sz w:val="21"/>
          <w:szCs w:val="21"/>
        </w:rPr>
        <w:t>repo</w:t>
      </w:r>
      <w:proofErr w:type="spellEnd"/>
      <w:r w:rsidR="000D6DDC">
        <w:rPr>
          <w:rFonts w:asciiTheme="minorHAnsi" w:hAnsiTheme="minorHAnsi" w:cstheme="minorHAnsi"/>
          <w:bCs/>
          <w:i/>
          <w:iCs/>
          <w:color w:val="000000" w:themeColor="text1"/>
          <w:sz w:val="21"/>
          <w:szCs w:val="21"/>
        </w:rPr>
        <w:t xml:space="preserve"> sazby jde o pokles ze sedmi na 6,75 procenta</w:t>
      </w:r>
      <w:r w:rsidR="002C26EB">
        <w:rPr>
          <w:rFonts w:asciiTheme="minorHAnsi" w:hAnsiTheme="minorHAnsi" w:cstheme="minorHAnsi"/>
          <w:bCs/>
          <w:i/>
          <w:iCs/>
          <w:color w:val="000000" w:themeColor="text1"/>
          <w:sz w:val="21"/>
          <w:szCs w:val="21"/>
        </w:rPr>
        <w:t>, kdy původní</w:t>
      </w:r>
      <w:r w:rsidRPr="00AB7BAF">
        <w:rPr>
          <w:rFonts w:asciiTheme="minorHAnsi" w:hAnsiTheme="minorHAnsi" w:cstheme="minorHAnsi"/>
          <w:bCs/>
          <w:i/>
          <w:iCs/>
          <w:color w:val="000000" w:themeColor="text1"/>
          <w:sz w:val="21"/>
          <w:szCs w:val="21"/>
        </w:rPr>
        <w:t xml:space="preserve"> hodnota vydržela beze změny od června 2022,“</w:t>
      </w:r>
      <w:r w:rsidRPr="00AB7BAF">
        <w:rPr>
          <w:rFonts w:asciiTheme="minorHAnsi" w:hAnsiTheme="minorHAnsi" w:cstheme="minorHAnsi"/>
          <w:bCs/>
          <w:color w:val="000000" w:themeColor="text1"/>
          <w:sz w:val="21"/>
          <w:szCs w:val="21"/>
        </w:rPr>
        <w:t xml:space="preserve"> vysvětluje </w:t>
      </w:r>
      <w:r w:rsidRPr="00AB7BAF">
        <w:rPr>
          <w:rFonts w:asciiTheme="minorHAnsi" w:hAnsiTheme="minorHAnsi" w:cstheme="minorHAnsi"/>
          <w:b/>
          <w:color w:val="000000" w:themeColor="text1"/>
          <w:sz w:val="21"/>
          <w:szCs w:val="21"/>
        </w:rPr>
        <w:t>Michaela Pudilová, analytička hypotečních a spotřebitelských úvěrů ze společnosti Broker Consulting.</w:t>
      </w:r>
      <w:r w:rsidRPr="00AB7BAF">
        <w:rPr>
          <w:rFonts w:asciiTheme="minorHAnsi" w:hAnsiTheme="minorHAnsi" w:cstheme="minorHAnsi"/>
          <w:bCs/>
          <w:color w:val="000000" w:themeColor="text1"/>
          <w:sz w:val="21"/>
          <w:szCs w:val="21"/>
        </w:rPr>
        <w:t xml:space="preserve"> Toto období, kdy byla 2T </w:t>
      </w:r>
      <w:proofErr w:type="spellStart"/>
      <w:r w:rsidRPr="00AB7BAF">
        <w:rPr>
          <w:rFonts w:asciiTheme="minorHAnsi" w:hAnsiTheme="minorHAnsi" w:cstheme="minorHAnsi"/>
          <w:bCs/>
          <w:color w:val="000000" w:themeColor="text1"/>
          <w:sz w:val="21"/>
          <w:szCs w:val="21"/>
        </w:rPr>
        <w:t>repo</w:t>
      </w:r>
      <w:proofErr w:type="spellEnd"/>
      <w:r w:rsidRPr="00AB7BAF">
        <w:rPr>
          <w:rFonts w:asciiTheme="minorHAnsi" w:hAnsiTheme="minorHAnsi" w:cstheme="minorHAnsi"/>
          <w:bCs/>
          <w:color w:val="000000" w:themeColor="text1"/>
          <w:sz w:val="21"/>
          <w:szCs w:val="21"/>
        </w:rPr>
        <w:t xml:space="preserve"> sazba nezměněna</w:t>
      </w:r>
      <w:r w:rsidR="000D6DDC">
        <w:rPr>
          <w:rFonts w:asciiTheme="minorHAnsi" w:hAnsiTheme="minorHAnsi" w:cstheme="minorHAnsi"/>
          <w:bCs/>
          <w:color w:val="000000" w:themeColor="text1"/>
          <w:sz w:val="21"/>
          <w:szCs w:val="21"/>
        </w:rPr>
        <w:t>,</w:t>
      </w:r>
      <w:r w:rsidRPr="00AB7BAF">
        <w:rPr>
          <w:rFonts w:asciiTheme="minorHAnsi" w:hAnsiTheme="minorHAnsi" w:cstheme="minorHAnsi"/>
          <w:bCs/>
          <w:color w:val="000000" w:themeColor="text1"/>
          <w:sz w:val="21"/>
          <w:szCs w:val="21"/>
        </w:rPr>
        <w:t xml:space="preserve"> bylo nejdelší od roku 2017. </w:t>
      </w:r>
    </w:p>
    <w:p w14:paraId="2BB275CA" w14:textId="77777777" w:rsidR="00AB7BAF" w:rsidRPr="00AB7BAF" w:rsidRDefault="00AB7BAF" w:rsidP="00AB7BAF">
      <w:pPr>
        <w:spacing w:before="200" w:after="200"/>
        <w:ind w:right="40"/>
        <w:rPr>
          <w:rFonts w:asciiTheme="minorHAnsi" w:hAnsiTheme="minorHAnsi" w:cstheme="minorHAnsi"/>
          <w:b/>
          <w:color w:val="000000" w:themeColor="text1"/>
          <w:sz w:val="21"/>
          <w:szCs w:val="21"/>
        </w:rPr>
      </w:pPr>
      <w:r w:rsidRPr="00AB7BAF">
        <w:rPr>
          <w:rFonts w:asciiTheme="minorHAnsi" w:hAnsiTheme="minorHAnsi" w:cstheme="minorHAnsi"/>
          <w:b/>
          <w:color w:val="000000" w:themeColor="text1"/>
          <w:sz w:val="21"/>
          <w:szCs w:val="21"/>
        </w:rPr>
        <w:t>Rok 2024 bude pravděpodobně ve znamení poklesu sazeb a oživení trhu</w:t>
      </w:r>
    </w:p>
    <w:p w14:paraId="785D90EF" w14:textId="1A17807F" w:rsidR="00AB7BAF" w:rsidRPr="00AB7BAF" w:rsidRDefault="007B3C38" w:rsidP="00AB7BAF">
      <w:pPr>
        <w:spacing w:before="200" w:after="200"/>
        <w:ind w:right="40"/>
        <w:rPr>
          <w:rFonts w:asciiTheme="minorHAnsi" w:hAnsiTheme="minorHAnsi" w:cstheme="minorHAnsi"/>
          <w:bCs/>
          <w:color w:val="000000" w:themeColor="text1"/>
          <w:sz w:val="21"/>
          <w:szCs w:val="21"/>
        </w:rPr>
      </w:pPr>
      <w:r>
        <w:rPr>
          <w:rFonts w:asciiTheme="minorHAnsi" w:hAnsiTheme="minorHAnsi" w:cstheme="minorHAnsi"/>
          <w:bCs/>
          <w:color w:val="000000" w:themeColor="text1"/>
          <w:sz w:val="21"/>
          <w:szCs w:val="21"/>
        </w:rPr>
        <w:t>Snížení sazeb ze strany centrální banky</w:t>
      </w:r>
      <w:r w:rsidR="00AB7BAF" w:rsidRPr="00AB7BAF">
        <w:rPr>
          <w:rFonts w:asciiTheme="minorHAnsi" w:hAnsiTheme="minorHAnsi" w:cstheme="minorHAnsi"/>
          <w:bCs/>
          <w:color w:val="000000" w:themeColor="text1"/>
          <w:sz w:val="21"/>
          <w:szCs w:val="21"/>
        </w:rPr>
        <w:t xml:space="preserve"> bylo dlouhodobě očekávané. </w:t>
      </w:r>
      <w:r w:rsidR="00AB7BAF" w:rsidRPr="00AB7BAF">
        <w:rPr>
          <w:rFonts w:asciiTheme="minorHAnsi" w:hAnsiTheme="minorHAnsi" w:cstheme="minorHAnsi"/>
          <w:bCs/>
          <w:i/>
          <w:iCs/>
          <w:color w:val="000000" w:themeColor="text1"/>
          <w:sz w:val="21"/>
          <w:szCs w:val="21"/>
        </w:rPr>
        <w:t>„Pozvolné snižování nás bude s největší pravděpodobností provázet v průběhu celého následujícího roku. Prudší pokles sazeb ale neočekáváme, ani od České národní banky, ani následně od bankovních společností. Naopak, snižování úroků pro žadatele hypotečních úvěrů bude velmi pomalé.“</w:t>
      </w:r>
      <w:r w:rsidR="00AB7BAF" w:rsidRPr="00AB7BAF">
        <w:rPr>
          <w:rFonts w:asciiTheme="minorHAnsi" w:hAnsiTheme="minorHAnsi" w:cstheme="minorHAnsi"/>
          <w:bCs/>
          <w:color w:val="000000" w:themeColor="text1"/>
          <w:sz w:val="21"/>
          <w:szCs w:val="21"/>
        </w:rPr>
        <w:t xml:space="preserve"> pokračuje</w:t>
      </w:r>
      <w:r>
        <w:rPr>
          <w:rFonts w:asciiTheme="minorHAnsi" w:hAnsiTheme="minorHAnsi" w:cstheme="minorHAnsi"/>
          <w:bCs/>
          <w:color w:val="000000" w:themeColor="text1"/>
          <w:sz w:val="21"/>
          <w:szCs w:val="21"/>
        </w:rPr>
        <w:t xml:space="preserve"> </w:t>
      </w:r>
      <w:r w:rsidRPr="003046FE">
        <w:rPr>
          <w:rFonts w:asciiTheme="minorHAnsi" w:hAnsiTheme="minorHAnsi" w:cstheme="minorHAnsi"/>
          <w:b/>
          <w:bCs/>
          <w:color w:val="000000" w:themeColor="text1"/>
          <w:sz w:val="21"/>
          <w:szCs w:val="21"/>
        </w:rPr>
        <w:t>Michaela</w:t>
      </w:r>
      <w:r w:rsidR="00AB7BAF" w:rsidRPr="003046FE">
        <w:rPr>
          <w:rFonts w:asciiTheme="minorHAnsi" w:hAnsiTheme="minorHAnsi" w:cstheme="minorHAnsi"/>
          <w:b/>
          <w:bCs/>
          <w:color w:val="000000" w:themeColor="text1"/>
          <w:sz w:val="21"/>
          <w:szCs w:val="21"/>
        </w:rPr>
        <w:t xml:space="preserve"> Pudilová</w:t>
      </w:r>
      <w:r w:rsidR="00AB7BAF" w:rsidRPr="00AB7BAF">
        <w:rPr>
          <w:rFonts w:asciiTheme="minorHAnsi" w:hAnsiTheme="minorHAnsi" w:cstheme="minorHAnsi"/>
          <w:bCs/>
          <w:color w:val="000000" w:themeColor="text1"/>
          <w:sz w:val="21"/>
          <w:szCs w:val="21"/>
        </w:rPr>
        <w:t>. Z pohledu bank by bylo prudké snížení úroků provázeno nižším výnosem a vyšším rizikem. Tuto předpověď potvrzuje i předstihový ukazatel hypotečních úvěrů, který by</w:t>
      </w:r>
      <w:r>
        <w:rPr>
          <w:rFonts w:asciiTheme="minorHAnsi" w:hAnsiTheme="minorHAnsi" w:cstheme="minorHAnsi"/>
          <w:bCs/>
          <w:color w:val="000000" w:themeColor="text1"/>
          <w:sz w:val="21"/>
          <w:szCs w:val="21"/>
        </w:rPr>
        <w:t>l v prosinci vypočítán na 5,81 procenta</w:t>
      </w:r>
      <w:r w:rsidR="00AB7BAF" w:rsidRPr="00AB7BAF">
        <w:rPr>
          <w:rFonts w:asciiTheme="minorHAnsi" w:hAnsiTheme="minorHAnsi" w:cstheme="minorHAnsi"/>
          <w:bCs/>
          <w:color w:val="000000" w:themeColor="text1"/>
          <w:sz w:val="21"/>
          <w:szCs w:val="21"/>
        </w:rPr>
        <w:t xml:space="preserve">, což je </w:t>
      </w:r>
      <w:r>
        <w:rPr>
          <w:rFonts w:asciiTheme="minorHAnsi" w:hAnsiTheme="minorHAnsi" w:cstheme="minorHAnsi"/>
          <w:bCs/>
          <w:color w:val="000000" w:themeColor="text1"/>
          <w:sz w:val="21"/>
          <w:szCs w:val="21"/>
        </w:rPr>
        <w:t xml:space="preserve">oproti listopadové hodnotě předpokládaný </w:t>
      </w:r>
      <w:r w:rsidR="00AB7BAF" w:rsidRPr="00AB7BAF">
        <w:rPr>
          <w:rFonts w:asciiTheme="minorHAnsi" w:hAnsiTheme="minorHAnsi" w:cstheme="minorHAnsi"/>
          <w:bCs/>
          <w:color w:val="000000" w:themeColor="text1"/>
          <w:sz w:val="21"/>
          <w:szCs w:val="21"/>
        </w:rPr>
        <w:t xml:space="preserve">pokles o čtyři bazické body. </w:t>
      </w:r>
    </w:p>
    <w:p w14:paraId="2482426B" w14:textId="79FBFE61" w:rsidR="004A08FC" w:rsidRPr="00AB7BAF" w:rsidRDefault="004A08FC" w:rsidP="00132E53">
      <w:pPr>
        <w:spacing w:before="200" w:after="200"/>
        <w:ind w:right="40"/>
        <w:rPr>
          <w:rFonts w:asciiTheme="minorHAnsi" w:hAnsiTheme="minorHAnsi" w:cstheme="minorHAnsi"/>
          <w:b/>
          <w:i/>
          <w:noProof/>
          <w:color w:val="FF0000"/>
          <w:sz w:val="21"/>
          <w:szCs w:val="21"/>
          <w:lang w:bidi="ar-SA"/>
        </w:rPr>
      </w:pPr>
      <w:r w:rsidRPr="00AB7BAF">
        <w:rPr>
          <w:rFonts w:asciiTheme="minorHAnsi" w:hAnsiTheme="minorHAnsi" w:cstheme="minorHAnsi"/>
          <w:b/>
          <w:i/>
          <w:noProof/>
          <w:color w:val="FF0000"/>
          <w:sz w:val="21"/>
          <w:szCs w:val="21"/>
          <w:lang w:bidi="ar-SA"/>
        </w:rPr>
        <w:drawing>
          <wp:inline distT="0" distB="0" distL="0" distR="0" wp14:anchorId="535AB909" wp14:editId="5504E42E">
            <wp:extent cx="6635750" cy="293878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 BC Index hypotečních úvěrů - prosinec 2023..jpg"/>
                    <pic:cNvPicPr/>
                  </pic:nvPicPr>
                  <pic:blipFill>
                    <a:blip r:embed="rId29">
                      <a:extLst>
                        <a:ext uri="{28A0092B-C50C-407E-A947-70E740481C1C}">
                          <a14:useLocalDpi xmlns:a14="http://schemas.microsoft.com/office/drawing/2010/main" val="0"/>
                        </a:ext>
                      </a:extLst>
                    </a:blip>
                    <a:stretch>
                      <a:fillRect/>
                    </a:stretch>
                  </pic:blipFill>
                  <pic:spPr>
                    <a:xfrm>
                      <a:off x="0" y="0"/>
                      <a:ext cx="6635750" cy="2938780"/>
                    </a:xfrm>
                    <a:prstGeom prst="rect">
                      <a:avLst/>
                    </a:prstGeom>
                  </pic:spPr>
                </pic:pic>
              </a:graphicData>
            </a:graphic>
          </wp:inline>
        </w:drawing>
      </w:r>
    </w:p>
    <w:p w14:paraId="4E3563BE" w14:textId="77777777" w:rsidR="00532F2D" w:rsidRDefault="00532F2D" w:rsidP="00AB7BAF">
      <w:pPr>
        <w:spacing w:before="200" w:after="200"/>
        <w:ind w:right="40"/>
        <w:rPr>
          <w:rFonts w:asciiTheme="minorHAnsi" w:hAnsiTheme="minorHAnsi" w:cstheme="minorHAnsi"/>
          <w:b/>
          <w:i/>
          <w:noProof/>
          <w:color w:val="FF0000"/>
          <w:sz w:val="21"/>
          <w:szCs w:val="21"/>
          <w:lang w:bidi="ar-SA"/>
        </w:rPr>
      </w:pPr>
    </w:p>
    <w:p w14:paraId="0F436A4C" w14:textId="0BF7008C" w:rsidR="003046FE" w:rsidRPr="003046FE" w:rsidRDefault="003046FE" w:rsidP="00AB7BAF">
      <w:pPr>
        <w:spacing w:before="200" w:after="200"/>
        <w:ind w:right="40"/>
        <w:rPr>
          <w:rFonts w:asciiTheme="minorHAnsi" w:hAnsiTheme="minorHAnsi" w:cstheme="minorHAnsi"/>
          <w:b/>
          <w:bCs/>
          <w:color w:val="000000" w:themeColor="text1"/>
          <w:sz w:val="21"/>
          <w:szCs w:val="21"/>
        </w:rPr>
      </w:pPr>
      <w:r>
        <w:rPr>
          <w:rFonts w:asciiTheme="minorHAnsi" w:hAnsiTheme="minorHAnsi" w:cstheme="minorHAnsi"/>
          <w:b/>
          <w:bCs/>
          <w:color w:val="000000" w:themeColor="text1"/>
          <w:sz w:val="21"/>
          <w:szCs w:val="21"/>
        </w:rPr>
        <w:t>Dění v minulém roce</w:t>
      </w:r>
    </w:p>
    <w:p w14:paraId="464BC3DC" w14:textId="77777777" w:rsidR="00870EAA" w:rsidRDefault="00E86628" w:rsidP="00AB7BAF">
      <w:pPr>
        <w:spacing w:before="200" w:after="200"/>
        <w:ind w:right="40"/>
        <w:rPr>
          <w:rFonts w:asciiTheme="minorHAnsi" w:hAnsiTheme="minorHAnsi" w:cstheme="minorHAnsi"/>
          <w:bCs/>
          <w:color w:val="000000" w:themeColor="text1"/>
          <w:sz w:val="21"/>
          <w:szCs w:val="21"/>
        </w:rPr>
      </w:pPr>
      <w:r>
        <w:rPr>
          <w:rFonts w:asciiTheme="minorHAnsi" w:hAnsiTheme="minorHAnsi" w:cstheme="minorHAnsi"/>
          <w:bCs/>
          <w:color w:val="000000" w:themeColor="text1"/>
          <w:sz w:val="21"/>
          <w:szCs w:val="21"/>
        </w:rPr>
        <w:t xml:space="preserve">Přelom roku 2022 a 2023 znamenal zamrznutí hypoték. </w:t>
      </w:r>
      <w:r w:rsidR="004B1364">
        <w:rPr>
          <w:rFonts w:asciiTheme="minorHAnsi" w:hAnsiTheme="minorHAnsi" w:cstheme="minorHAnsi"/>
          <w:bCs/>
          <w:color w:val="000000" w:themeColor="text1"/>
          <w:sz w:val="21"/>
          <w:szCs w:val="21"/>
        </w:rPr>
        <w:t xml:space="preserve">To ovlivnilo </w:t>
      </w:r>
      <w:r w:rsidR="00F009B3">
        <w:rPr>
          <w:rFonts w:asciiTheme="minorHAnsi" w:hAnsiTheme="minorHAnsi" w:cstheme="minorHAnsi"/>
          <w:bCs/>
          <w:color w:val="000000" w:themeColor="text1"/>
          <w:sz w:val="21"/>
          <w:szCs w:val="21"/>
        </w:rPr>
        <w:t>situaci v některých realitních segmentech</w:t>
      </w:r>
      <w:r w:rsidR="004B1364">
        <w:rPr>
          <w:rFonts w:asciiTheme="minorHAnsi" w:hAnsiTheme="minorHAnsi" w:cstheme="minorHAnsi"/>
          <w:bCs/>
          <w:color w:val="000000" w:themeColor="text1"/>
          <w:sz w:val="21"/>
          <w:szCs w:val="21"/>
        </w:rPr>
        <w:t>.</w:t>
      </w:r>
      <w:r w:rsidR="00AB7BAF" w:rsidRPr="00AB7BAF">
        <w:rPr>
          <w:rFonts w:asciiTheme="minorHAnsi" w:hAnsiTheme="minorHAnsi" w:cstheme="minorHAnsi"/>
          <w:bCs/>
          <w:color w:val="000000" w:themeColor="text1"/>
          <w:sz w:val="21"/>
          <w:szCs w:val="21"/>
        </w:rPr>
        <w:t xml:space="preserve"> </w:t>
      </w:r>
      <w:r w:rsidR="00AB7BAF" w:rsidRPr="00AB7BAF">
        <w:rPr>
          <w:rFonts w:asciiTheme="minorHAnsi" w:hAnsiTheme="minorHAnsi" w:cstheme="minorHAnsi"/>
          <w:bCs/>
          <w:i/>
          <w:iCs/>
          <w:color w:val="000000" w:themeColor="text1"/>
          <w:sz w:val="21"/>
          <w:szCs w:val="21"/>
        </w:rPr>
        <w:t>„</w:t>
      </w:r>
      <w:r w:rsidR="00F009B3">
        <w:rPr>
          <w:rFonts w:asciiTheme="minorHAnsi" w:hAnsiTheme="minorHAnsi" w:cstheme="minorHAnsi"/>
          <w:bCs/>
          <w:i/>
          <w:iCs/>
          <w:color w:val="000000" w:themeColor="text1"/>
          <w:sz w:val="21"/>
          <w:szCs w:val="21"/>
        </w:rPr>
        <w:t>Prodávající</w:t>
      </w:r>
      <w:r w:rsidR="00AB7BAF" w:rsidRPr="00AB7BAF">
        <w:rPr>
          <w:rFonts w:asciiTheme="minorHAnsi" w:hAnsiTheme="minorHAnsi" w:cstheme="minorHAnsi"/>
          <w:bCs/>
          <w:i/>
          <w:iCs/>
          <w:color w:val="000000" w:themeColor="text1"/>
          <w:sz w:val="21"/>
          <w:szCs w:val="21"/>
        </w:rPr>
        <w:t xml:space="preserve"> nechtěli snižovat cenu za nemovitosti, kupující vedle toho zase nechtěli ceny akceptovat. Zároveň klesla kvůli vysokým úrokovým sazbám poptávka, a to jednoduše díky tomu, že méně lidí dosáhlo na vysokou hypotéku,“ </w:t>
      </w:r>
      <w:r w:rsidR="00F009B3">
        <w:rPr>
          <w:rFonts w:asciiTheme="minorHAnsi" w:hAnsiTheme="minorHAnsi" w:cstheme="minorHAnsi"/>
          <w:bCs/>
          <w:color w:val="000000" w:themeColor="text1"/>
          <w:sz w:val="21"/>
          <w:szCs w:val="21"/>
        </w:rPr>
        <w:t>popisuje</w:t>
      </w:r>
      <w:r w:rsidR="00532F2D">
        <w:rPr>
          <w:rFonts w:asciiTheme="minorHAnsi" w:hAnsiTheme="minorHAnsi" w:cstheme="minorHAnsi"/>
          <w:bCs/>
          <w:color w:val="000000" w:themeColor="text1"/>
          <w:sz w:val="21"/>
          <w:szCs w:val="21"/>
        </w:rPr>
        <w:t xml:space="preserve"> </w:t>
      </w:r>
      <w:r w:rsidR="00AB7BAF" w:rsidRPr="00AB7BAF">
        <w:rPr>
          <w:rFonts w:asciiTheme="minorHAnsi" w:hAnsiTheme="minorHAnsi" w:cstheme="minorHAnsi"/>
          <w:b/>
          <w:color w:val="000000" w:themeColor="text1"/>
          <w:sz w:val="21"/>
          <w:szCs w:val="21"/>
        </w:rPr>
        <w:lastRenderedPageBreak/>
        <w:t>hlavní analytik Broker Consulting Martin Novák.</w:t>
      </w:r>
      <w:r w:rsidR="00AB7BAF" w:rsidRPr="00AB7BAF">
        <w:rPr>
          <w:rFonts w:asciiTheme="minorHAnsi" w:hAnsiTheme="minorHAnsi" w:cstheme="minorHAnsi"/>
          <w:bCs/>
          <w:color w:val="000000" w:themeColor="text1"/>
          <w:sz w:val="21"/>
          <w:szCs w:val="21"/>
        </w:rPr>
        <w:t xml:space="preserve"> </w:t>
      </w:r>
      <w:r w:rsidR="00532F2D">
        <w:rPr>
          <w:rFonts w:asciiTheme="minorHAnsi" w:hAnsiTheme="minorHAnsi" w:cstheme="minorHAnsi"/>
          <w:bCs/>
          <w:color w:val="000000" w:themeColor="text1"/>
          <w:sz w:val="21"/>
          <w:szCs w:val="21"/>
        </w:rPr>
        <w:t xml:space="preserve">Po zrušení parametru DSTI došlo k mírnému oživení a zároveň </w:t>
      </w:r>
      <w:r w:rsidR="006E675F">
        <w:rPr>
          <w:rFonts w:asciiTheme="minorHAnsi" w:hAnsiTheme="minorHAnsi" w:cstheme="minorHAnsi"/>
          <w:bCs/>
          <w:color w:val="000000" w:themeColor="text1"/>
          <w:sz w:val="21"/>
          <w:szCs w:val="21"/>
        </w:rPr>
        <w:t xml:space="preserve">dál rostla adaptace </w:t>
      </w:r>
      <w:r w:rsidR="00532F2D">
        <w:rPr>
          <w:rFonts w:asciiTheme="minorHAnsi" w:hAnsiTheme="minorHAnsi" w:cstheme="minorHAnsi"/>
          <w:bCs/>
          <w:color w:val="000000" w:themeColor="text1"/>
          <w:sz w:val="21"/>
          <w:szCs w:val="21"/>
        </w:rPr>
        <w:t>na vysoké sazby. Postupně</w:t>
      </w:r>
      <w:r w:rsidR="006E675F">
        <w:rPr>
          <w:rFonts w:asciiTheme="minorHAnsi" w:hAnsiTheme="minorHAnsi" w:cstheme="minorHAnsi"/>
          <w:bCs/>
          <w:color w:val="000000" w:themeColor="text1"/>
          <w:sz w:val="21"/>
          <w:szCs w:val="21"/>
        </w:rPr>
        <w:t xml:space="preserve"> proto v druhé polovině loňska narůstal</w:t>
      </w:r>
      <w:r w:rsidR="00532F2D">
        <w:rPr>
          <w:rFonts w:asciiTheme="minorHAnsi" w:hAnsiTheme="minorHAnsi" w:cstheme="minorHAnsi"/>
          <w:bCs/>
          <w:color w:val="000000" w:themeColor="text1"/>
          <w:sz w:val="21"/>
          <w:szCs w:val="21"/>
        </w:rPr>
        <w:t xml:space="preserve"> objem sjednaných </w:t>
      </w:r>
      <w:r w:rsidR="006E675F">
        <w:rPr>
          <w:rFonts w:asciiTheme="minorHAnsi" w:hAnsiTheme="minorHAnsi" w:cstheme="minorHAnsi"/>
          <w:bCs/>
          <w:color w:val="000000" w:themeColor="text1"/>
          <w:sz w:val="21"/>
          <w:szCs w:val="21"/>
        </w:rPr>
        <w:t>hypoték</w:t>
      </w:r>
      <w:r w:rsidR="00532F2D">
        <w:rPr>
          <w:rFonts w:asciiTheme="minorHAnsi" w:hAnsiTheme="minorHAnsi" w:cstheme="minorHAnsi"/>
          <w:bCs/>
          <w:color w:val="000000" w:themeColor="text1"/>
          <w:sz w:val="21"/>
          <w:szCs w:val="21"/>
        </w:rPr>
        <w:t xml:space="preserve">. </w:t>
      </w:r>
    </w:p>
    <w:p w14:paraId="5FD29DDA" w14:textId="61B70BC7" w:rsidR="00AB7BAF" w:rsidRPr="00AB7BAF" w:rsidRDefault="00AB7BAF" w:rsidP="00AB7BAF">
      <w:pPr>
        <w:spacing w:before="200" w:after="200"/>
        <w:ind w:right="40"/>
        <w:rPr>
          <w:rFonts w:asciiTheme="minorHAnsi" w:hAnsiTheme="minorHAnsi" w:cstheme="minorHAnsi"/>
          <w:bCs/>
          <w:color w:val="000000" w:themeColor="text1"/>
          <w:sz w:val="21"/>
          <w:szCs w:val="21"/>
        </w:rPr>
      </w:pPr>
      <w:r w:rsidRPr="00AB7BAF">
        <w:rPr>
          <w:rFonts w:asciiTheme="minorHAnsi" w:hAnsiTheme="minorHAnsi" w:cstheme="minorHAnsi"/>
          <w:bCs/>
          <w:color w:val="000000" w:themeColor="text1"/>
          <w:sz w:val="21"/>
          <w:szCs w:val="21"/>
        </w:rPr>
        <w:t>Pro r</w:t>
      </w:r>
      <w:r>
        <w:rPr>
          <w:rFonts w:asciiTheme="minorHAnsi" w:hAnsiTheme="minorHAnsi" w:cstheme="minorHAnsi"/>
          <w:bCs/>
          <w:color w:val="000000" w:themeColor="text1"/>
          <w:sz w:val="21"/>
          <w:szCs w:val="21"/>
        </w:rPr>
        <w:t>ok 2024 se s ohledem na postupné</w:t>
      </w:r>
      <w:r w:rsidRPr="00AB7BAF">
        <w:rPr>
          <w:rFonts w:asciiTheme="minorHAnsi" w:hAnsiTheme="minorHAnsi" w:cstheme="minorHAnsi"/>
          <w:bCs/>
          <w:color w:val="000000" w:themeColor="text1"/>
          <w:sz w:val="21"/>
          <w:szCs w:val="21"/>
        </w:rPr>
        <w:t xml:space="preserve"> snižování sazeb ČNB očekává </w:t>
      </w:r>
      <w:r w:rsidR="00532F2D">
        <w:rPr>
          <w:rFonts w:asciiTheme="minorHAnsi" w:hAnsiTheme="minorHAnsi" w:cstheme="minorHAnsi"/>
          <w:bCs/>
          <w:color w:val="000000" w:themeColor="text1"/>
          <w:sz w:val="21"/>
          <w:szCs w:val="21"/>
        </w:rPr>
        <w:t>další</w:t>
      </w:r>
      <w:r w:rsidRPr="00AB7BAF">
        <w:rPr>
          <w:rFonts w:asciiTheme="minorHAnsi" w:hAnsiTheme="minorHAnsi" w:cstheme="minorHAnsi"/>
          <w:bCs/>
          <w:color w:val="000000" w:themeColor="text1"/>
          <w:sz w:val="21"/>
          <w:szCs w:val="21"/>
        </w:rPr>
        <w:t xml:space="preserve"> oživení poptávky na hypotečním trhu. </w:t>
      </w:r>
      <w:r w:rsidRPr="00AB7BAF">
        <w:rPr>
          <w:rFonts w:asciiTheme="minorHAnsi" w:hAnsiTheme="minorHAnsi" w:cstheme="minorHAnsi"/>
          <w:bCs/>
          <w:i/>
          <w:iCs/>
          <w:color w:val="000000" w:themeColor="text1"/>
          <w:sz w:val="21"/>
          <w:szCs w:val="21"/>
        </w:rPr>
        <w:t>„</w:t>
      </w:r>
      <w:r w:rsidR="006E675F">
        <w:rPr>
          <w:rFonts w:asciiTheme="minorHAnsi" w:hAnsiTheme="minorHAnsi" w:cstheme="minorHAnsi"/>
          <w:bCs/>
          <w:i/>
          <w:iCs/>
          <w:color w:val="000000" w:themeColor="text1"/>
          <w:sz w:val="21"/>
          <w:szCs w:val="21"/>
        </w:rPr>
        <w:t xml:space="preserve">Jako </w:t>
      </w:r>
      <w:r w:rsidRPr="00AB7BAF">
        <w:rPr>
          <w:rFonts w:asciiTheme="minorHAnsi" w:hAnsiTheme="minorHAnsi" w:cstheme="minorHAnsi"/>
          <w:bCs/>
          <w:i/>
          <w:iCs/>
          <w:color w:val="000000" w:themeColor="text1"/>
          <w:sz w:val="21"/>
          <w:szCs w:val="21"/>
        </w:rPr>
        <w:t xml:space="preserve">reálný </w:t>
      </w:r>
      <w:r w:rsidR="006E675F">
        <w:rPr>
          <w:rFonts w:asciiTheme="minorHAnsi" w:hAnsiTheme="minorHAnsi" w:cstheme="minorHAnsi"/>
          <w:bCs/>
          <w:i/>
          <w:iCs/>
          <w:color w:val="000000" w:themeColor="text1"/>
          <w:sz w:val="21"/>
          <w:szCs w:val="21"/>
        </w:rPr>
        <w:t xml:space="preserve">vidíme </w:t>
      </w:r>
      <w:r w:rsidRPr="00AB7BAF">
        <w:rPr>
          <w:rFonts w:asciiTheme="minorHAnsi" w:hAnsiTheme="minorHAnsi" w:cstheme="minorHAnsi"/>
          <w:bCs/>
          <w:i/>
          <w:iCs/>
          <w:color w:val="000000" w:themeColor="text1"/>
          <w:sz w:val="21"/>
          <w:szCs w:val="21"/>
        </w:rPr>
        <w:t>odhad</w:t>
      </w:r>
      <w:r w:rsidR="006E675F">
        <w:rPr>
          <w:rFonts w:asciiTheme="minorHAnsi" w:hAnsiTheme="minorHAnsi" w:cstheme="minorHAnsi"/>
          <w:bCs/>
          <w:i/>
          <w:iCs/>
          <w:color w:val="000000" w:themeColor="text1"/>
          <w:sz w:val="21"/>
          <w:szCs w:val="21"/>
        </w:rPr>
        <w:t xml:space="preserve"> </w:t>
      </w:r>
      <w:r w:rsidRPr="00AB7BAF">
        <w:rPr>
          <w:rFonts w:asciiTheme="minorHAnsi" w:hAnsiTheme="minorHAnsi" w:cstheme="minorHAnsi"/>
          <w:bCs/>
          <w:i/>
          <w:iCs/>
          <w:color w:val="000000" w:themeColor="text1"/>
          <w:sz w:val="21"/>
          <w:szCs w:val="21"/>
        </w:rPr>
        <w:t>kole</w:t>
      </w:r>
      <w:r w:rsidR="006E675F">
        <w:rPr>
          <w:rFonts w:asciiTheme="minorHAnsi" w:hAnsiTheme="minorHAnsi" w:cstheme="minorHAnsi"/>
          <w:bCs/>
          <w:i/>
          <w:iCs/>
          <w:color w:val="000000" w:themeColor="text1"/>
          <w:sz w:val="21"/>
          <w:szCs w:val="21"/>
        </w:rPr>
        <w:t>m čtyř procent u pětileté fixace</w:t>
      </w:r>
      <w:r w:rsidR="001D42DB">
        <w:rPr>
          <w:rFonts w:asciiTheme="minorHAnsi" w:hAnsiTheme="minorHAnsi" w:cstheme="minorHAnsi"/>
          <w:bCs/>
          <w:i/>
          <w:iCs/>
          <w:color w:val="000000" w:themeColor="text1"/>
          <w:sz w:val="21"/>
          <w:szCs w:val="21"/>
        </w:rPr>
        <w:t xml:space="preserve"> na konci nastalého roku</w:t>
      </w:r>
      <w:r w:rsidRPr="00AB7BAF">
        <w:rPr>
          <w:rFonts w:asciiTheme="minorHAnsi" w:hAnsiTheme="minorHAnsi" w:cstheme="minorHAnsi"/>
          <w:bCs/>
          <w:i/>
          <w:iCs/>
          <w:color w:val="000000" w:themeColor="text1"/>
          <w:sz w:val="21"/>
          <w:szCs w:val="21"/>
        </w:rPr>
        <w:t>. Rozhodně zatím nelze očekávat přiblížení k oblíbené dvou procentní hranici úrokové sazby, jako tomu bylo v minulosti“</w:t>
      </w:r>
      <w:r w:rsidRPr="00AB7BAF">
        <w:rPr>
          <w:rFonts w:asciiTheme="minorHAnsi" w:hAnsiTheme="minorHAnsi" w:cstheme="minorHAnsi"/>
          <w:bCs/>
          <w:color w:val="000000" w:themeColor="text1"/>
          <w:sz w:val="21"/>
          <w:szCs w:val="21"/>
        </w:rPr>
        <w:t xml:space="preserve"> doplňuje </w:t>
      </w:r>
      <w:r w:rsidR="001D42DB">
        <w:rPr>
          <w:rFonts w:asciiTheme="minorHAnsi" w:hAnsiTheme="minorHAnsi" w:cstheme="minorHAnsi"/>
          <w:bCs/>
          <w:color w:val="000000" w:themeColor="text1"/>
          <w:sz w:val="21"/>
          <w:szCs w:val="21"/>
        </w:rPr>
        <w:t xml:space="preserve">Michaela </w:t>
      </w:r>
      <w:r w:rsidRPr="00AB7BAF">
        <w:rPr>
          <w:rFonts w:asciiTheme="minorHAnsi" w:hAnsiTheme="minorHAnsi" w:cstheme="minorHAnsi"/>
          <w:bCs/>
          <w:color w:val="000000" w:themeColor="text1"/>
          <w:sz w:val="21"/>
          <w:szCs w:val="21"/>
        </w:rPr>
        <w:t xml:space="preserve">Pudilová. </w:t>
      </w:r>
    </w:p>
    <w:p w14:paraId="2DFEAA6F" w14:textId="77777777" w:rsidR="00AB7BAF" w:rsidRPr="00AB7BAF" w:rsidRDefault="00AB7BAF" w:rsidP="00AB7BAF">
      <w:pPr>
        <w:spacing w:before="200" w:after="200"/>
        <w:ind w:right="40"/>
        <w:rPr>
          <w:rFonts w:asciiTheme="minorHAnsi" w:hAnsiTheme="minorHAnsi" w:cstheme="minorHAnsi"/>
          <w:b/>
          <w:color w:val="000000" w:themeColor="text1"/>
          <w:sz w:val="21"/>
          <w:szCs w:val="21"/>
        </w:rPr>
      </w:pPr>
      <w:r w:rsidRPr="00AB7BAF">
        <w:rPr>
          <w:rFonts w:asciiTheme="minorHAnsi" w:hAnsiTheme="minorHAnsi" w:cstheme="minorHAnsi"/>
          <w:b/>
          <w:color w:val="000000" w:themeColor="text1"/>
          <w:sz w:val="21"/>
          <w:szCs w:val="21"/>
        </w:rPr>
        <w:t xml:space="preserve">U </w:t>
      </w:r>
      <w:proofErr w:type="spellStart"/>
      <w:r w:rsidRPr="00AB7BAF">
        <w:rPr>
          <w:rFonts w:asciiTheme="minorHAnsi" w:hAnsiTheme="minorHAnsi" w:cstheme="minorHAnsi"/>
          <w:b/>
          <w:color w:val="000000" w:themeColor="text1"/>
          <w:sz w:val="21"/>
          <w:szCs w:val="21"/>
        </w:rPr>
        <w:t>refixace</w:t>
      </w:r>
      <w:proofErr w:type="spellEnd"/>
      <w:r w:rsidRPr="00AB7BAF">
        <w:rPr>
          <w:rFonts w:asciiTheme="minorHAnsi" w:hAnsiTheme="minorHAnsi" w:cstheme="minorHAnsi"/>
          <w:b/>
          <w:color w:val="000000" w:themeColor="text1"/>
          <w:sz w:val="21"/>
          <w:szCs w:val="21"/>
        </w:rPr>
        <w:t xml:space="preserve"> se vyplatí počkat</w:t>
      </w:r>
    </w:p>
    <w:p w14:paraId="1DDD2FEE" w14:textId="6E48D376" w:rsidR="00AB7BAF" w:rsidRPr="00AB7BAF" w:rsidRDefault="00AB7BAF" w:rsidP="00AB7BAF">
      <w:pPr>
        <w:spacing w:before="200" w:after="200"/>
        <w:ind w:right="40"/>
        <w:rPr>
          <w:rFonts w:asciiTheme="minorHAnsi" w:hAnsiTheme="minorHAnsi" w:cstheme="minorHAnsi"/>
          <w:bCs/>
          <w:color w:val="000000" w:themeColor="text1"/>
          <w:sz w:val="21"/>
          <w:szCs w:val="21"/>
        </w:rPr>
      </w:pPr>
      <w:r w:rsidRPr="00AB7BAF">
        <w:rPr>
          <w:rFonts w:asciiTheme="minorHAnsi" w:hAnsiTheme="minorHAnsi" w:cstheme="minorHAnsi"/>
          <w:bCs/>
          <w:color w:val="000000" w:themeColor="text1"/>
          <w:sz w:val="21"/>
          <w:szCs w:val="21"/>
        </w:rPr>
        <w:t xml:space="preserve">I letos bude řada lidí řešit refinancování starých </w:t>
      </w:r>
      <w:r w:rsidR="001D42DB">
        <w:rPr>
          <w:rFonts w:asciiTheme="minorHAnsi" w:hAnsiTheme="minorHAnsi" w:cstheme="minorHAnsi"/>
          <w:bCs/>
          <w:color w:val="000000" w:themeColor="text1"/>
          <w:sz w:val="21"/>
          <w:szCs w:val="21"/>
        </w:rPr>
        <w:t xml:space="preserve">hypotečních úvěrů. Mnohým </w:t>
      </w:r>
      <w:r w:rsidRPr="00AB7BAF">
        <w:rPr>
          <w:rFonts w:asciiTheme="minorHAnsi" w:hAnsiTheme="minorHAnsi" w:cstheme="minorHAnsi"/>
          <w:bCs/>
          <w:color w:val="000000" w:themeColor="text1"/>
          <w:sz w:val="21"/>
          <w:szCs w:val="21"/>
        </w:rPr>
        <w:t>bude</w:t>
      </w:r>
      <w:r w:rsidR="001D42DB">
        <w:rPr>
          <w:rFonts w:asciiTheme="minorHAnsi" w:hAnsiTheme="minorHAnsi" w:cstheme="minorHAnsi"/>
          <w:bCs/>
          <w:color w:val="000000" w:themeColor="text1"/>
          <w:sz w:val="21"/>
          <w:szCs w:val="21"/>
        </w:rPr>
        <w:t xml:space="preserve"> například</w:t>
      </w:r>
      <w:r w:rsidRPr="00AB7BAF">
        <w:rPr>
          <w:rFonts w:asciiTheme="minorHAnsi" w:hAnsiTheme="minorHAnsi" w:cstheme="minorHAnsi"/>
          <w:bCs/>
          <w:color w:val="000000" w:themeColor="text1"/>
          <w:sz w:val="21"/>
          <w:szCs w:val="21"/>
        </w:rPr>
        <w:t xml:space="preserve"> končit velmi výhodná pětiletá fi</w:t>
      </w:r>
      <w:r w:rsidR="001D42DB">
        <w:rPr>
          <w:rFonts w:asciiTheme="minorHAnsi" w:hAnsiTheme="minorHAnsi" w:cstheme="minorHAnsi"/>
          <w:bCs/>
          <w:color w:val="000000" w:themeColor="text1"/>
          <w:sz w:val="21"/>
          <w:szCs w:val="21"/>
        </w:rPr>
        <w:t>xace úrokových sazeb z roku 2019</w:t>
      </w:r>
      <w:r w:rsidRPr="00AB7BAF">
        <w:rPr>
          <w:rFonts w:asciiTheme="minorHAnsi" w:hAnsiTheme="minorHAnsi" w:cstheme="minorHAnsi"/>
          <w:bCs/>
          <w:color w:val="000000" w:themeColor="text1"/>
          <w:sz w:val="21"/>
          <w:szCs w:val="21"/>
        </w:rPr>
        <w:t>, kdy průměrná s</w:t>
      </w:r>
      <w:r w:rsidR="001D42DB">
        <w:rPr>
          <w:rFonts w:asciiTheme="minorHAnsi" w:hAnsiTheme="minorHAnsi" w:cstheme="minorHAnsi"/>
          <w:bCs/>
          <w:color w:val="000000" w:themeColor="text1"/>
          <w:sz w:val="21"/>
          <w:szCs w:val="21"/>
        </w:rPr>
        <w:t>azba dosahovala úrovně mezi 2,5 až 3 procenty</w:t>
      </w:r>
      <w:r w:rsidRPr="00AB7BAF">
        <w:rPr>
          <w:rFonts w:asciiTheme="minorHAnsi" w:hAnsiTheme="minorHAnsi" w:cstheme="minorHAnsi"/>
          <w:bCs/>
          <w:color w:val="000000" w:themeColor="text1"/>
          <w:sz w:val="21"/>
          <w:szCs w:val="21"/>
        </w:rPr>
        <w:t>. „</w:t>
      </w:r>
      <w:r w:rsidRPr="00AB7BAF">
        <w:rPr>
          <w:rFonts w:asciiTheme="minorHAnsi" w:hAnsiTheme="minorHAnsi" w:cstheme="minorHAnsi"/>
          <w:bCs/>
          <w:i/>
          <w:iCs/>
          <w:color w:val="000000" w:themeColor="text1"/>
          <w:sz w:val="21"/>
          <w:szCs w:val="21"/>
        </w:rPr>
        <w:t xml:space="preserve">U hypotéky na pět milionů korun se po refinancování na pět procent jedná o nárůst na splátce </w:t>
      </w:r>
      <w:r w:rsidR="00D422E9">
        <w:rPr>
          <w:rFonts w:asciiTheme="minorHAnsi" w:hAnsiTheme="minorHAnsi" w:cstheme="minorHAnsi"/>
          <w:bCs/>
          <w:i/>
          <w:iCs/>
          <w:color w:val="000000" w:themeColor="text1"/>
          <w:sz w:val="21"/>
          <w:szCs w:val="21"/>
        </w:rPr>
        <w:t>o šest až sedm</w:t>
      </w:r>
      <w:r w:rsidRPr="00AB7BAF">
        <w:rPr>
          <w:rFonts w:asciiTheme="minorHAnsi" w:hAnsiTheme="minorHAnsi" w:cstheme="minorHAnsi"/>
          <w:bCs/>
          <w:i/>
          <w:iCs/>
          <w:color w:val="000000" w:themeColor="text1"/>
          <w:sz w:val="21"/>
          <w:szCs w:val="21"/>
        </w:rPr>
        <w:t xml:space="preserve"> tisíc korun měsíčně. Doporučuji všem, kterým končí v roce 2024 i 2025 fixace, situaci sledovat a vyčkávat na rozumný termín, kdy se očekává snižování úrokových sazeb. Nyní se vyplatí si počkat,“</w:t>
      </w:r>
      <w:r w:rsidRPr="00AB7BAF">
        <w:rPr>
          <w:rFonts w:asciiTheme="minorHAnsi" w:hAnsiTheme="minorHAnsi" w:cstheme="minorHAnsi"/>
          <w:bCs/>
          <w:color w:val="000000" w:themeColor="text1"/>
          <w:sz w:val="21"/>
          <w:szCs w:val="21"/>
        </w:rPr>
        <w:t xml:space="preserve"> říká</w:t>
      </w:r>
      <w:r w:rsidR="001D42DB">
        <w:rPr>
          <w:rFonts w:asciiTheme="minorHAnsi" w:hAnsiTheme="minorHAnsi" w:cstheme="minorHAnsi"/>
          <w:bCs/>
          <w:color w:val="000000" w:themeColor="text1"/>
          <w:sz w:val="21"/>
          <w:szCs w:val="21"/>
        </w:rPr>
        <w:t xml:space="preserve"> </w:t>
      </w:r>
      <w:r w:rsidR="001D42DB" w:rsidRPr="001D42DB">
        <w:rPr>
          <w:rFonts w:asciiTheme="minorHAnsi" w:hAnsiTheme="minorHAnsi" w:cstheme="minorHAnsi"/>
          <w:b/>
          <w:bCs/>
          <w:color w:val="000000" w:themeColor="text1"/>
          <w:sz w:val="21"/>
          <w:szCs w:val="21"/>
        </w:rPr>
        <w:t>Martin</w:t>
      </w:r>
      <w:r w:rsidRPr="001D42DB">
        <w:rPr>
          <w:rFonts w:asciiTheme="minorHAnsi" w:hAnsiTheme="minorHAnsi" w:cstheme="minorHAnsi"/>
          <w:b/>
          <w:bCs/>
          <w:color w:val="000000" w:themeColor="text1"/>
          <w:sz w:val="21"/>
          <w:szCs w:val="21"/>
        </w:rPr>
        <w:t xml:space="preserve"> Novák</w:t>
      </w:r>
      <w:r w:rsidRPr="00AB7BAF">
        <w:rPr>
          <w:rFonts w:asciiTheme="minorHAnsi" w:hAnsiTheme="minorHAnsi" w:cstheme="minorHAnsi"/>
          <w:bCs/>
          <w:color w:val="000000" w:themeColor="text1"/>
          <w:sz w:val="21"/>
          <w:szCs w:val="21"/>
        </w:rPr>
        <w:t>. Dalším doporučením je také volba kratší doby fixace, a to jak u v případě změny fixace již uzavřených hypotečních úvěrů, tak u nově sjednávaných hypoték.</w:t>
      </w:r>
    </w:p>
    <w:p w14:paraId="49847B80" w14:textId="54D20CFB" w:rsidR="00AB7BAF" w:rsidRPr="00AB7BAF" w:rsidRDefault="00AB7BAF" w:rsidP="00AB7BAF">
      <w:pPr>
        <w:spacing w:before="200" w:after="200"/>
        <w:ind w:right="40"/>
        <w:rPr>
          <w:rFonts w:asciiTheme="minorHAnsi" w:hAnsiTheme="minorHAnsi" w:cstheme="minorHAnsi"/>
          <w:b/>
          <w:color w:val="000000" w:themeColor="text1"/>
          <w:sz w:val="21"/>
          <w:szCs w:val="21"/>
        </w:rPr>
      </w:pPr>
      <w:r w:rsidRPr="00AB7BAF">
        <w:rPr>
          <w:rFonts w:asciiTheme="minorHAnsi" w:hAnsiTheme="minorHAnsi" w:cstheme="minorHAnsi"/>
          <w:b/>
          <w:color w:val="000000" w:themeColor="text1"/>
          <w:sz w:val="21"/>
          <w:szCs w:val="21"/>
        </w:rPr>
        <w:t xml:space="preserve">Porovnání výše splátky ve 4Q 2023 a splátky při snížení hodnoty </w:t>
      </w:r>
      <w:r w:rsidR="00D422E9">
        <w:rPr>
          <w:rFonts w:asciiTheme="minorHAnsi" w:hAnsiTheme="minorHAnsi" w:cstheme="minorHAnsi"/>
          <w:b/>
          <w:color w:val="000000" w:themeColor="text1"/>
          <w:sz w:val="21"/>
          <w:szCs w:val="21"/>
        </w:rPr>
        <w:t>úrokové sazby o 0,25 procentního bodu</w:t>
      </w:r>
    </w:p>
    <w:tbl>
      <w:tblPr>
        <w:tblW w:w="8212" w:type="dxa"/>
        <w:tblCellMar>
          <w:left w:w="70" w:type="dxa"/>
          <w:right w:w="70" w:type="dxa"/>
        </w:tblCellMar>
        <w:tblLook w:val="04A0" w:firstRow="1" w:lastRow="0" w:firstColumn="1" w:lastColumn="0" w:noHBand="0" w:noVBand="1"/>
      </w:tblPr>
      <w:tblGrid>
        <w:gridCol w:w="2660"/>
        <w:gridCol w:w="2150"/>
        <w:gridCol w:w="3402"/>
      </w:tblGrid>
      <w:tr w:rsidR="00AB7BAF" w:rsidRPr="00AB7BAF" w14:paraId="2B817168" w14:textId="77777777" w:rsidTr="00AB7BAF">
        <w:trPr>
          <w:trHeight w:val="340"/>
        </w:trPr>
        <w:tc>
          <w:tcPr>
            <w:tcW w:w="2660" w:type="dxa"/>
            <w:tcBorders>
              <w:top w:val="single" w:sz="8" w:space="0" w:color="auto"/>
              <w:left w:val="single" w:sz="8" w:space="0" w:color="auto"/>
              <w:bottom w:val="single" w:sz="4" w:space="0" w:color="auto"/>
              <w:right w:val="single" w:sz="8" w:space="0" w:color="auto"/>
            </w:tcBorders>
            <w:noWrap/>
            <w:vAlign w:val="bottom"/>
            <w:hideMark/>
          </w:tcPr>
          <w:p w14:paraId="7A82C69F" w14:textId="77777777" w:rsidR="00AB7BAF" w:rsidRPr="00AB7BAF" w:rsidRDefault="00AB7BAF">
            <w:pPr>
              <w:widowControl/>
              <w:autoSpaceDE/>
              <w:rPr>
                <w:rFonts w:ascii="Calibri" w:eastAsia="Times New Roman" w:hAnsi="Calibri" w:cs="Calibri"/>
                <w:color w:val="000000"/>
                <w:sz w:val="21"/>
                <w:szCs w:val="21"/>
                <w:lang w:val="en-US" w:eastAsia="en-US" w:bidi="ar-SA"/>
              </w:rPr>
            </w:pPr>
            <w:r w:rsidRPr="00AB7BAF">
              <w:rPr>
                <w:rFonts w:ascii="Calibri" w:eastAsia="Times New Roman" w:hAnsi="Calibri" w:cs="Calibri"/>
                <w:color w:val="000000"/>
                <w:sz w:val="21"/>
                <w:szCs w:val="21"/>
                <w:lang w:val="en-US" w:eastAsia="en-US" w:bidi="ar-SA"/>
              </w:rPr>
              <w:t> </w:t>
            </w:r>
          </w:p>
        </w:tc>
        <w:tc>
          <w:tcPr>
            <w:tcW w:w="2150" w:type="dxa"/>
            <w:tcBorders>
              <w:top w:val="single" w:sz="8" w:space="0" w:color="auto"/>
              <w:left w:val="nil"/>
              <w:bottom w:val="single" w:sz="8" w:space="0" w:color="auto"/>
              <w:right w:val="single" w:sz="4" w:space="0" w:color="auto"/>
            </w:tcBorders>
            <w:noWrap/>
            <w:vAlign w:val="bottom"/>
            <w:hideMark/>
          </w:tcPr>
          <w:p w14:paraId="060ABBE6" w14:textId="77777777" w:rsidR="00AB7BAF" w:rsidRPr="00AB7BAF" w:rsidRDefault="00AB7BAF">
            <w:pPr>
              <w:widowControl/>
              <w:autoSpaceDE/>
              <w:jc w:val="center"/>
              <w:rPr>
                <w:rFonts w:ascii="Calibri" w:eastAsia="Times New Roman" w:hAnsi="Calibri" w:cs="Calibri"/>
                <w:color w:val="000000"/>
                <w:sz w:val="21"/>
                <w:szCs w:val="21"/>
                <w:lang w:val="en-US" w:eastAsia="en-US" w:bidi="ar-SA"/>
              </w:rPr>
            </w:pPr>
            <w:r w:rsidRPr="00AB7BAF">
              <w:rPr>
                <w:rFonts w:ascii="Calibri" w:eastAsia="Times New Roman" w:hAnsi="Calibri" w:cs="Calibri"/>
                <w:color w:val="000000"/>
                <w:sz w:val="21"/>
                <w:szCs w:val="21"/>
                <w:lang w:val="en-US" w:eastAsia="en-US" w:bidi="ar-SA"/>
              </w:rPr>
              <w:t xml:space="preserve"> </w:t>
            </w:r>
            <w:proofErr w:type="spellStart"/>
            <w:r w:rsidRPr="00AB7BAF">
              <w:rPr>
                <w:rFonts w:ascii="Calibri" w:eastAsia="Times New Roman" w:hAnsi="Calibri" w:cs="Calibri"/>
                <w:color w:val="000000"/>
                <w:sz w:val="21"/>
                <w:szCs w:val="21"/>
                <w:lang w:val="en-US" w:eastAsia="en-US" w:bidi="ar-SA"/>
              </w:rPr>
              <w:t>Průměr</w:t>
            </w:r>
            <w:proofErr w:type="spellEnd"/>
            <w:r w:rsidRPr="00AB7BAF">
              <w:rPr>
                <w:rFonts w:ascii="Calibri" w:eastAsia="Times New Roman" w:hAnsi="Calibri" w:cs="Calibri"/>
                <w:color w:val="000000"/>
                <w:sz w:val="21"/>
                <w:szCs w:val="21"/>
                <w:lang w:val="en-US" w:eastAsia="en-US" w:bidi="ar-SA"/>
              </w:rPr>
              <w:t xml:space="preserve"> 4Q 2023</w:t>
            </w:r>
          </w:p>
        </w:tc>
        <w:tc>
          <w:tcPr>
            <w:tcW w:w="3402" w:type="dxa"/>
            <w:tcBorders>
              <w:top w:val="single" w:sz="8" w:space="0" w:color="auto"/>
              <w:left w:val="nil"/>
              <w:bottom w:val="single" w:sz="8" w:space="0" w:color="auto"/>
              <w:right w:val="single" w:sz="8" w:space="0" w:color="auto"/>
            </w:tcBorders>
            <w:noWrap/>
            <w:vAlign w:val="bottom"/>
            <w:hideMark/>
          </w:tcPr>
          <w:p w14:paraId="64D71D07" w14:textId="77777777" w:rsidR="00AB7BAF" w:rsidRPr="00AB7BAF" w:rsidRDefault="00AB7BAF">
            <w:pPr>
              <w:widowControl/>
              <w:autoSpaceDE/>
              <w:jc w:val="center"/>
              <w:rPr>
                <w:rFonts w:ascii="Calibri" w:eastAsia="Times New Roman" w:hAnsi="Calibri" w:cs="Calibri"/>
                <w:color w:val="000000"/>
                <w:sz w:val="21"/>
                <w:szCs w:val="21"/>
                <w:lang w:val="en-US" w:eastAsia="en-US" w:bidi="ar-SA"/>
              </w:rPr>
            </w:pPr>
            <w:proofErr w:type="spellStart"/>
            <w:r w:rsidRPr="00AB7BAF">
              <w:rPr>
                <w:rFonts w:ascii="Calibri" w:eastAsia="Times New Roman" w:hAnsi="Calibri" w:cs="Calibri"/>
                <w:color w:val="000000"/>
                <w:sz w:val="21"/>
                <w:szCs w:val="21"/>
                <w:lang w:val="en-US" w:eastAsia="en-US" w:bidi="ar-SA"/>
              </w:rPr>
              <w:t>snížená</w:t>
            </w:r>
            <w:proofErr w:type="spellEnd"/>
            <w:r w:rsidRPr="00AB7BAF">
              <w:rPr>
                <w:rFonts w:ascii="Calibri" w:eastAsia="Times New Roman" w:hAnsi="Calibri" w:cs="Calibri"/>
                <w:color w:val="000000"/>
                <w:sz w:val="21"/>
                <w:szCs w:val="21"/>
                <w:lang w:val="en-US" w:eastAsia="en-US" w:bidi="ar-SA"/>
              </w:rPr>
              <w:t xml:space="preserve"> </w:t>
            </w:r>
            <w:proofErr w:type="spellStart"/>
            <w:r w:rsidRPr="00AB7BAF">
              <w:rPr>
                <w:rFonts w:ascii="Calibri" w:eastAsia="Times New Roman" w:hAnsi="Calibri" w:cs="Calibri"/>
                <w:color w:val="000000"/>
                <w:sz w:val="21"/>
                <w:szCs w:val="21"/>
                <w:lang w:val="en-US" w:eastAsia="en-US" w:bidi="ar-SA"/>
              </w:rPr>
              <w:t>úroková</w:t>
            </w:r>
            <w:proofErr w:type="spellEnd"/>
            <w:r w:rsidRPr="00AB7BAF">
              <w:rPr>
                <w:rFonts w:ascii="Calibri" w:eastAsia="Times New Roman" w:hAnsi="Calibri" w:cs="Calibri"/>
                <w:color w:val="000000"/>
                <w:sz w:val="21"/>
                <w:szCs w:val="21"/>
                <w:lang w:val="en-US" w:eastAsia="en-US" w:bidi="ar-SA"/>
              </w:rPr>
              <w:t xml:space="preserve"> </w:t>
            </w:r>
            <w:proofErr w:type="spellStart"/>
            <w:r w:rsidRPr="00AB7BAF">
              <w:rPr>
                <w:rFonts w:ascii="Calibri" w:eastAsia="Times New Roman" w:hAnsi="Calibri" w:cs="Calibri"/>
                <w:color w:val="000000"/>
                <w:sz w:val="21"/>
                <w:szCs w:val="21"/>
                <w:lang w:val="en-US" w:eastAsia="en-US" w:bidi="ar-SA"/>
              </w:rPr>
              <w:t>sazba</w:t>
            </w:r>
            <w:proofErr w:type="spellEnd"/>
            <w:r w:rsidRPr="00AB7BAF">
              <w:rPr>
                <w:rFonts w:ascii="Calibri" w:eastAsia="Times New Roman" w:hAnsi="Calibri" w:cs="Calibri"/>
                <w:color w:val="000000"/>
                <w:sz w:val="21"/>
                <w:szCs w:val="21"/>
                <w:lang w:val="en-US" w:eastAsia="en-US" w:bidi="ar-SA"/>
              </w:rPr>
              <w:t xml:space="preserve"> o 0,25 %</w:t>
            </w:r>
          </w:p>
        </w:tc>
      </w:tr>
      <w:tr w:rsidR="00AB7BAF" w:rsidRPr="00AB7BAF" w14:paraId="390762AB" w14:textId="77777777" w:rsidTr="00AB7BAF">
        <w:trPr>
          <w:trHeight w:val="320"/>
        </w:trPr>
        <w:tc>
          <w:tcPr>
            <w:tcW w:w="2660" w:type="dxa"/>
            <w:tcBorders>
              <w:top w:val="nil"/>
              <w:left w:val="single" w:sz="8" w:space="0" w:color="auto"/>
              <w:bottom w:val="single" w:sz="4" w:space="0" w:color="auto"/>
              <w:right w:val="single" w:sz="8" w:space="0" w:color="auto"/>
            </w:tcBorders>
            <w:noWrap/>
            <w:vAlign w:val="bottom"/>
            <w:hideMark/>
          </w:tcPr>
          <w:p w14:paraId="1FE870C9" w14:textId="77777777" w:rsidR="00AB7BAF" w:rsidRPr="00AB7BAF" w:rsidRDefault="00AB7BAF">
            <w:pPr>
              <w:widowControl/>
              <w:autoSpaceDE/>
              <w:rPr>
                <w:rFonts w:ascii="Calibri" w:eastAsia="Times New Roman" w:hAnsi="Calibri" w:cs="Calibri"/>
                <w:color w:val="000000"/>
                <w:sz w:val="21"/>
                <w:szCs w:val="21"/>
                <w:lang w:val="en-US" w:eastAsia="en-US" w:bidi="ar-SA"/>
              </w:rPr>
            </w:pPr>
            <w:proofErr w:type="spellStart"/>
            <w:r w:rsidRPr="00AB7BAF">
              <w:rPr>
                <w:rFonts w:ascii="Calibri" w:eastAsia="Times New Roman" w:hAnsi="Calibri" w:cs="Calibri"/>
                <w:color w:val="000000"/>
                <w:sz w:val="21"/>
                <w:szCs w:val="21"/>
                <w:lang w:val="en-US" w:eastAsia="en-US" w:bidi="ar-SA"/>
              </w:rPr>
              <w:t>průměrná</w:t>
            </w:r>
            <w:proofErr w:type="spellEnd"/>
            <w:r w:rsidRPr="00AB7BAF">
              <w:rPr>
                <w:rFonts w:ascii="Calibri" w:eastAsia="Times New Roman" w:hAnsi="Calibri" w:cs="Calibri"/>
                <w:color w:val="000000"/>
                <w:sz w:val="21"/>
                <w:szCs w:val="21"/>
                <w:lang w:val="en-US" w:eastAsia="en-US" w:bidi="ar-SA"/>
              </w:rPr>
              <w:t xml:space="preserve"> </w:t>
            </w:r>
            <w:proofErr w:type="spellStart"/>
            <w:r w:rsidRPr="00AB7BAF">
              <w:rPr>
                <w:rFonts w:ascii="Calibri" w:eastAsia="Times New Roman" w:hAnsi="Calibri" w:cs="Calibri"/>
                <w:color w:val="000000"/>
                <w:sz w:val="21"/>
                <w:szCs w:val="21"/>
                <w:lang w:val="en-US" w:eastAsia="en-US" w:bidi="ar-SA"/>
              </w:rPr>
              <w:t>úroková</w:t>
            </w:r>
            <w:proofErr w:type="spellEnd"/>
            <w:r w:rsidRPr="00AB7BAF">
              <w:rPr>
                <w:rFonts w:ascii="Calibri" w:eastAsia="Times New Roman" w:hAnsi="Calibri" w:cs="Calibri"/>
                <w:color w:val="000000"/>
                <w:sz w:val="21"/>
                <w:szCs w:val="21"/>
                <w:lang w:val="en-US" w:eastAsia="en-US" w:bidi="ar-SA"/>
              </w:rPr>
              <w:t xml:space="preserve"> </w:t>
            </w:r>
            <w:proofErr w:type="spellStart"/>
            <w:r w:rsidRPr="00AB7BAF">
              <w:rPr>
                <w:rFonts w:ascii="Calibri" w:eastAsia="Times New Roman" w:hAnsi="Calibri" w:cs="Calibri"/>
                <w:color w:val="000000"/>
                <w:sz w:val="21"/>
                <w:szCs w:val="21"/>
                <w:lang w:val="en-US" w:eastAsia="en-US" w:bidi="ar-SA"/>
              </w:rPr>
              <w:t>sazba</w:t>
            </w:r>
            <w:proofErr w:type="spellEnd"/>
            <w:r w:rsidRPr="00AB7BAF">
              <w:rPr>
                <w:rFonts w:ascii="Calibri" w:eastAsia="Times New Roman" w:hAnsi="Calibri" w:cs="Calibri"/>
                <w:color w:val="000000"/>
                <w:sz w:val="21"/>
                <w:szCs w:val="21"/>
                <w:lang w:val="en-US" w:eastAsia="en-US" w:bidi="ar-SA"/>
              </w:rPr>
              <w:t xml:space="preserve"> </w:t>
            </w:r>
          </w:p>
        </w:tc>
        <w:tc>
          <w:tcPr>
            <w:tcW w:w="2150" w:type="dxa"/>
            <w:tcBorders>
              <w:top w:val="nil"/>
              <w:left w:val="nil"/>
              <w:bottom w:val="single" w:sz="4" w:space="0" w:color="auto"/>
              <w:right w:val="single" w:sz="4" w:space="0" w:color="auto"/>
            </w:tcBorders>
            <w:noWrap/>
            <w:vAlign w:val="bottom"/>
            <w:hideMark/>
          </w:tcPr>
          <w:p w14:paraId="333B85DE" w14:textId="77777777" w:rsidR="00AB7BAF" w:rsidRPr="00AB7BAF" w:rsidRDefault="00AB7BAF">
            <w:pPr>
              <w:widowControl/>
              <w:autoSpaceDE/>
              <w:jc w:val="center"/>
              <w:rPr>
                <w:rFonts w:ascii="Calibri" w:eastAsia="Times New Roman" w:hAnsi="Calibri" w:cs="Calibri"/>
                <w:color w:val="000000"/>
                <w:sz w:val="21"/>
                <w:szCs w:val="21"/>
                <w:lang w:val="en-US" w:eastAsia="en-US" w:bidi="ar-SA"/>
              </w:rPr>
            </w:pPr>
            <w:r w:rsidRPr="00AB7BAF">
              <w:rPr>
                <w:rFonts w:ascii="Calibri" w:eastAsia="Times New Roman" w:hAnsi="Calibri" w:cs="Calibri"/>
                <w:color w:val="000000"/>
                <w:sz w:val="21"/>
                <w:szCs w:val="21"/>
                <w:lang w:val="en-US" w:eastAsia="en-US" w:bidi="ar-SA"/>
              </w:rPr>
              <w:t>5,73 %</w:t>
            </w:r>
          </w:p>
        </w:tc>
        <w:tc>
          <w:tcPr>
            <w:tcW w:w="3402" w:type="dxa"/>
            <w:tcBorders>
              <w:top w:val="nil"/>
              <w:left w:val="nil"/>
              <w:bottom w:val="single" w:sz="4" w:space="0" w:color="auto"/>
              <w:right w:val="single" w:sz="8" w:space="0" w:color="auto"/>
            </w:tcBorders>
            <w:noWrap/>
            <w:vAlign w:val="bottom"/>
            <w:hideMark/>
          </w:tcPr>
          <w:p w14:paraId="0D8B6DFE" w14:textId="77777777" w:rsidR="00AB7BAF" w:rsidRPr="00AB7BAF" w:rsidRDefault="00AB7BAF">
            <w:pPr>
              <w:widowControl/>
              <w:autoSpaceDE/>
              <w:jc w:val="center"/>
              <w:rPr>
                <w:rFonts w:ascii="Calibri" w:eastAsia="Times New Roman" w:hAnsi="Calibri" w:cs="Calibri"/>
                <w:color w:val="000000"/>
                <w:sz w:val="21"/>
                <w:szCs w:val="21"/>
                <w:lang w:val="en-US" w:eastAsia="en-US" w:bidi="ar-SA"/>
              </w:rPr>
            </w:pPr>
            <w:r w:rsidRPr="00AB7BAF">
              <w:rPr>
                <w:rFonts w:ascii="Calibri" w:eastAsia="Times New Roman" w:hAnsi="Calibri" w:cs="Calibri"/>
                <w:color w:val="000000"/>
                <w:sz w:val="21"/>
                <w:szCs w:val="21"/>
                <w:lang w:val="en-US" w:eastAsia="en-US" w:bidi="ar-SA"/>
              </w:rPr>
              <w:t>5,48 %</w:t>
            </w:r>
          </w:p>
        </w:tc>
      </w:tr>
      <w:tr w:rsidR="00AB7BAF" w:rsidRPr="00AB7BAF" w14:paraId="294ABD9A" w14:textId="77777777" w:rsidTr="00AB7BAF">
        <w:trPr>
          <w:trHeight w:val="320"/>
        </w:trPr>
        <w:tc>
          <w:tcPr>
            <w:tcW w:w="2660" w:type="dxa"/>
            <w:tcBorders>
              <w:top w:val="nil"/>
              <w:left w:val="single" w:sz="8" w:space="0" w:color="auto"/>
              <w:bottom w:val="single" w:sz="4" w:space="0" w:color="auto"/>
              <w:right w:val="single" w:sz="8" w:space="0" w:color="auto"/>
            </w:tcBorders>
            <w:noWrap/>
            <w:vAlign w:val="bottom"/>
            <w:hideMark/>
          </w:tcPr>
          <w:p w14:paraId="6B611934" w14:textId="77777777" w:rsidR="00AB7BAF" w:rsidRPr="00AB7BAF" w:rsidRDefault="00AB7BAF">
            <w:pPr>
              <w:widowControl/>
              <w:autoSpaceDE/>
              <w:rPr>
                <w:rFonts w:ascii="Calibri" w:eastAsia="Times New Roman" w:hAnsi="Calibri" w:cs="Calibri"/>
                <w:color w:val="000000"/>
                <w:sz w:val="21"/>
                <w:szCs w:val="21"/>
                <w:lang w:val="en-US" w:eastAsia="en-US" w:bidi="ar-SA"/>
              </w:rPr>
            </w:pPr>
            <w:proofErr w:type="spellStart"/>
            <w:r w:rsidRPr="00AB7BAF">
              <w:rPr>
                <w:rFonts w:ascii="Calibri" w:eastAsia="Times New Roman" w:hAnsi="Calibri" w:cs="Calibri"/>
                <w:color w:val="000000"/>
                <w:sz w:val="21"/>
                <w:szCs w:val="21"/>
                <w:lang w:val="en-US" w:eastAsia="en-US" w:bidi="ar-SA"/>
              </w:rPr>
              <w:t>výše</w:t>
            </w:r>
            <w:proofErr w:type="spellEnd"/>
            <w:r w:rsidRPr="00AB7BAF">
              <w:rPr>
                <w:rFonts w:ascii="Calibri" w:eastAsia="Times New Roman" w:hAnsi="Calibri" w:cs="Calibri"/>
                <w:color w:val="000000"/>
                <w:sz w:val="21"/>
                <w:szCs w:val="21"/>
                <w:lang w:val="en-US" w:eastAsia="en-US" w:bidi="ar-SA"/>
              </w:rPr>
              <w:t xml:space="preserve"> </w:t>
            </w:r>
            <w:proofErr w:type="spellStart"/>
            <w:r w:rsidRPr="00AB7BAF">
              <w:rPr>
                <w:rFonts w:ascii="Calibri" w:eastAsia="Times New Roman" w:hAnsi="Calibri" w:cs="Calibri"/>
                <w:color w:val="000000"/>
                <w:sz w:val="21"/>
                <w:szCs w:val="21"/>
                <w:lang w:val="en-US" w:eastAsia="en-US" w:bidi="ar-SA"/>
              </w:rPr>
              <w:t>hypotéky</w:t>
            </w:r>
            <w:proofErr w:type="spellEnd"/>
            <w:r w:rsidRPr="00AB7BAF">
              <w:rPr>
                <w:rFonts w:ascii="Calibri" w:eastAsia="Times New Roman" w:hAnsi="Calibri" w:cs="Calibri"/>
                <w:color w:val="000000"/>
                <w:sz w:val="21"/>
                <w:szCs w:val="21"/>
                <w:lang w:val="en-US" w:eastAsia="en-US" w:bidi="ar-SA"/>
              </w:rPr>
              <w:t xml:space="preserve"> </w:t>
            </w:r>
          </w:p>
        </w:tc>
        <w:tc>
          <w:tcPr>
            <w:tcW w:w="2150" w:type="dxa"/>
            <w:tcBorders>
              <w:top w:val="nil"/>
              <w:left w:val="nil"/>
              <w:bottom w:val="single" w:sz="4" w:space="0" w:color="auto"/>
              <w:right w:val="single" w:sz="4" w:space="0" w:color="auto"/>
            </w:tcBorders>
            <w:noWrap/>
            <w:vAlign w:val="bottom"/>
            <w:hideMark/>
          </w:tcPr>
          <w:p w14:paraId="0710CCFD" w14:textId="77777777" w:rsidR="00AB7BAF" w:rsidRPr="00AB7BAF" w:rsidRDefault="00AB7BAF">
            <w:pPr>
              <w:widowControl/>
              <w:autoSpaceDE/>
              <w:jc w:val="center"/>
              <w:rPr>
                <w:rFonts w:ascii="Calibri" w:eastAsia="Times New Roman" w:hAnsi="Calibri" w:cs="Calibri"/>
                <w:color w:val="000000"/>
                <w:sz w:val="21"/>
                <w:szCs w:val="21"/>
                <w:lang w:val="en-US" w:eastAsia="en-US" w:bidi="ar-SA"/>
              </w:rPr>
            </w:pPr>
            <w:r w:rsidRPr="00AB7BAF">
              <w:rPr>
                <w:rFonts w:ascii="Calibri" w:eastAsia="Times New Roman" w:hAnsi="Calibri" w:cs="Calibri"/>
                <w:color w:val="000000"/>
                <w:sz w:val="21"/>
                <w:szCs w:val="21"/>
                <w:lang w:val="en-US" w:eastAsia="en-US" w:bidi="ar-SA"/>
              </w:rPr>
              <w:t xml:space="preserve">5 000 000 </w:t>
            </w:r>
            <w:proofErr w:type="spellStart"/>
            <w:r w:rsidRPr="00AB7BAF">
              <w:rPr>
                <w:rFonts w:ascii="Calibri" w:eastAsia="Times New Roman" w:hAnsi="Calibri" w:cs="Calibri"/>
                <w:color w:val="000000"/>
                <w:sz w:val="21"/>
                <w:szCs w:val="21"/>
                <w:lang w:val="en-US" w:eastAsia="en-US" w:bidi="ar-SA"/>
              </w:rPr>
              <w:t>Kč</w:t>
            </w:r>
            <w:proofErr w:type="spellEnd"/>
          </w:p>
        </w:tc>
        <w:tc>
          <w:tcPr>
            <w:tcW w:w="3402" w:type="dxa"/>
            <w:tcBorders>
              <w:top w:val="nil"/>
              <w:left w:val="nil"/>
              <w:bottom w:val="single" w:sz="4" w:space="0" w:color="auto"/>
              <w:right w:val="single" w:sz="8" w:space="0" w:color="auto"/>
            </w:tcBorders>
            <w:noWrap/>
            <w:vAlign w:val="bottom"/>
            <w:hideMark/>
          </w:tcPr>
          <w:p w14:paraId="2A94CB5F" w14:textId="77777777" w:rsidR="00AB7BAF" w:rsidRPr="00AB7BAF" w:rsidRDefault="00AB7BAF">
            <w:pPr>
              <w:widowControl/>
              <w:autoSpaceDE/>
              <w:jc w:val="center"/>
              <w:rPr>
                <w:rFonts w:ascii="Calibri" w:eastAsia="Times New Roman" w:hAnsi="Calibri" w:cs="Calibri"/>
                <w:color w:val="000000"/>
                <w:sz w:val="21"/>
                <w:szCs w:val="21"/>
                <w:lang w:val="en-US" w:eastAsia="en-US" w:bidi="ar-SA"/>
              </w:rPr>
            </w:pPr>
            <w:r w:rsidRPr="00AB7BAF">
              <w:rPr>
                <w:rFonts w:ascii="Calibri" w:eastAsia="Times New Roman" w:hAnsi="Calibri" w:cs="Calibri"/>
                <w:color w:val="000000"/>
                <w:sz w:val="21"/>
                <w:szCs w:val="21"/>
                <w:lang w:val="en-US" w:eastAsia="en-US" w:bidi="ar-SA"/>
              </w:rPr>
              <w:t xml:space="preserve">5 000 000 </w:t>
            </w:r>
            <w:proofErr w:type="spellStart"/>
            <w:r w:rsidRPr="00AB7BAF">
              <w:rPr>
                <w:rFonts w:ascii="Calibri" w:eastAsia="Times New Roman" w:hAnsi="Calibri" w:cs="Calibri"/>
                <w:color w:val="000000"/>
                <w:sz w:val="21"/>
                <w:szCs w:val="21"/>
                <w:lang w:val="en-US" w:eastAsia="en-US" w:bidi="ar-SA"/>
              </w:rPr>
              <w:t>Kč</w:t>
            </w:r>
            <w:proofErr w:type="spellEnd"/>
          </w:p>
        </w:tc>
      </w:tr>
      <w:tr w:rsidR="00AB7BAF" w:rsidRPr="00AB7BAF" w14:paraId="05590335" w14:textId="77777777" w:rsidTr="00AB7BAF">
        <w:trPr>
          <w:trHeight w:val="320"/>
        </w:trPr>
        <w:tc>
          <w:tcPr>
            <w:tcW w:w="2660" w:type="dxa"/>
            <w:tcBorders>
              <w:top w:val="nil"/>
              <w:left w:val="single" w:sz="8" w:space="0" w:color="auto"/>
              <w:bottom w:val="single" w:sz="4" w:space="0" w:color="auto"/>
              <w:right w:val="single" w:sz="8" w:space="0" w:color="auto"/>
            </w:tcBorders>
            <w:noWrap/>
            <w:vAlign w:val="bottom"/>
            <w:hideMark/>
          </w:tcPr>
          <w:p w14:paraId="3358785D" w14:textId="77777777" w:rsidR="00AB7BAF" w:rsidRPr="00AB7BAF" w:rsidRDefault="00AB7BAF">
            <w:pPr>
              <w:widowControl/>
              <w:autoSpaceDE/>
              <w:rPr>
                <w:rFonts w:ascii="Calibri" w:eastAsia="Times New Roman" w:hAnsi="Calibri" w:cs="Calibri"/>
                <w:color w:val="000000"/>
                <w:sz w:val="21"/>
                <w:szCs w:val="21"/>
                <w:lang w:val="en-US" w:eastAsia="en-US" w:bidi="ar-SA"/>
              </w:rPr>
            </w:pPr>
            <w:proofErr w:type="spellStart"/>
            <w:r w:rsidRPr="00AB7BAF">
              <w:rPr>
                <w:rFonts w:ascii="Calibri" w:eastAsia="Times New Roman" w:hAnsi="Calibri" w:cs="Calibri"/>
                <w:color w:val="000000"/>
                <w:sz w:val="21"/>
                <w:szCs w:val="21"/>
                <w:lang w:val="en-US" w:eastAsia="en-US" w:bidi="ar-SA"/>
              </w:rPr>
              <w:t>doba</w:t>
            </w:r>
            <w:proofErr w:type="spellEnd"/>
            <w:r w:rsidRPr="00AB7BAF">
              <w:rPr>
                <w:rFonts w:ascii="Calibri" w:eastAsia="Times New Roman" w:hAnsi="Calibri" w:cs="Calibri"/>
                <w:color w:val="000000"/>
                <w:sz w:val="21"/>
                <w:szCs w:val="21"/>
                <w:lang w:val="en-US" w:eastAsia="en-US" w:bidi="ar-SA"/>
              </w:rPr>
              <w:t xml:space="preserve"> </w:t>
            </w:r>
            <w:proofErr w:type="spellStart"/>
            <w:r w:rsidRPr="00AB7BAF">
              <w:rPr>
                <w:rFonts w:ascii="Calibri" w:eastAsia="Times New Roman" w:hAnsi="Calibri" w:cs="Calibri"/>
                <w:color w:val="000000"/>
                <w:sz w:val="21"/>
                <w:szCs w:val="21"/>
                <w:lang w:val="en-US" w:eastAsia="en-US" w:bidi="ar-SA"/>
              </w:rPr>
              <w:t>splácení</w:t>
            </w:r>
            <w:proofErr w:type="spellEnd"/>
            <w:r w:rsidRPr="00AB7BAF">
              <w:rPr>
                <w:rFonts w:ascii="Calibri" w:eastAsia="Times New Roman" w:hAnsi="Calibri" w:cs="Calibri"/>
                <w:color w:val="000000"/>
                <w:sz w:val="21"/>
                <w:szCs w:val="21"/>
                <w:lang w:val="en-US" w:eastAsia="en-US" w:bidi="ar-SA"/>
              </w:rPr>
              <w:t xml:space="preserve"> </w:t>
            </w:r>
          </w:p>
        </w:tc>
        <w:tc>
          <w:tcPr>
            <w:tcW w:w="2150" w:type="dxa"/>
            <w:tcBorders>
              <w:top w:val="nil"/>
              <w:left w:val="nil"/>
              <w:bottom w:val="single" w:sz="4" w:space="0" w:color="auto"/>
              <w:right w:val="single" w:sz="4" w:space="0" w:color="auto"/>
            </w:tcBorders>
            <w:noWrap/>
            <w:vAlign w:val="bottom"/>
            <w:hideMark/>
          </w:tcPr>
          <w:p w14:paraId="640E6332" w14:textId="77777777" w:rsidR="00AB7BAF" w:rsidRPr="00AB7BAF" w:rsidRDefault="00AB7BAF">
            <w:pPr>
              <w:widowControl/>
              <w:autoSpaceDE/>
              <w:jc w:val="center"/>
              <w:rPr>
                <w:rFonts w:ascii="Calibri" w:eastAsia="Times New Roman" w:hAnsi="Calibri" w:cs="Calibri"/>
                <w:color w:val="000000"/>
                <w:sz w:val="21"/>
                <w:szCs w:val="21"/>
                <w:lang w:val="en-US" w:eastAsia="en-US" w:bidi="ar-SA"/>
              </w:rPr>
            </w:pPr>
            <w:r w:rsidRPr="00AB7BAF">
              <w:rPr>
                <w:rFonts w:ascii="Calibri" w:eastAsia="Times New Roman" w:hAnsi="Calibri" w:cs="Calibri"/>
                <w:color w:val="000000"/>
                <w:sz w:val="21"/>
                <w:szCs w:val="21"/>
                <w:lang w:val="en-US" w:eastAsia="en-US" w:bidi="ar-SA"/>
              </w:rPr>
              <w:t>25 let</w:t>
            </w:r>
          </w:p>
        </w:tc>
        <w:tc>
          <w:tcPr>
            <w:tcW w:w="3402" w:type="dxa"/>
            <w:tcBorders>
              <w:top w:val="nil"/>
              <w:left w:val="nil"/>
              <w:bottom w:val="single" w:sz="4" w:space="0" w:color="auto"/>
              <w:right w:val="single" w:sz="8" w:space="0" w:color="auto"/>
            </w:tcBorders>
            <w:noWrap/>
            <w:vAlign w:val="bottom"/>
            <w:hideMark/>
          </w:tcPr>
          <w:p w14:paraId="17006615" w14:textId="77777777" w:rsidR="00AB7BAF" w:rsidRPr="00AB7BAF" w:rsidRDefault="00AB7BAF">
            <w:pPr>
              <w:widowControl/>
              <w:autoSpaceDE/>
              <w:jc w:val="center"/>
              <w:rPr>
                <w:rFonts w:ascii="Calibri" w:eastAsia="Times New Roman" w:hAnsi="Calibri" w:cs="Calibri"/>
                <w:color w:val="000000"/>
                <w:sz w:val="21"/>
                <w:szCs w:val="21"/>
                <w:lang w:val="en-US" w:eastAsia="en-US" w:bidi="ar-SA"/>
              </w:rPr>
            </w:pPr>
            <w:r w:rsidRPr="00AB7BAF">
              <w:rPr>
                <w:rFonts w:ascii="Calibri" w:eastAsia="Times New Roman" w:hAnsi="Calibri" w:cs="Calibri"/>
                <w:color w:val="000000"/>
                <w:sz w:val="21"/>
                <w:szCs w:val="21"/>
                <w:lang w:val="en-US" w:eastAsia="en-US" w:bidi="ar-SA"/>
              </w:rPr>
              <w:t>25 let</w:t>
            </w:r>
          </w:p>
        </w:tc>
      </w:tr>
      <w:tr w:rsidR="00AB7BAF" w:rsidRPr="00AB7BAF" w14:paraId="7160541D" w14:textId="77777777" w:rsidTr="00AB7BAF">
        <w:trPr>
          <w:trHeight w:val="320"/>
        </w:trPr>
        <w:tc>
          <w:tcPr>
            <w:tcW w:w="2660" w:type="dxa"/>
            <w:tcBorders>
              <w:top w:val="nil"/>
              <w:left w:val="single" w:sz="8" w:space="0" w:color="auto"/>
              <w:bottom w:val="single" w:sz="4" w:space="0" w:color="auto"/>
              <w:right w:val="single" w:sz="8" w:space="0" w:color="auto"/>
            </w:tcBorders>
            <w:noWrap/>
            <w:vAlign w:val="bottom"/>
            <w:hideMark/>
          </w:tcPr>
          <w:p w14:paraId="42DCB7FC" w14:textId="77777777" w:rsidR="00AB7BAF" w:rsidRPr="00AB7BAF" w:rsidRDefault="00AB7BAF">
            <w:pPr>
              <w:widowControl/>
              <w:autoSpaceDE/>
              <w:rPr>
                <w:rFonts w:ascii="Calibri" w:eastAsia="Times New Roman" w:hAnsi="Calibri" w:cs="Calibri"/>
                <w:color w:val="000000"/>
                <w:sz w:val="21"/>
                <w:szCs w:val="21"/>
                <w:lang w:val="en-US" w:eastAsia="en-US" w:bidi="ar-SA"/>
              </w:rPr>
            </w:pPr>
            <w:proofErr w:type="spellStart"/>
            <w:r w:rsidRPr="00AB7BAF">
              <w:rPr>
                <w:rFonts w:ascii="Calibri" w:eastAsia="Times New Roman" w:hAnsi="Calibri" w:cs="Calibri"/>
                <w:color w:val="000000"/>
                <w:sz w:val="21"/>
                <w:szCs w:val="21"/>
                <w:lang w:val="en-US" w:eastAsia="en-US" w:bidi="ar-SA"/>
              </w:rPr>
              <w:t>měsíční</w:t>
            </w:r>
            <w:proofErr w:type="spellEnd"/>
            <w:r w:rsidRPr="00AB7BAF">
              <w:rPr>
                <w:rFonts w:ascii="Calibri" w:eastAsia="Times New Roman" w:hAnsi="Calibri" w:cs="Calibri"/>
                <w:color w:val="000000"/>
                <w:sz w:val="21"/>
                <w:szCs w:val="21"/>
                <w:lang w:val="en-US" w:eastAsia="en-US" w:bidi="ar-SA"/>
              </w:rPr>
              <w:t xml:space="preserve"> </w:t>
            </w:r>
            <w:proofErr w:type="spellStart"/>
            <w:r w:rsidRPr="00AB7BAF">
              <w:rPr>
                <w:rFonts w:ascii="Calibri" w:eastAsia="Times New Roman" w:hAnsi="Calibri" w:cs="Calibri"/>
                <w:color w:val="000000"/>
                <w:sz w:val="21"/>
                <w:szCs w:val="21"/>
                <w:lang w:val="en-US" w:eastAsia="en-US" w:bidi="ar-SA"/>
              </w:rPr>
              <w:t>splátka</w:t>
            </w:r>
            <w:proofErr w:type="spellEnd"/>
          </w:p>
        </w:tc>
        <w:tc>
          <w:tcPr>
            <w:tcW w:w="2150" w:type="dxa"/>
            <w:tcBorders>
              <w:top w:val="nil"/>
              <w:left w:val="nil"/>
              <w:bottom w:val="single" w:sz="4" w:space="0" w:color="auto"/>
              <w:right w:val="single" w:sz="4" w:space="0" w:color="auto"/>
            </w:tcBorders>
            <w:noWrap/>
            <w:vAlign w:val="bottom"/>
            <w:hideMark/>
          </w:tcPr>
          <w:p w14:paraId="288B0D13" w14:textId="77777777" w:rsidR="00AB7BAF" w:rsidRPr="00AB7BAF" w:rsidRDefault="00AB7BAF">
            <w:pPr>
              <w:widowControl/>
              <w:autoSpaceDE/>
              <w:jc w:val="center"/>
              <w:rPr>
                <w:rFonts w:ascii="Calibri" w:eastAsia="Times New Roman" w:hAnsi="Calibri" w:cs="Calibri"/>
                <w:color w:val="000000"/>
                <w:sz w:val="21"/>
                <w:szCs w:val="21"/>
                <w:lang w:val="en-US" w:eastAsia="en-US" w:bidi="ar-SA"/>
              </w:rPr>
            </w:pPr>
            <w:r w:rsidRPr="00AB7BAF">
              <w:rPr>
                <w:rFonts w:ascii="Calibri" w:eastAsia="Times New Roman" w:hAnsi="Calibri" w:cs="Calibri"/>
                <w:color w:val="000000"/>
                <w:sz w:val="21"/>
                <w:szCs w:val="21"/>
                <w:lang w:val="en-US" w:eastAsia="en-US" w:bidi="ar-SA"/>
              </w:rPr>
              <w:t xml:space="preserve">31 395 </w:t>
            </w:r>
            <w:proofErr w:type="spellStart"/>
            <w:r w:rsidRPr="00AB7BAF">
              <w:rPr>
                <w:rFonts w:ascii="Calibri" w:eastAsia="Times New Roman" w:hAnsi="Calibri" w:cs="Calibri"/>
                <w:color w:val="000000"/>
                <w:sz w:val="21"/>
                <w:szCs w:val="21"/>
                <w:lang w:val="en-US" w:eastAsia="en-US" w:bidi="ar-SA"/>
              </w:rPr>
              <w:t>Kč</w:t>
            </w:r>
            <w:proofErr w:type="spellEnd"/>
          </w:p>
        </w:tc>
        <w:tc>
          <w:tcPr>
            <w:tcW w:w="3402" w:type="dxa"/>
            <w:tcBorders>
              <w:top w:val="nil"/>
              <w:left w:val="nil"/>
              <w:bottom w:val="single" w:sz="4" w:space="0" w:color="auto"/>
              <w:right w:val="single" w:sz="8" w:space="0" w:color="auto"/>
            </w:tcBorders>
            <w:noWrap/>
            <w:vAlign w:val="bottom"/>
            <w:hideMark/>
          </w:tcPr>
          <w:p w14:paraId="79815329" w14:textId="77777777" w:rsidR="00AB7BAF" w:rsidRPr="00AB7BAF" w:rsidRDefault="00AB7BAF">
            <w:pPr>
              <w:widowControl/>
              <w:autoSpaceDE/>
              <w:jc w:val="center"/>
              <w:rPr>
                <w:rFonts w:ascii="Calibri" w:eastAsia="Times New Roman" w:hAnsi="Calibri" w:cs="Calibri"/>
                <w:color w:val="000000"/>
                <w:sz w:val="21"/>
                <w:szCs w:val="21"/>
                <w:lang w:val="en-US" w:eastAsia="en-US" w:bidi="ar-SA"/>
              </w:rPr>
            </w:pPr>
            <w:r w:rsidRPr="00AB7BAF">
              <w:rPr>
                <w:rFonts w:ascii="Calibri" w:eastAsia="Times New Roman" w:hAnsi="Calibri" w:cs="Calibri"/>
                <w:color w:val="000000"/>
                <w:sz w:val="21"/>
                <w:szCs w:val="21"/>
                <w:lang w:val="en-US" w:eastAsia="en-US" w:bidi="ar-SA"/>
              </w:rPr>
              <w:t xml:space="preserve">30 645 </w:t>
            </w:r>
            <w:proofErr w:type="spellStart"/>
            <w:r w:rsidRPr="00AB7BAF">
              <w:rPr>
                <w:rFonts w:ascii="Calibri" w:eastAsia="Times New Roman" w:hAnsi="Calibri" w:cs="Calibri"/>
                <w:color w:val="000000"/>
                <w:sz w:val="21"/>
                <w:szCs w:val="21"/>
                <w:lang w:val="en-US" w:eastAsia="en-US" w:bidi="ar-SA"/>
              </w:rPr>
              <w:t>Kč</w:t>
            </w:r>
            <w:proofErr w:type="spellEnd"/>
          </w:p>
        </w:tc>
      </w:tr>
      <w:tr w:rsidR="00AB7BAF" w:rsidRPr="00AB7BAF" w14:paraId="10498CE4" w14:textId="77777777" w:rsidTr="00AB7BAF">
        <w:trPr>
          <w:trHeight w:val="340"/>
        </w:trPr>
        <w:tc>
          <w:tcPr>
            <w:tcW w:w="2660" w:type="dxa"/>
            <w:tcBorders>
              <w:top w:val="nil"/>
              <w:left w:val="single" w:sz="8" w:space="0" w:color="auto"/>
              <w:bottom w:val="single" w:sz="8" w:space="0" w:color="auto"/>
              <w:right w:val="single" w:sz="8" w:space="0" w:color="auto"/>
            </w:tcBorders>
            <w:noWrap/>
            <w:vAlign w:val="bottom"/>
            <w:hideMark/>
          </w:tcPr>
          <w:p w14:paraId="1787BF12" w14:textId="77777777" w:rsidR="00AB7BAF" w:rsidRPr="00AB7BAF" w:rsidRDefault="00AB7BAF">
            <w:pPr>
              <w:widowControl/>
              <w:autoSpaceDE/>
              <w:rPr>
                <w:rFonts w:ascii="Calibri" w:eastAsia="Times New Roman" w:hAnsi="Calibri" w:cs="Calibri"/>
                <w:color w:val="000000"/>
                <w:sz w:val="21"/>
                <w:szCs w:val="21"/>
                <w:lang w:val="en-US" w:eastAsia="en-US" w:bidi="ar-SA"/>
              </w:rPr>
            </w:pPr>
            <w:proofErr w:type="spellStart"/>
            <w:r w:rsidRPr="00AB7BAF">
              <w:rPr>
                <w:rFonts w:ascii="Calibri" w:eastAsia="Times New Roman" w:hAnsi="Calibri" w:cs="Calibri"/>
                <w:color w:val="000000"/>
                <w:sz w:val="21"/>
                <w:szCs w:val="21"/>
                <w:lang w:val="en-US" w:eastAsia="en-US" w:bidi="ar-SA"/>
              </w:rPr>
              <w:t>celkem</w:t>
            </w:r>
            <w:proofErr w:type="spellEnd"/>
            <w:r w:rsidRPr="00AB7BAF">
              <w:rPr>
                <w:rFonts w:ascii="Calibri" w:eastAsia="Times New Roman" w:hAnsi="Calibri" w:cs="Calibri"/>
                <w:color w:val="000000"/>
                <w:sz w:val="21"/>
                <w:szCs w:val="21"/>
                <w:lang w:val="en-US" w:eastAsia="en-US" w:bidi="ar-SA"/>
              </w:rPr>
              <w:t xml:space="preserve"> </w:t>
            </w:r>
          </w:p>
        </w:tc>
        <w:tc>
          <w:tcPr>
            <w:tcW w:w="2150" w:type="dxa"/>
            <w:tcBorders>
              <w:top w:val="nil"/>
              <w:left w:val="nil"/>
              <w:bottom w:val="single" w:sz="8" w:space="0" w:color="auto"/>
              <w:right w:val="single" w:sz="4" w:space="0" w:color="auto"/>
            </w:tcBorders>
            <w:noWrap/>
            <w:vAlign w:val="bottom"/>
            <w:hideMark/>
          </w:tcPr>
          <w:p w14:paraId="4DB9C39F" w14:textId="77777777" w:rsidR="00AB7BAF" w:rsidRPr="00AB7BAF" w:rsidRDefault="00AB7BAF">
            <w:pPr>
              <w:widowControl/>
              <w:autoSpaceDE/>
              <w:jc w:val="center"/>
              <w:rPr>
                <w:rFonts w:ascii="Calibri" w:eastAsia="Times New Roman" w:hAnsi="Calibri" w:cs="Calibri"/>
                <w:color w:val="000000"/>
                <w:sz w:val="21"/>
                <w:szCs w:val="21"/>
                <w:lang w:val="en-US" w:eastAsia="en-US" w:bidi="ar-SA"/>
              </w:rPr>
            </w:pPr>
            <w:r w:rsidRPr="00AB7BAF">
              <w:rPr>
                <w:rFonts w:ascii="Calibri" w:eastAsia="Times New Roman" w:hAnsi="Calibri" w:cs="Calibri"/>
                <w:color w:val="000000"/>
                <w:sz w:val="21"/>
                <w:szCs w:val="21"/>
                <w:lang w:val="en-US" w:eastAsia="en-US" w:bidi="ar-SA"/>
              </w:rPr>
              <w:t xml:space="preserve">9 418 476 </w:t>
            </w:r>
            <w:proofErr w:type="spellStart"/>
            <w:r w:rsidRPr="00AB7BAF">
              <w:rPr>
                <w:rFonts w:ascii="Calibri" w:eastAsia="Times New Roman" w:hAnsi="Calibri" w:cs="Calibri"/>
                <w:color w:val="000000"/>
                <w:sz w:val="21"/>
                <w:szCs w:val="21"/>
                <w:lang w:val="en-US" w:eastAsia="en-US" w:bidi="ar-SA"/>
              </w:rPr>
              <w:t>Kč</w:t>
            </w:r>
            <w:proofErr w:type="spellEnd"/>
          </w:p>
        </w:tc>
        <w:tc>
          <w:tcPr>
            <w:tcW w:w="3402" w:type="dxa"/>
            <w:tcBorders>
              <w:top w:val="nil"/>
              <w:left w:val="nil"/>
              <w:bottom w:val="single" w:sz="8" w:space="0" w:color="auto"/>
              <w:right w:val="single" w:sz="8" w:space="0" w:color="auto"/>
            </w:tcBorders>
            <w:noWrap/>
            <w:vAlign w:val="bottom"/>
            <w:hideMark/>
          </w:tcPr>
          <w:p w14:paraId="6A92796F" w14:textId="77777777" w:rsidR="00AB7BAF" w:rsidRPr="00AB7BAF" w:rsidRDefault="00AB7BAF">
            <w:pPr>
              <w:widowControl/>
              <w:autoSpaceDE/>
              <w:jc w:val="center"/>
              <w:rPr>
                <w:rFonts w:ascii="Calibri" w:eastAsia="Times New Roman" w:hAnsi="Calibri" w:cs="Calibri"/>
                <w:color w:val="000000"/>
                <w:sz w:val="21"/>
                <w:szCs w:val="21"/>
                <w:lang w:val="en-US" w:eastAsia="en-US" w:bidi="ar-SA"/>
              </w:rPr>
            </w:pPr>
            <w:r w:rsidRPr="00AB7BAF">
              <w:rPr>
                <w:rFonts w:ascii="Calibri" w:eastAsia="Times New Roman" w:hAnsi="Calibri" w:cs="Calibri"/>
                <w:color w:val="000000"/>
                <w:sz w:val="21"/>
                <w:szCs w:val="21"/>
                <w:lang w:val="en-US" w:eastAsia="en-US" w:bidi="ar-SA"/>
              </w:rPr>
              <w:t xml:space="preserve">9 193 405 </w:t>
            </w:r>
            <w:proofErr w:type="spellStart"/>
            <w:r w:rsidRPr="00AB7BAF">
              <w:rPr>
                <w:rFonts w:ascii="Calibri" w:eastAsia="Times New Roman" w:hAnsi="Calibri" w:cs="Calibri"/>
                <w:color w:val="000000"/>
                <w:sz w:val="21"/>
                <w:szCs w:val="21"/>
                <w:lang w:val="en-US" w:eastAsia="en-US" w:bidi="ar-SA"/>
              </w:rPr>
              <w:t>Kč</w:t>
            </w:r>
            <w:proofErr w:type="spellEnd"/>
          </w:p>
        </w:tc>
      </w:tr>
    </w:tbl>
    <w:p w14:paraId="23BF35CB" w14:textId="378BBE76" w:rsidR="00362BFF" w:rsidRPr="00AB7BAF" w:rsidRDefault="00AB7BAF" w:rsidP="00AB7BAF">
      <w:pPr>
        <w:pBdr>
          <w:bottom w:val="single" w:sz="4" w:space="0" w:color="auto"/>
        </w:pBdr>
        <w:spacing w:before="200" w:after="120"/>
        <w:ind w:right="40"/>
        <w:rPr>
          <w:rFonts w:asciiTheme="minorHAnsi" w:hAnsiTheme="minorHAnsi" w:cstheme="minorHAnsi"/>
          <w:bCs/>
          <w:i/>
          <w:noProof/>
          <w:color w:val="000000" w:themeColor="text1"/>
          <w:sz w:val="21"/>
          <w:szCs w:val="21"/>
          <w:lang w:bidi="ar-SA"/>
        </w:rPr>
      </w:pPr>
      <w:r w:rsidRPr="00AB7BAF">
        <w:rPr>
          <w:rFonts w:asciiTheme="minorHAnsi" w:hAnsiTheme="minorHAnsi" w:cstheme="minorHAnsi"/>
          <w:bCs/>
          <w:i/>
          <w:noProof/>
          <w:color w:val="000000" w:themeColor="text1"/>
          <w:sz w:val="21"/>
          <w:szCs w:val="21"/>
        </w:rPr>
        <w:t>Zdroj: splátková  kalkulačka Broker Friend</w:t>
      </w:r>
    </w:p>
    <w:p w14:paraId="06153168" w14:textId="4D2CA7A0" w:rsidR="00236A37" w:rsidRPr="00AB7BAF" w:rsidRDefault="00C42CA5" w:rsidP="007B1851">
      <w:pPr>
        <w:spacing w:before="240" w:after="120"/>
        <w:rPr>
          <w:rFonts w:asciiTheme="minorHAnsi" w:hAnsiTheme="minorHAnsi" w:cstheme="minorHAnsi"/>
          <w:sz w:val="21"/>
          <w:szCs w:val="21"/>
        </w:rPr>
      </w:pPr>
      <w:r w:rsidRPr="00AB7BAF">
        <w:rPr>
          <w:rFonts w:asciiTheme="minorHAnsi" w:hAnsiTheme="minorHAnsi" w:cstheme="minorHAnsi"/>
          <w:sz w:val="21"/>
          <w:szCs w:val="21"/>
        </w:rPr>
        <w:t>Broker Consulting Index hypotečních úvěrů je analytický nástroj</w:t>
      </w:r>
      <w:r w:rsidR="00113603" w:rsidRPr="00AB7BAF">
        <w:rPr>
          <w:rFonts w:asciiTheme="minorHAnsi" w:hAnsiTheme="minorHAnsi" w:cstheme="minorHAnsi"/>
          <w:sz w:val="21"/>
          <w:szCs w:val="21"/>
        </w:rPr>
        <w:t xml:space="preserve"> znázorňující</w:t>
      </w:r>
      <w:r w:rsidRPr="00AB7BAF">
        <w:rPr>
          <w:rFonts w:asciiTheme="minorHAnsi" w:hAnsiTheme="minorHAnsi" w:cstheme="minorHAnsi"/>
          <w:sz w:val="21"/>
          <w:szCs w:val="21"/>
        </w:rPr>
        <w:t xml:space="preserve"> průměrnou úrokovou sazbu u hypotečních úvěrů, </w:t>
      </w:r>
      <w:r w:rsidR="00113603" w:rsidRPr="00AB7BAF">
        <w:rPr>
          <w:rFonts w:asciiTheme="minorHAnsi" w:hAnsiTheme="minorHAnsi" w:cstheme="minorHAnsi"/>
          <w:sz w:val="21"/>
          <w:szCs w:val="21"/>
        </w:rPr>
        <w:t>které</w:t>
      </w:r>
      <w:r w:rsidRPr="00AB7BAF">
        <w:rPr>
          <w:rFonts w:asciiTheme="minorHAnsi" w:hAnsiTheme="minorHAnsi" w:cstheme="minorHAnsi"/>
          <w:sz w:val="21"/>
          <w:szCs w:val="21"/>
        </w:rPr>
        <w:t xml:space="preserve"> zprostředkovali konzultanti Broker Consulting a pobočky OK POINT u kteréhokoli poskytovatele hypotečních úvěrů. Jedná se o vážený aritmetický průměr, kdy hlavní vahou je objem úvěru. Tedy čím vyšší úvěr, tím jeho sazba </w:t>
      </w:r>
      <w:r w:rsidR="00113603" w:rsidRPr="00AB7BAF">
        <w:rPr>
          <w:rFonts w:asciiTheme="minorHAnsi" w:hAnsiTheme="minorHAnsi" w:cstheme="minorHAnsi"/>
          <w:sz w:val="21"/>
          <w:szCs w:val="21"/>
        </w:rPr>
        <w:t xml:space="preserve">vstupuje </w:t>
      </w:r>
      <w:r w:rsidRPr="00AB7BAF">
        <w:rPr>
          <w:rFonts w:asciiTheme="minorHAnsi" w:hAnsiTheme="minorHAnsi" w:cstheme="minorHAnsi"/>
          <w:sz w:val="21"/>
          <w:szCs w:val="21"/>
        </w:rPr>
        <w:t xml:space="preserve">do indexu větší vahou. </w:t>
      </w:r>
      <w:r w:rsidRPr="00AB7BAF">
        <w:rPr>
          <w:rFonts w:asciiTheme="minorHAnsi" w:hAnsiTheme="minorHAnsi" w:cstheme="minorHAnsi"/>
          <w:b/>
          <w:sz w:val="21"/>
          <w:szCs w:val="21"/>
        </w:rPr>
        <w:t xml:space="preserve">Výhodou metody výpočtu </w:t>
      </w:r>
      <w:r w:rsidR="00C7532A" w:rsidRPr="00AB7BAF">
        <w:rPr>
          <w:rFonts w:asciiTheme="minorHAnsi" w:hAnsiTheme="minorHAnsi" w:cstheme="minorHAnsi"/>
          <w:b/>
          <w:sz w:val="21"/>
          <w:szCs w:val="21"/>
        </w:rPr>
        <w:t xml:space="preserve">indexu </w:t>
      </w:r>
      <w:r w:rsidRPr="00AB7BAF">
        <w:rPr>
          <w:rFonts w:asciiTheme="minorHAnsi" w:hAnsiTheme="minorHAnsi" w:cstheme="minorHAnsi"/>
          <w:b/>
          <w:sz w:val="21"/>
          <w:szCs w:val="21"/>
        </w:rPr>
        <w:t>je skutečnost, že se do statistiky dostávají pouze skutečně schválené úvěry, a to bez výjimky všechny.</w:t>
      </w:r>
      <w:r w:rsidRPr="00AB7BAF">
        <w:rPr>
          <w:rFonts w:asciiTheme="minorHAnsi" w:hAnsiTheme="minorHAnsi" w:cstheme="minorHAnsi"/>
          <w:sz w:val="21"/>
          <w:szCs w:val="21"/>
        </w:rPr>
        <w:t xml:space="preserve"> Nemůže tak dojít ke zkreslení informací a index není závislý na dodávkách třetích stran. </w:t>
      </w:r>
    </w:p>
    <w:p w14:paraId="70EFA666" w14:textId="4A6CAE48" w:rsidR="002E6DB6" w:rsidRPr="00AB7BAF" w:rsidRDefault="00C42CA5" w:rsidP="007B1851">
      <w:pPr>
        <w:spacing w:after="120"/>
        <w:rPr>
          <w:rFonts w:asciiTheme="minorHAnsi" w:hAnsiTheme="minorHAnsi" w:cstheme="minorHAnsi"/>
          <w:sz w:val="21"/>
          <w:szCs w:val="21"/>
        </w:rPr>
      </w:pPr>
      <w:r w:rsidRPr="00AB7BAF">
        <w:rPr>
          <w:rFonts w:asciiTheme="minorHAnsi" w:hAnsiTheme="minorHAnsi" w:cstheme="minorHAnsi"/>
          <w:sz w:val="21"/>
          <w:szCs w:val="21"/>
        </w:rPr>
        <w:t>V principu se Broker Consulting Index hypotečních úvěrů počítá ze sazeb, které jsou v danou chvíli pro daného klienta nejnižší na trhu</w:t>
      </w:r>
      <w:r w:rsidR="00FA2D1E" w:rsidRPr="00AB7BAF">
        <w:rPr>
          <w:rFonts w:asciiTheme="minorHAnsi" w:hAnsiTheme="minorHAnsi" w:cstheme="minorHAnsi"/>
          <w:sz w:val="21"/>
          <w:szCs w:val="21"/>
        </w:rPr>
        <w:t>,</w:t>
      </w:r>
      <w:r w:rsidRPr="00AB7BAF">
        <w:rPr>
          <w:rFonts w:asciiTheme="minorHAnsi" w:hAnsiTheme="minorHAnsi" w:cstheme="minorHAnsi"/>
          <w:sz w:val="21"/>
          <w:szCs w:val="21"/>
        </w:rPr>
        <w:t xml:space="preserve"> </w:t>
      </w:r>
      <w:r w:rsidR="00FA2D1E" w:rsidRPr="00AB7BAF">
        <w:rPr>
          <w:rFonts w:asciiTheme="minorHAnsi" w:hAnsiTheme="minorHAnsi" w:cstheme="minorHAnsi"/>
          <w:sz w:val="21"/>
          <w:szCs w:val="21"/>
        </w:rPr>
        <w:t>a</w:t>
      </w:r>
      <w:r w:rsidRPr="00AB7BAF">
        <w:rPr>
          <w:rFonts w:asciiTheme="minorHAnsi" w:hAnsiTheme="minorHAnsi" w:cstheme="minorHAnsi"/>
          <w:sz w:val="21"/>
          <w:szCs w:val="21"/>
        </w:rPr>
        <w:t xml:space="preserve">nebo se nejnižší hranici přibližují, neboť klient si vybírá z mnoha možností, které mu trh v danou chvíli nabízí. A většinou si vybírá právě nejnižší sazbu úvěru, který i v jiných parametrech splňuje jejich podmínky. Broker Consulting ročně zprostředkuje úvěry v objemu přesahujícím 13 miliard korun. </w:t>
      </w:r>
    </w:p>
    <w:p w14:paraId="4A4E372E" w14:textId="0BB6F940" w:rsidR="00CA1806" w:rsidRDefault="002E6DB6" w:rsidP="00C21F84">
      <w:pPr>
        <w:pBdr>
          <w:bottom w:val="single" w:sz="4" w:space="1" w:color="auto"/>
        </w:pBdr>
        <w:spacing w:after="120"/>
        <w:rPr>
          <w:rFonts w:asciiTheme="minorHAnsi" w:hAnsiTheme="minorHAnsi" w:cstheme="minorHAnsi"/>
          <w:sz w:val="21"/>
          <w:szCs w:val="21"/>
        </w:rPr>
      </w:pPr>
      <w:r w:rsidRPr="00AB7BAF">
        <w:rPr>
          <w:rFonts w:asciiTheme="minorHAnsi" w:hAnsiTheme="minorHAnsi" w:cstheme="minorHAnsi"/>
          <w:color w:val="000000"/>
          <w:sz w:val="21"/>
          <w:szCs w:val="21"/>
        </w:rPr>
        <w:t>Předstihový ukazatel Broker Consulting Indexu hypotečních úvěrů a jeho výpočet rea</w:t>
      </w:r>
      <w:r w:rsidR="008C75D3" w:rsidRPr="00AB7BAF">
        <w:rPr>
          <w:rFonts w:asciiTheme="minorHAnsi" w:hAnsiTheme="minorHAnsi" w:cstheme="minorHAnsi"/>
          <w:color w:val="000000"/>
          <w:sz w:val="21"/>
          <w:szCs w:val="21"/>
        </w:rPr>
        <w:t>guje na potřebu aktuálního výhledu výše sazeb, ve kterém se budou v daném měsíci poskytovat hypoteční úvěry zprostředkovávané od většiny bankovních institucí v tuzemsku. Ve výpočtu jde o aritmetick</w:t>
      </w:r>
      <w:r w:rsidR="00057F54" w:rsidRPr="00AB7BAF">
        <w:rPr>
          <w:rFonts w:asciiTheme="minorHAnsi" w:hAnsiTheme="minorHAnsi" w:cstheme="minorHAnsi"/>
          <w:color w:val="000000"/>
          <w:sz w:val="21"/>
          <w:szCs w:val="21"/>
        </w:rPr>
        <w:t>ý průměr nabízených úrokových sazeb</w:t>
      </w:r>
      <w:r w:rsidR="00807AD4" w:rsidRPr="00AB7BAF">
        <w:rPr>
          <w:rFonts w:asciiTheme="minorHAnsi" w:hAnsiTheme="minorHAnsi" w:cstheme="minorHAnsi"/>
          <w:color w:val="000000"/>
          <w:sz w:val="21"/>
          <w:szCs w:val="21"/>
        </w:rPr>
        <w:t xml:space="preserve"> v konkrétním </w:t>
      </w:r>
      <w:r w:rsidR="008C75D3" w:rsidRPr="00AB7BAF">
        <w:rPr>
          <w:rFonts w:asciiTheme="minorHAnsi" w:hAnsiTheme="minorHAnsi" w:cstheme="minorHAnsi"/>
          <w:color w:val="000000"/>
          <w:sz w:val="21"/>
          <w:szCs w:val="21"/>
        </w:rPr>
        <w:t>měsíci, ve kterém se zveřejňují hodnoty Broker Consulting Indexu hypotečních úvěrů.</w:t>
      </w:r>
      <w:r w:rsidR="00CC3D3D" w:rsidRPr="00AB7BAF">
        <w:rPr>
          <w:rFonts w:asciiTheme="minorHAnsi" w:hAnsiTheme="minorHAnsi" w:cstheme="minorHAnsi"/>
          <w:color w:val="000000"/>
          <w:sz w:val="21"/>
          <w:szCs w:val="21"/>
        </w:rPr>
        <w:t xml:space="preserve"> Vzhledem ke statisti</w:t>
      </w:r>
      <w:r w:rsidR="004919CC" w:rsidRPr="00AB7BAF">
        <w:rPr>
          <w:rFonts w:asciiTheme="minorHAnsi" w:hAnsiTheme="minorHAnsi" w:cstheme="minorHAnsi"/>
          <w:color w:val="000000"/>
          <w:sz w:val="21"/>
          <w:szCs w:val="21"/>
        </w:rPr>
        <w:t>ce preferovaných fixací byla při výpoč</w:t>
      </w:r>
      <w:r w:rsidR="00CC3D3D" w:rsidRPr="00AB7BAF">
        <w:rPr>
          <w:rFonts w:asciiTheme="minorHAnsi" w:hAnsiTheme="minorHAnsi" w:cstheme="minorHAnsi"/>
          <w:color w:val="000000"/>
          <w:sz w:val="21"/>
          <w:szCs w:val="21"/>
        </w:rPr>
        <w:t>t</w:t>
      </w:r>
      <w:r w:rsidR="004919CC" w:rsidRPr="00AB7BAF">
        <w:rPr>
          <w:rFonts w:asciiTheme="minorHAnsi" w:hAnsiTheme="minorHAnsi" w:cstheme="minorHAnsi"/>
          <w:color w:val="000000"/>
          <w:sz w:val="21"/>
          <w:szCs w:val="21"/>
        </w:rPr>
        <w:t>u zohledněna</w:t>
      </w:r>
      <w:r w:rsidR="00CC3D3D" w:rsidRPr="00AB7BAF">
        <w:rPr>
          <w:rFonts w:asciiTheme="minorHAnsi" w:hAnsiTheme="minorHAnsi" w:cstheme="minorHAnsi"/>
          <w:color w:val="000000"/>
          <w:sz w:val="21"/>
          <w:szCs w:val="21"/>
        </w:rPr>
        <w:t xml:space="preserve"> pětiletá fixace úrokových sazeb.</w:t>
      </w:r>
    </w:p>
    <w:p w14:paraId="0584C559" w14:textId="77777777" w:rsidR="00C21F84" w:rsidRPr="00C21F84" w:rsidRDefault="00C21F84" w:rsidP="00C21F84">
      <w:pPr>
        <w:pBdr>
          <w:bottom w:val="single" w:sz="4" w:space="1" w:color="auto"/>
        </w:pBdr>
        <w:spacing w:after="120"/>
        <w:rPr>
          <w:rFonts w:asciiTheme="minorHAnsi" w:hAnsiTheme="minorHAnsi" w:cstheme="minorHAnsi"/>
          <w:sz w:val="21"/>
          <w:szCs w:val="21"/>
        </w:rPr>
      </w:pPr>
    </w:p>
    <w:p w14:paraId="5FCF3C96" w14:textId="79E57602" w:rsidR="00B01F39" w:rsidRPr="00C21F84" w:rsidRDefault="00C947C0" w:rsidP="007B1851">
      <w:pPr>
        <w:rPr>
          <w:rFonts w:asciiTheme="minorHAnsi" w:hAnsiTheme="minorHAnsi" w:cstheme="minorHAnsi"/>
          <w:i/>
          <w:color w:val="1D1D1B"/>
          <w:w w:val="105"/>
          <w:sz w:val="20"/>
          <w:szCs w:val="20"/>
        </w:rPr>
      </w:pPr>
      <w:r w:rsidRPr="00C21F84">
        <w:rPr>
          <w:rFonts w:asciiTheme="minorHAnsi" w:hAnsiTheme="minorHAnsi" w:cstheme="minorHAnsi"/>
          <w:b/>
          <w:sz w:val="20"/>
          <w:szCs w:val="20"/>
        </w:rPr>
        <w:t>P</w:t>
      </w:r>
      <w:r w:rsidR="00B37F41" w:rsidRPr="00C21F84">
        <w:rPr>
          <w:rFonts w:asciiTheme="minorHAnsi" w:hAnsiTheme="minorHAnsi" w:cstheme="minorHAnsi"/>
          <w:b/>
          <w:sz w:val="20"/>
          <w:szCs w:val="20"/>
        </w:rPr>
        <w:t>oznámka pro média:</w:t>
      </w:r>
      <w:r w:rsidR="00B37F41" w:rsidRPr="00C21F84">
        <w:rPr>
          <w:rFonts w:asciiTheme="minorHAnsi" w:hAnsiTheme="minorHAnsi" w:cstheme="minorHAnsi"/>
          <w:sz w:val="20"/>
          <w:szCs w:val="20"/>
        </w:rPr>
        <w:t xml:space="preserve"> </w:t>
      </w:r>
      <w:r w:rsidR="00B37F41" w:rsidRPr="00C21F84">
        <w:rPr>
          <w:rFonts w:asciiTheme="minorHAnsi" w:hAnsiTheme="minorHAnsi" w:cstheme="minorHAnsi"/>
          <w:color w:val="1D1D1B"/>
          <w:w w:val="105"/>
          <w:sz w:val="20"/>
          <w:szCs w:val="20"/>
        </w:rPr>
        <w:t>Broker</w:t>
      </w:r>
      <w:r w:rsidR="00B37F41" w:rsidRPr="00C21F84">
        <w:rPr>
          <w:rFonts w:asciiTheme="minorHAnsi" w:hAnsiTheme="minorHAnsi" w:cstheme="minorHAnsi"/>
          <w:color w:val="1D1D1B"/>
          <w:spacing w:val="-9"/>
          <w:w w:val="105"/>
          <w:sz w:val="20"/>
          <w:szCs w:val="20"/>
        </w:rPr>
        <w:t xml:space="preserve"> </w:t>
      </w:r>
      <w:r w:rsidR="00B37F41" w:rsidRPr="00C21F84">
        <w:rPr>
          <w:rFonts w:asciiTheme="minorHAnsi" w:hAnsiTheme="minorHAnsi" w:cstheme="minorHAnsi"/>
          <w:color w:val="1D1D1B"/>
          <w:w w:val="105"/>
          <w:sz w:val="20"/>
          <w:szCs w:val="20"/>
        </w:rPr>
        <w:t>Consulting</w:t>
      </w:r>
      <w:r w:rsidR="00B37F41" w:rsidRPr="00C21F84">
        <w:rPr>
          <w:rFonts w:asciiTheme="minorHAnsi" w:hAnsiTheme="minorHAnsi" w:cstheme="minorHAnsi"/>
          <w:color w:val="1D1D1B"/>
          <w:spacing w:val="-8"/>
          <w:w w:val="105"/>
          <w:sz w:val="20"/>
          <w:szCs w:val="20"/>
        </w:rPr>
        <w:t xml:space="preserve"> </w:t>
      </w:r>
      <w:r w:rsidR="00B37F41" w:rsidRPr="00C21F84">
        <w:rPr>
          <w:rFonts w:asciiTheme="minorHAnsi" w:hAnsiTheme="minorHAnsi" w:cstheme="minorHAnsi"/>
          <w:color w:val="1D1D1B"/>
          <w:w w:val="105"/>
          <w:sz w:val="20"/>
          <w:szCs w:val="20"/>
        </w:rPr>
        <w:t>Indexy</w:t>
      </w:r>
      <w:r w:rsidR="00B37F41" w:rsidRPr="00C21F84">
        <w:rPr>
          <w:rFonts w:asciiTheme="minorHAnsi" w:hAnsiTheme="minorHAnsi" w:cstheme="minorHAnsi"/>
          <w:color w:val="1D1D1B"/>
          <w:spacing w:val="-9"/>
          <w:w w:val="105"/>
          <w:sz w:val="20"/>
          <w:szCs w:val="20"/>
        </w:rPr>
        <w:t xml:space="preserve"> </w:t>
      </w:r>
      <w:r w:rsidR="00B37F41" w:rsidRPr="00C21F84">
        <w:rPr>
          <w:rFonts w:asciiTheme="minorHAnsi" w:hAnsiTheme="minorHAnsi" w:cstheme="minorHAnsi"/>
          <w:color w:val="1D1D1B"/>
          <w:w w:val="105"/>
          <w:sz w:val="20"/>
          <w:szCs w:val="20"/>
        </w:rPr>
        <w:t>je</w:t>
      </w:r>
      <w:r w:rsidR="00B37F41" w:rsidRPr="00C21F84">
        <w:rPr>
          <w:rFonts w:asciiTheme="minorHAnsi" w:hAnsiTheme="minorHAnsi" w:cstheme="minorHAnsi"/>
          <w:color w:val="1D1D1B"/>
          <w:spacing w:val="-8"/>
          <w:w w:val="105"/>
          <w:sz w:val="20"/>
          <w:szCs w:val="20"/>
        </w:rPr>
        <w:t xml:space="preserve"> </w:t>
      </w:r>
      <w:r w:rsidR="00B37F41" w:rsidRPr="00C21F84">
        <w:rPr>
          <w:rFonts w:asciiTheme="minorHAnsi" w:hAnsiTheme="minorHAnsi" w:cstheme="minorHAnsi"/>
          <w:color w:val="1D1D1B"/>
          <w:w w:val="105"/>
          <w:sz w:val="20"/>
          <w:szCs w:val="20"/>
        </w:rPr>
        <w:t>možné</w:t>
      </w:r>
      <w:r w:rsidR="00B37F41" w:rsidRPr="00C21F84">
        <w:rPr>
          <w:rFonts w:asciiTheme="minorHAnsi" w:hAnsiTheme="minorHAnsi" w:cstheme="minorHAnsi"/>
          <w:color w:val="1D1D1B"/>
          <w:spacing w:val="-9"/>
          <w:w w:val="105"/>
          <w:sz w:val="20"/>
          <w:szCs w:val="20"/>
        </w:rPr>
        <w:t xml:space="preserve"> </w:t>
      </w:r>
      <w:r w:rsidR="00B37F41" w:rsidRPr="00C21F84">
        <w:rPr>
          <w:rFonts w:asciiTheme="minorHAnsi" w:hAnsiTheme="minorHAnsi" w:cstheme="minorHAnsi"/>
          <w:color w:val="1D1D1B"/>
          <w:w w:val="105"/>
          <w:sz w:val="20"/>
          <w:szCs w:val="20"/>
        </w:rPr>
        <w:t>volně</w:t>
      </w:r>
      <w:r w:rsidR="00B37F41" w:rsidRPr="00C21F84">
        <w:rPr>
          <w:rFonts w:asciiTheme="minorHAnsi" w:hAnsiTheme="minorHAnsi" w:cstheme="minorHAnsi"/>
          <w:color w:val="1D1D1B"/>
          <w:spacing w:val="-8"/>
          <w:w w:val="105"/>
          <w:sz w:val="20"/>
          <w:szCs w:val="20"/>
        </w:rPr>
        <w:t xml:space="preserve"> </w:t>
      </w:r>
      <w:r w:rsidR="00B37F41" w:rsidRPr="00C21F84">
        <w:rPr>
          <w:rFonts w:asciiTheme="minorHAnsi" w:hAnsiTheme="minorHAnsi" w:cstheme="minorHAnsi"/>
          <w:color w:val="1D1D1B"/>
          <w:spacing w:val="2"/>
          <w:w w:val="105"/>
          <w:sz w:val="20"/>
          <w:szCs w:val="20"/>
        </w:rPr>
        <w:t>publikovat</w:t>
      </w:r>
      <w:r w:rsidR="00B37F41" w:rsidRPr="00C21F84">
        <w:rPr>
          <w:rFonts w:asciiTheme="minorHAnsi" w:hAnsiTheme="minorHAnsi" w:cstheme="minorHAnsi"/>
          <w:color w:val="1D1D1B"/>
          <w:spacing w:val="-9"/>
          <w:w w:val="105"/>
          <w:sz w:val="20"/>
          <w:szCs w:val="20"/>
        </w:rPr>
        <w:t xml:space="preserve"> </w:t>
      </w:r>
      <w:r w:rsidR="00B37F41" w:rsidRPr="00C21F84">
        <w:rPr>
          <w:rFonts w:asciiTheme="minorHAnsi" w:hAnsiTheme="minorHAnsi" w:cstheme="minorHAnsi"/>
          <w:color w:val="1D1D1B"/>
          <w:w w:val="105"/>
          <w:sz w:val="20"/>
          <w:szCs w:val="20"/>
        </w:rPr>
        <w:t>pouze</w:t>
      </w:r>
      <w:r w:rsidR="00B37F41" w:rsidRPr="00C21F84">
        <w:rPr>
          <w:rFonts w:asciiTheme="minorHAnsi" w:hAnsiTheme="minorHAnsi" w:cstheme="minorHAnsi"/>
          <w:color w:val="1D1D1B"/>
          <w:spacing w:val="-8"/>
          <w:w w:val="105"/>
          <w:sz w:val="20"/>
          <w:szCs w:val="20"/>
        </w:rPr>
        <w:t xml:space="preserve"> </w:t>
      </w:r>
      <w:r w:rsidR="00B37F41" w:rsidRPr="00C21F84">
        <w:rPr>
          <w:rFonts w:asciiTheme="minorHAnsi" w:hAnsiTheme="minorHAnsi" w:cstheme="minorHAnsi"/>
          <w:color w:val="1D1D1B"/>
          <w:w w:val="105"/>
          <w:sz w:val="20"/>
          <w:szCs w:val="20"/>
        </w:rPr>
        <w:t>s</w:t>
      </w:r>
      <w:r w:rsidR="00B37F41" w:rsidRPr="00C21F84">
        <w:rPr>
          <w:rFonts w:asciiTheme="minorHAnsi" w:hAnsiTheme="minorHAnsi" w:cstheme="minorHAnsi"/>
          <w:color w:val="1D1D1B"/>
          <w:spacing w:val="-9"/>
          <w:w w:val="105"/>
          <w:sz w:val="20"/>
          <w:szCs w:val="20"/>
        </w:rPr>
        <w:t xml:space="preserve"> </w:t>
      </w:r>
      <w:r w:rsidR="00B37F41" w:rsidRPr="00C21F84">
        <w:rPr>
          <w:rFonts w:asciiTheme="minorHAnsi" w:hAnsiTheme="minorHAnsi" w:cstheme="minorHAnsi"/>
          <w:color w:val="1D1D1B"/>
          <w:w w:val="105"/>
          <w:sz w:val="20"/>
          <w:szCs w:val="20"/>
        </w:rPr>
        <w:t>označením</w:t>
      </w:r>
      <w:r w:rsidR="00B37F41" w:rsidRPr="00C21F84">
        <w:rPr>
          <w:rFonts w:asciiTheme="minorHAnsi" w:hAnsiTheme="minorHAnsi" w:cstheme="minorHAnsi"/>
          <w:color w:val="1D1D1B"/>
          <w:spacing w:val="-8"/>
          <w:w w:val="105"/>
          <w:sz w:val="20"/>
          <w:szCs w:val="20"/>
        </w:rPr>
        <w:t xml:space="preserve"> </w:t>
      </w:r>
      <w:r w:rsidR="00B37F41" w:rsidRPr="00C21F84">
        <w:rPr>
          <w:rFonts w:asciiTheme="minorHAnsi" w:hAnsiTheme="minorHAnsi" w:cstheme="minorHAnsi"/>
          <w:color w:val="1D1D1B"/>
          <w:w w:val="105"/>
          <w:sz w:val="20"/>
          <w:szCs w:val="20"/>
        </w:rPr>
        <w:t>„Broker</w:t>
      </w:r>
      <w:r w:rsidR="00B37F41" w:rsidRPr="00C21F84">
        <w:rPr>
          <w:rFonts w:asciiTheme="minorHAnsi" w:hAnsiTheme="minorHAnsi" w:cstheme="minorHAnsi"/>
          <w:color w:val="1D1D1B"/>
          <w:spacing w:val="-9"/>
          <w:w w:val="105"/>
          <w:sz w:val="20"/>
          <w:szCs w:val="20"/>
        </w:rPr>
        <w:t xml:space="preserve"> </w:t>
      </w:r>
      <w:r w:rsidR="00B37F41" w:rsidRPr="00C21F84">
        <w:rPr>
          <w:rFonts w:asciiTheme="minorHAnsi" w:hAnsiTheme="minorHAnsi" w:cstheme="minorHAnsi"/>
          <w:color w:val="1D1D1B"/>
          <w:w w:val="105"/>
          <w:sz w:val="20"/>
          <w:szCs w:val="20"/>
        </w:rPr>
        <w:t>Consulting</w:t>
      </w:r>
      <w:r w:rsidR="00B37F41" w:rsidRPr="00C21F84">
        <w:rPr>
          <w:rFonts w:asciiTheme="minorHAnsi" w:hAnsiTheme="minorHAnsi" w:cstheme="minorHAnsi"/>
          <w:color w:val="1D1D1B"/>
          <w:spacing w:val="-8"/>
          <w:w w:val="105"/>
          <w:sz w:val="20"/>
          <w:szCs w:val="20"/>
        </w:rPr>
        <w:t xml:space="preserve"> </w:t>
      </w:r>
      <w:r w:rsidR="00B37F41" w:rsidRPr="00C21F84">
        <w:rPr>
          <w:rFonts w:asciiTheme="minorHAnsi" w:hAnsiTheme="minorHAnsi" w:cstheme="minorHAnsi"/>
          <w:color w:val="1D1D1B"/>
          <w:w w:val="105"/>
          <w:sz w:val="20"/>
          <w:szCs w:val="20"/>
        </w:rPr>
        <w:t>Index“</w:t>
      </w:r>
      <w:r w:rsidR="00B37F41" w:rsidRPr="00C21F84">
        <w:rPr>
          <w:rFonts w:asciiTheme="minorHAnsi" w:hAnsiTheme="minorHAnsi" w:cstheme="minorHAnsi"/>
          <w:color w:val="1D1D1B"/>
          <w:spacing w:val="-9"/>
          <w:w w:val="105"/>
          <w:sz w:val="20"/>
          <w:szCs w:val="20"/>
        </w:rPr>
        <w:t xml:space="preserve"> </w:t>
      </w:r>
      <w:r w:rsidR="00B37F41" w:rsidRPr="00C21F84">
        <w:rPr>
          <w:rFonts w:asciiTheme="minorHAnsi" w:hAnsiTheme="minorHAnsi" w:cstheme="minorHAnsi"/>
          <w:color w:val="1D1D1B"/>
          <w:spacing w:val="-3"/>
          <w:w w:val="105"/>
          <w:sz w:val="20"/>
          <w:szCs w:val="20"/>
        </w:rPr>
        <w:t>(</w:t>
      </w:r>
      <w:r w:rsidR="00B37F41" w:rsidRPr="00C21F84">
        <w:rPr>
          <w:rFonts w:asciiTheme="minorHAnsi" w:hAnsiTheme="minorHAnsi" w:cstheme="minorHAnsi"/>
          <w:i/>
          <w:color w:val="1D1D1B"/>
          <w:spacing w:val="-3"/>
          <w:w w:val="105"/>
          <w:sz w:val="20"/>
          <w:szCs w:val="20"/>
        </w:rPr>
        <w:t>např.</w:t>
      </w:r>
      <w:r w:rsidR="00B37F41" w:rsidRPr="00C21F84">
        <w:rPr>
          <w:rFonts w:asciiTheme="minorHAnsi" w:hAnsiTheme="minorHAnsi" w:cstheme="minorHAnsi"/>
          <w:i/>
          <w:color w:val="1D1D1B"/>
          <w:spacing w:val="-8"/>
          <w:w w:val="105"/>
          <w:sz w:val="20"/>
          <w:szCs w:val="20"/>
        </w:rPr>
        <w:t xml:space="preserve"> </w:t>
      </w:r>
      <w:r w:rsidR="00B37F41" w:rsidRPr="00C21F84">
        <w:rPr>
          <w:rFonts w:asciiTheme="minorHAnsi" w:hAnsiTheme="minorHAnsi" w:cstheme="minorHAnsi"/>
          <w:i/>
          <w:color w:val="1D1D1B"/>
          <w:w w:val="105"/>
          <w:sz w:val="20"/>
          <w:szCs w:val="20"/>
        </w:rPr>
        <w:t>Broker</w:t>
      </w:r>
      <w:r w:rsidR="00B37F41" w:rsidRPr="00C21F84">
        <w:rPr>
          <w:rFonts w:asciiTheme="minorHAnsi" w:hAnsiTheme="minorHAnsi" w:cstheme="minorHAnsi"/>
          <w:i/>
          <w:color w:val="1D1D1B"/>
          <w:spacing w:val="-9"/>
          <w:w w:val="105"/>
          <w:sz w:val="20"/>
          <w:szCs w:val="20"/>
        </w:rPr>
        <w:t xml:space="preserve"> </w:t>
      </w:r>
      <w:r w:rsidR="00B37F41" w:rsidRPr="00C21F84">
        <w:rPr>
          <w:rFonts w:asciiTheme="minorHAnsi" w:hAnsiTheme="minorHAnsi" w:cstheme="minorHAnsi"/>
          <w:i/>
          <w:color w:val="1D1D1B"/>
          <w:w w:val="105"/>
          <w:sz w:val="20"/>
          <w:szCs w:val="20"/>
        </w:rPr>
        <w:t>Consulting</w:t>
      </w:r>
      <w:r w:rsidR="00B37F41" w:rsidRPr="00C21F84">
        <w:rPr>
          <w:rFonts w:asciiTheme="minorHAnsi" w:hAnsiTheme="minorHAnsi" w:cstheme="minorHAnsi"/>
          <w:i/>
          <w:color w:val="1D1D1B"/>
          <w:spacing w:val="-8"/>
          <w:w w:val="105"/>
          <w:sz w:val="20"/>
          <w:szCs w:val="20"/>
        </w:rPr>
        <w:t xml:space="preserve"> </w:t>
      </w:r>
      <w:r w:rsidR="00B37F41" w:rsidRPr="00C21F84">
        <w:rPr>
          <w:rFonts w:asciiTheme="minorHAnsi" w:hAnsiTheme="minorHAnsi" w:cstheme="minorHAnsi"/>
          <w:i/>
          <w:color w:val="1D1D1B"/>
          <w:w w:val="105"/>
          <w:sz w:val="20"/>
          <w:szCs w:val="20"/>
        </w:rPr>
        <w:t>index hypot</w:t>
      </w:r>
      <w:r w:rsidR="00830CE8" w:rsidRPr="00C21F84">
        <w:rPr>
          <w:rFonts w:asciiTheme="minorHAnsi" w:hAnsiTheme="minorHAnsi" w:cstheme="minorHAnsi"/>
          <w:i/>
          <w:color w:val="1D1D1B"/>
          <w:w w:val="105"/>
          <w:sz w:val="20"/>
          <w:szCs w:val="20"/>
        </w:rPr>
        <w:t>e</w:t>
      </w:r>
      <w:r w:rsidR="00B37F41" w:rsidRPr="00C21F84">
        <w:rPr>
          <w:rFonts w:asciiTheme="minorHAnsi" w:hAnsiTheme="minorHAnsi" w:cstheme="minorHAnsi"/>
          <w:i/>
          <w:color w:val="1D1D1B"/>
          <w:w w:val="105"/>
          <w:sz w:val="20"/>
          <w:szCs w:val="20"/>
        </w:rPr>
        <w:t xml:space="preserve">čních úvěrů). Více informací najdete též na webu </w:t>
      </w:r>
      <w:r w:rsidR="00B37F41" w:rsidRPr="00C21F84">
        <w:rPr>
          <w:rStyle w:val="Hypertextovodkaz"/>
          <w:rFonts w:asciiTheme="minorHAnsi" w:hAnsiTheme="minorHAnsi" w:cstheme="minorHAnsi"/>
          <w:i/>
          <w:w w:val="105"/>
          <w:sz w:val="20"/>
          <w:szCs w:val="20"/>
        </w:rPr>
        <w:t>https://www.bcas.cz/onas/pro-media/</w:t>
      </w:r>
      <w:r w:rsidR="00B37F41" w:rsidRPr="00C21F84">
        <w:rPr>
          <w:rFonts w:asciiTheme="minorHAnsi" w:hAnsiTheme="minorHAnsi" w:cstheme="minorHAnsi"/>
          <w:i/>
          <w:color w:val="1D1D1B"/>
          <w:w w:val="105"/>
          <w:sz w:val="20"/>
          <w:szCs w:val="20"/>
        </w:rPr>
        <w:t xml:space="preserve">. </w:t>
      </w:r>
    </w:p>
    <w:p w14:paraId="0BBC87EC" w14:textId="77777777" w:rsidR="001C22FE" w:rsidRPr="00C21F84" w:rsidRDefault="001C22FE" w:rsidP="001C22FE">
      <w:pPr>
        <w:rPr>
          <w:rFonts w:asciiTheme="minorHAnsi" w:hAnsiTheme="minorHAnsi" w:cstheme="minorHAnsi"/>
          <w:b/>
          <w:color w:val="FF0000"/>
          <w:w w:val="105"/>
          <w:sz w:val="20"/>
          <w:szCs w:val="20"/>
        </w:rPr>
      </w:pPr>
    </w:p>
    <w:p w14:paraId="72ED1D97" w14:textId="126A9B30" w:rsidR="001C22FE" w:rsidRPr="00C21F84" w:rsidRDefault="001C22FE" w:rsidP="007B1851">
      <w:pPr>
        <w:rPr>
          <w:rFonts w:asciiTheme="minorHAnsi" w:hAnsiTheme="minorHAnsi" w:cstheme="minorHAnsi"/>
          <w:b/>
          <w:color w:val="1D1D1B"/>
          <w:w w:val="105"/>
          <w:sz w:val="20"/>
          <w:szCs w:val="20"/>
        </w:rPr>
      </w:pPr>
      <w:r w:rsidRPr="00C21F84">
        <w:rPr>
          <w:rFonts w:asciiTheme="minorHAnsi" w:hAnsiTheme="minorHAnsi" w:cstheme="minorHAnsi"/>
          <w:b/>
          <w:color w:val="FF0000"/>
          <w:w w:val="105"/>
          <w:sz w:val="20"/>
          <w:szCs w:val="20"/>
        </w:rPr>
        <w:t>Broker Consulting Indexy je nyní možné sledovat v interaktivní formě na webu</w:t>
      </w:r>
      <w:r w:rsidRPr="00C21F84">
        <w:rPr>
          <w:rFonts w:asciiTheme="minorHAnsi" w:hAnsiTheme="minorHAnsi" w:cstheme="minorHAnsi"/>
          <w:color w:val="1D1D1B"/>
          <w:w w:val="105"/>
          <w:sz w:val="20"/>
          <w:szCs w:val="20"/>
        </w:rPr>
        <w:t>. Zde lze zároveň exportovat zdrojová data ke grafům. Vice dostupné na odkaze</w:t>
      </w:r>
      <w:r w:rsidRPr="00C21F84">
        <w:rPr>
          <w:rFonts w:asciiTheme="minorHAnsi" w:hAnsiTheme="minorHAnsi" w:cstheme="minorHAnsi"/>
          <w:b/>
          <w:color w:val="1D1D1B"/>
          <w:w w:val="105"/>
          <w:sz w:val="20"/>
          <w:szCs w:val="20"/>
        </w:rPr>
        <w:t xml:space="preserve">: </w:t>
      </w:r>
      <w:hyperlink r:id="rId30" w:history="1">
        <w:r w:rsidRPr="00C21F84">
          <w:rPr>
            <w:rStyle w:val="Hypertextovodkaz"/>
            <w:rFonts w:asciiTheme="minorHAnsi" w:hAnsiTheme="minorHAnsi" w:cstheme="minorHAnsi"/>
            <w:b/>
            <w:w w:val="105"/>
            <w:sz w:val="20"/>
            <w:szCs w:val="20"/>
          </w:rPr>
          <w:t>https://www.bcas.cz/o-nas/broker-consulting-index-hypotecnich-uveru/</w:t>
        </w:r>
      </w:hyperlink>
      <w:r w:rsidRPr="00C21F84">
        <w:rPr>
          <w:rFonts w:asciiTheme="minorHAnsi" w:hAnsiTheme="minorHAnsi" w:cstheme="minorHAnsi"/>
          <w:b/>
          <w:color w:val="1D1D1B"/>
          <w:w w:val="105"/>
          <w:sz w:val="20"/>
          <w:szCs w:val="20"/>
        </w:rPr>
        <w:t xml:space="preserve">. </w:t>
      </w:r>
    </w:p>
    <w:p w14:paraId="7DE80F01" w14:textId="5F0A8380" w:rsidR="00CA1806" w:rsidRPr="00C21F84" w:rsidRDefault="00CA1806" w:rsidP="00B27178">
      <w:pPr>
        <w:jc w:val="both"/>
        <w:rPr>
          <w:rFonts w:asciiTheme="minorHAnsi" w:eastAsia="Calibri" w:hAnsiTheme="minorHAnsi" w:cstheme="minorHAnsi"/>
          <w:b/>
          <w:bCs/>
          <w:noProof/>
          <w:sz w:val="20"/>
          <w:szCs w:val="20"/>
        </w:rPr>
      </w:pPr>
    </w:p>
    <w:p w14:paraId="7C1907C0" w14:textId="1D2EC938" w:rsidR="00D60D98" w:rsidRPr="00C21F84" w:rsidRDefault="00D60D98" w:rsidP="00D60D98">
      <w:pPr>
        <w:rPr>
          <w:rFonts w:asciiTheme="minorHAnsi" w:eastAsia="Calibri" w:hAnsiTheme="minorHAnsi" w:cstheme="minorHAnsi"/>
          <w:b/>
          <w:bCs/>
          <w:noProof/>
          <w:sz w:val="20"/>
          <w:szCs w:val="20"/>
        </w:rPr>
      </w:pPr>
      <w:r w:rsidRPr="00C21F84">
        <w:rPr>
          <w:rFonts w:asciiTheme="minorHAnsi" w:eastAsia="Calibri" w:hAnsiTheme="minorHAnsi" w:cstheme="minorHAnsi"/>
          <w:b/>
          <w:bCs/>
          <w:noProof/>
          <w:sz w:val="20"/>
          <w:szCs w:val="20"/>
        </w:rPr>
        <w:t>Kontakt pro média:</w:t>
      </w:r>
    </w:p>
    <w:p w14:paraId="459105C8" w14:textId="1ED04440" w:rsidR="00692610" w:rsidRPr="00C21F84" w:rsidRDefault="003529EF" w:rsidP="00C07D5F">
      <w:pPr>
        <w:rPr>
          <w:rFonts w:asciiTheme="minorHAnsi" w:eastAsia="Calibri" w:hAnsiTheme="minorHAnsi" w:cstheme="minorHAnsi"/>
          <w:bCs/>
          <w:noProof/>
          <w:sz w:val="20"/>
          <w:szCs w:val="20"/>
          <w:lang w:bidi="ar-SA"/>
        </w:rPr>
      </w:pPr>
      <w:r w:rsidRPr="00C21F84">
        <w:rPr>
          <w:rFonts w:asciiTheme="minorHAnsi" w:eastAsia="Calibri" w:hAnsiTheme="minorHAnsi" w:cstheme="minorHAnsi"/>
          <w:bCs/>
          <w:noProof/>
          <w:sz w:val="20"/>
          <w:szCs w:val="20"/>
        </w:rPr>
        <w:t>Michaela Sahulová</w:t>
      </w:r>
    </w:p>
    <w:p w14:paraId="1DBDA364" w14:textId="77777777" w:rsidR="005F2383" w:rsidRPr="00C21F84" w:rsidRDefault="00692610" w:rsidP="00C07D5F">
      <w:pPr>
        <w:pStyle w:val="Bezmezer"/>
        <w:rPr>
          <w:rFonts w:eastAsia="Calibri" w:cstheme="minorHAnsi"/>
          <w:noProof/>
          <w:sz w:val="20"/>
          <w:szCs w:val="20"/>
        </w:rPr>
      </w:pPr>
      <w:r w:rsidRPr="00C21F84">
        <w:rPr>
          <w:rFonts w:eastAsia="Calibri" w:cstheme="minorHAnsi"/>
          <w:noProof/>
          <w:sz w:val="20"/>
          <w:szCs w:val="20"/>
        </w:rPr>
        <w:t>Specialistka PR a externí komunikace</w:t>
      </w:r>
    </w:p>
    <w:p w14:paraId="2B335B50" w14:textId="598C8DDA" w:rsidR="005F2383" w:rsidRPr="00C21F84" w:rsidRDefault="004928CB" w:rsidP="00C07D5F">
      <w:pPr>
        <w:pStyle w:val="Bezmezer"/>
        <w:rPr>
          <w:rFonts w:cstheme="minorHAnsi"/>
          <w:noProof/>
          <w:color w:val="000000" w:themeColor="text1"/>
          <w:sz w:val="20"/>
          <w:szCs w:val="20"/>
        </w:rPr>
      </w:pPr>
      <w:r w:rsidRPr="00C21F84">
        <w:rPr>
          <w:rFonts w:cstheme="minorHAnsi"/>
          <w:noProof/>
          <w:color w:val="000000" w:themeColor="text1"/>
          <w:sz w:val="20"/>
          <w:szCs w:val="20"/>
        </w:rPr>
        <w:t>tel.: +420 731 538</w:t>
      </w:r>
      <w:r w:rsidR="005F2383" w:rsidRPr="00C21F84">
        <w:rPr>
          <w:rFonts w:cstheme="minorHAnsi"/>
          <w:noProof/>
          <w:color w:val="000000" w:themeColor="text1"/>
          <w:sz w:val="20"/>
          <w:szCs w:val="20"/>
        </w:rPr>
        <w:t> </w:t>
      </w:r>
      <w:r w:rsidRPr="00C21F84">
        <w:rPr>
          <w:rFonts w:cstheme="minorHAnsi"/>
          <w:noProof/>
          <w:color w:val="000000" w:themeColor="text1"/>
          <w:sz w:val="20"/>
          <w:szCs w:val="20"/>
        </w:rPr>
        <w:t>373</w:t>
      </w:r>
    </w:p>
    <w:p w14:paraId="025F1B2F" w14:textId="7B529BE3" w:rsidR="00D60D98" w:rsidRPr="00C21F84" w:rsidRDefault="00C07D5F" w:rsidP="00C07D5F">
      <w:pPr>
        <w:pStyle w:val="Bezmezer"/>
        <w:rPr>
          <w:rFonts w:eastAsia="Calibri" w:cstheme="minorHAnsi"/>
          <w:noProof/>
          <w:sz w:val="20"/>
          <w:szCs w:val="20"/>
        </w:rPr>
      </w:pPr>
      <w:r w:rsidRPr="00C21F84">
        <w:rPr>
          <w:rFonts w:cstheme="minorHAnsi"/>
          <w:noProof/>
          <w:color w:val="000000" w:themeColor="text1"/>
          <w:sz w:val="20"/>
          <w:szCs w:val="20"/>
        </w:rPr>
        <w:t>e</w:t>
      </w:r>
      <w:r w:rsidR="00692610" w:rsidRPr="00C21F84">
        <w:rPr>
          <w:rFonts w:eastAsia="Calibri" w:cstheme="minorHAnsi"/>
          <w:noProof/>
          <w:sz w:val="20"/>
          <w:szCs w:val="20"/>
        </w:rPr>
        <w:t xml:space="preserve">-mail: </w:t>
      </w:r>
      <w:hyperlink r:id="rId31" w:history="1">
        <w:r w:rsidR="003529EF" w:rsidRPr="00C21F84">
          <w:rPr>
            <w:rStyle w:val="Hypertextovodkaz"/>
            <w:rFonts w:eastAsia="Calibri" w:cstheme="minorHAnsi"/>
            <w:noProof/>
            <w:sz w:val="20"/>
            <w:szCs w:val="20"/>
          </w:rPr>
          <w:t>michaela.sahulova@bcas.cz</w:t>
        </w:r>
      </w:hyperlink>
      <w:r w:rsidR="00692610" w:rsidRPr="00C21F84">
        <w:rPr>
          <w:rFonts w:eastAsia="Calibri" w:cstheme="minorHAnsi"/>
          <w:noProof/>
          <w:sz w:val="20"/>
          <w:szCs w:val="20"/>
        </w:rPr>
        <w:t xml:space="preserve"> </w:t>
      </w:r>
    </w:p>
    <w:sectPr w:rsidR="00D60D98" w:rsidRPr="00C21F84"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AC3D7B" w14:textId="77777777" w:rsidR="00941295" w:rsidRDefault="00941295">
      <w:r>
        <w:separator/>
      </w:r>
    </w:p>
  </w:endnote>
  <w:endnote w:type="continuationSeparator" w:id="0">
    <w:p w14:paraId="3FDCCC1D" w14:textId="77777777" w:rsidR="00941295" w:rsidRDefault="00941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F015TEELig">
    <w:altName w:val="Times New Roman"/>
    <w:charset w:val="EE"/>
    <w:family w:val="auto"/>
    <w:pitch w:val="variable"/>
    <w:sig w:usb0="00000001" w:usb1="00002048" w:usb2="00000000" w:usb3="00000000" w:csb0="00000083" w:csb1="00000000"/>
  </w:font>
  <w:font w:name="Calibri">
    <w:panose1 w:val="020F0502020204030204"/>
    <w:charset w:val="EE"/>
    <w:family w:val="swiss"/>
    <w:pitch w:val="variable"/>
    <w:sig w:usb0="E4002EFF" w:usb1="C000247B" w:usb2="00000009" w:usb3="00000000" w:csb0="000001FF"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F844E" w14:textId="77777777" w:rsidR="00182E22" w:rsidRDefault="00182E2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941295"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714847"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941295"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714847"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941295"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714847"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FC255" w14:textId="77777777" w:rsidR="00182E22" w:rsidRDefault="00182E22">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30A403" w14:textId="77777777" w:rsidR="00941295" w:rsidRDefault="00941295">
      <w:r>
        <w:separator/>
      </w:r>
    </w:p>
  </w:footnote>
  <w:footnote w:type="continuationSeparator" w:id="0">
    <w:p w14:paraId="4C36E555" w14:textId="77777777" w:rsidR="00941295" w:rsidRDefault="009412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49F15" w14:textId="77777777" w:rsidR="00182E22" w:rsidRDefault="00182E22">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7443AD" w:rsidRDefault="00D80B6D" w:rsidP="00E95698">
    <w:pPr>
      <w:tabs>
        <w:tab w:val="left" w:pos="8633"/>
      </w:tabs>
      <w:spacing w:before="80"/>
      <w:ind w:firstLine="2880"/>
      <w:rPr>
        <w:rFonts w:asciiTheme="minorHAnsi" w:hAnsiTheme="minorHAnsi" w:cstheme="minorHAnsi"/>
        <w:sz w:val="52"/>
      </w:rPr>
    </w:pPr>
    <w:r w:rsidRPr="007443AD">
      <w:rPr>
        <w:rFonts w:asciiTheme="minorHAnsi" w:hAnsiTheme="minorHAnsi" w:cstheme="minorHAnsi"/>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7443AD">
      <w:rPr>
        <w:rFonts w:asciiTheme="minorHAnsi" w:hAnsiTheme="minorHAnsi" w:cstheme="minorHAnsi"/>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7443AD">
      <w:rPr>
        <w:rFonts w:asciiTheme="minorHAnsi" w:hAnsiTheme="minorHAnsi" w:cstheme="minorHAnsi"/>
        <w:color w:val="1D1D1B"/>
        <w:sz w:val="48"/>
      </w:rPr>
      <w:t xml:space="preserve">BROKER CONSULTING </w:t>
    </w:r>
    <w:r w:rsidRPr="007443AD">
      <w:rPr>
        <w:rFonts w:asciiTheme="minorHAnsi" w:hAnsiTheme="minorHAnsi" w:cstheme="minorHAnsi"/>
        <w:color w:val="CD1719"/>
        <w:sz w:val="52"/>
      </w:rPr>
      <w:t>INDEX</w:t>
    </w:r>
  </w:p>
  <w:p w14:paraId="2B920E62"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5E83C" w14:textId="77777777" w:rsidR="00182E22" w:rsidRDefault="00182E22">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43C085E5" w14:textId="62CDD8CE" w:rsidR="000F4B6C" w:rsidRDefault="00D40C89" w:rsidP="00D40C89">
    <w:pPr>
      <w:spacing w:before="85"/>
      <w:ind w:left="1440" w:firstLine="720"/>
      <w:rPr>
        <w:rFonts w:ascii="Arial" w:hAnsi="Arial" w:cs="Arial"/>
        <w:color w:val="E52713"/>
        <w:sz w:val="28"/>
        <w:szCs w:val="28"/>
      </w:rPr>
    </w:pPr>
    <w:r w:rsidRPr="00B65A3B">
      <w:rPr>
        <w:rFonts w:ascii="Arial" w:hAnsi="Arial" w:cs="Arial"/>
        <w:color w:val="E52713"/>
        <w:sz w:val="28"/>
        <w:szCs w:val="28"/>
      </w:rPr>
      <w:t xml:space="preserve">INDEX </w:t>
    </w:r>
    <w:r>
      <w:rPr>
        <w:rFonts w:ascii="Arial" w:hAnsi="Arial" w:cs="Arial"/>
        <w:color w:val="E52713"/>
        <w:sz w:val="28"/>
        <w:szCs w:val="28"/>
      </w:rPr>
      <w:t>HYPOTEČNÍCH ÚVĚRŮ &amp; FIXINDEX</w:t>
    </w:r>
  </w:p>
  <w:p w14:paraId="0E033147" w14:textId="77777777" w:rsidR="00D40C89" w:rsidRPr="00D40C89" w:rsidRDefault="00D40C89" w:rsidP="00D40C89">
    <w:pPr>
      <w:spacing w:before="85"/>
      <w:ind w:left="1440" w:firstLine="720"/>
      <w:rPr>
        <w:rFonts w:ascii="Arial" w:hAnsi="Arial" w:cs="Arial"/>
        <w:color w:val="E52713"/>
        <w:sz w:val="28"/>
        <w:szCs w:val="28"/>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7443AD" w:rsidRDefault="009F59EE" w:rsidP="009F59EE">
    <w:pPr>
      <w:pStyle w:val="Nadpis2"/>
      <w:ind w:left="1440" w:firstLine="720"/>
      <w:rPr>
        <w:rFonts w:asciiTheme="minorHAnsi" w:hAnsiTheme="minorHAnsi" w:cstheme="minorHAnsi"/>
      </w:rPr>
    </w:pPr>
    <w:r w:rsidRPr="007443AD">
      <w:rPr>
        <w:rFonts w:asciiTheme="minorHAnsi" w:hAnsiTheme="minorHAnsi" w:cstheme="minorHAnsi"/>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7443AD">
      <w:rPr>
        <w:rFonts w:asciiTheme="minorHAnsi" w:hAnsiTheme="minorHAnsi" w:cstheme="minorHAnsi"/>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7443AD">
      <w:rPr>
        <w:rFonts w:asciiTheme="minorHAnsi" w:hAnsiTheme="minorHAnsi" w:cstheme="minorHAnsi"/>
        <w:color w:val="1D1D1B"/>
      </w:rPr>
      <w:t>BROKER CONSULTING</w:t>
    </w:r>
  </w:p>
  <w:p w14:paraId="3FF270D6" w14:textId="6799F236" w:rsidR="00D40C89" w:rsidRPr="007443AD" w:rsidRDefault="009F59EE" w:rsidP="00D40C89">
    <w:pPr>
      <w:spacing w:before="85"/>
      <w:ind w:left="1440" w:firstLine="720"/>
      <w:rPr>
        <w:rFonts w:asciiTheme="minorHAnsi" w:hAnsiTheme="minorHAnsi" w:cstheme="minorHAnsi"/>
        <w:color w:val="E52713"/>
        <w:sz w:val="28"/>
        <w:szCs w:val="28"/>
      </w:rPr>
    </w:pPr>
    <w:r w:rsidRPr="007443AD">
      <w:rPr>
        <w:rFonts w:asciiTheme="minorHAnsi" w:hAnsiTheme="minorHAnsi" w:cstheme="minorHAnsi"/>
        <w:color w:val="E52713"/>
        <w:sz w:val="28"/>
        <w:szCs w:val="28"/>
      </w:rPr>
      <w:t xml:space="preserve">INDEX </w:t>
    </w:r>
    <w:r w:rsidR="002A1185" w:rsidRPr="007443AD">
      <w:rPr>
        <w:rFonts w:asciiTheme="minorHAnsi" w:hAnsiTheme="minorHAnsi" w:cstheme="minorHAnsi"/>
        <w:color w:val="E52713"/>
        <w:sz w:val="28"/>
        <w:szCs w:val="28"/>
      </w:rPr>
      <w:t>HYPOTEČNÍCH ÚVĚRŮ</w:t>
    </w:r>
    <w:r w:rsidR="00D40C89" w:rsidRPr="007443AD">
      <w:rPr>
        <w:rFonts w:asciiTheme="minorHAnsi" w:hAnsiTheme="minorHAnsi" w:cstheme="minorHAnsi"/>
        <w:color w:val="E52713"/>
        <w:sz w:val="28"/>
        <w:szCs w:val="28"/>
      </w:rPr>
      <w:t xml:space="preserve"> &amp; FIXINDEX</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8631C5"/>
    <w:multiLevelType w:val="hybridMultilevel"/>
    <w:tmpl w:val="37368C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2" w15:restartNumberingAfterBreak="0">
    <w:nsid w:val="3A62021C"/>
    <w:multiLevelType w:val="hybridMultilevel"/>
    <w:tmpl w:val="40EC065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 w15:restartNumberingAfterBreak="0">
    <w:nsid w:val="45325D01"/>
    <w:multiLevelType w:val="hybridMultilevel"/>
    <w:tmpl w:val="20B04784"/>
    <w:lvl w:ilvl="0" w:tplc="67E89344">
      <w:start w:val="6"/>
      <w:numFmt w:val="bullet"/>
      <w:lvlText w:val="-"/>
      <w:lvlJc w:val="left"/>
      <w:pPr>
        <w:ind w:left="720" w:hanging="360"/>
      </w:pPr>
      <w:rPr>
        <w:rFonts w:ascii="Arial" w:eastAsia="F015TEELig"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65D60C79"/>
    <w:multiLevelType w:val="hybridMultilevel"/>
    <w:tmpl w:val="78CEF0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6914760E"/>
    <w:multiLevelType w:val="hybridMultilevel"/>
    <w:tmpl w:val="7B56EE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69E675A0"/>
    <w:multiLevelType w:val="hybridMultilevel"/>
    <w:tmpl w:val="B462C0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72B60605"/>
    <w:multiLevelType w:val="hybridMultilevel"/>
    <w:tmpl w:val="482ABF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75E63C89"/>
    <w:multiLevelType w:val="hybridMultilevel"/>
    <w:tmpl w:val="03AAFAE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9"/>
  </w:num>
  <w:num w:numId="4">
    <w:abstractNumId w:val="6"/>
  </w:num>
  <w:num w:numId="5">
    <w:abstractNumId w:val="7"/>
  </w:num>
  <w:num w:numId="6">
    <w:abstractNumId w:val="3"/>
  </w:num>
  <w:num w:numId="7">
    <w:abstractNumId w:val="9"/>
  </w:num>
  <w:num w:numId="8">
    <w:abstractNumId w:val="0"/>
  </w:num>
  <w:num w:numId="9">
    <w:abstractNumId w:val="5"/>
  </w:num>
  <w:num w:numId="10">
    <w:abstractNumId w:val="2"/>
  </w:num>
  <w:num w:numId="11">
    <w:abstractNumId w:va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306F"/>
    <w:rsid w:val="00004919"/>
    <w:rsid w:val="00005B61"/>
    <w:rsid w:val="00011DF6"/>
    <w:rsid w:val="00014FB5"/>
    <w:rsid w:val="0001597B"/>
    <w:rsid w:val="00020EC7"/>
    <w:rsid w:val="0002230E"/>
    <w:rsid w:val="000226F3"/>
    <w:rsid w:val="00026F23"/>
    <w:rsid w:val="000277AC"/>
    <w:rsid w:val="00027C83"/>
    <w:rsid w:val="0003028F"/>
    <w:rsid w:val="00030E97"/>
    <w:rsid w:val="00032D94"/>
    <w:rsid w:val="0003332D"/>
    <w:rsid w:val="00033FD7"/>
    <w:rsid w:val="000374D7"/>
    <w:rsid w:val="00037DAF"/>
    <w:rsid w:val="000400E4"/>
    <w:rsid w:val="000412FA"/>
    <w:rsid w:val="0004477D"/>
    <w:rsid w:val="00044EC5"/>
    <w:rsid w:val="00045D86"/>
    <w:rsid w:val="00046AF6"/>
    <w:rsid w:val="0004776E"/>
    <w:rsid w:val="0005423A"/>
    <w:rsid w:val="00057F54"/>
    <w:rsid w:val="000611E3"/>
    <w:rsid w:val="00061BF6"/>
    <w:rsid w:val="00070652"/>
    <w:rsid w:val="00074B2B"/>
    <w:rsid w:val="000766E7"/>
    <w:rsid w:val="00080E7A"/>
    <w:rsid w:val="00081616"/>
    <w:rsid w:val="000823D3"/>
    <w:rsid w:val="00082D29"/>
    <w:rsid w:val="0008331F"/>
    <w:rsid w:val="000845CA"/>
    <w:rsid w:val="000851AC"/>
    <w:rsid w:val="000853D4"/>
    <w:rsid w:val="00087894"/>
    <w:rsid w:val="000878FB"/>
    <w:rsid w:val="0009257D"/>
    <w:rsid w:val="00092AEE"/>
    <w:rsid w:val="00092BB7"/>
    <w:rsid w:val="00092C6B"/>
    <w:rsid w:val="00094C16"/>
    <w:rsid w:val="00096425"/>
    <w:rsid w:val="0009776B"/>
    <w:rsid w:val="000A080B"/>
    <w:rsid w:val="000A6CF9"/>
    <w:rsid w:val="000B187C"/>
    <w:rsid w:val="000B6DD9"/>
    <w:rsid w:val="000C181E"/>
    <w:rsid w:val="000C2DA6"/>
    <w:rsid w:val="000C5541"/>
    <w:rsid w:val="000C6D26"/>
    <w:rsid w:val="000C7564"/>
    <w:rsid w:val="000D0013"/>
    <w:rsid w:val="000D14E2"/>
    <w:rsid w:val="000D2CFC"/>
    <w:rsid w:val="000D4AFB"/>
    <w:rsid w:val="000D6DDC"/>
    <w:rsid w:val="000D7158"/>
    <w:rsid w:val="000E01C2"/>
    <w:rsid w:val="000E19B2"/>
    <w:rsid w:val="000E1C76"/>
    <w:rsid w:val="000E3D86"/>
    <w:rsid w:val="000E568C"/>
    <w:rsid w:val="000E5D32"/>
    <w:rsid w:val="000E6E14"/>
    <w:rsid w:val="000F4B6C"/>
    <w:rsid w:val="000F50BC"/>
    <w:rsid w:val="000F6249"/>
    <w:rsid w:val="000F6EBE"/>
    <w:rsid w:val="00101CEC"/>
    <w:rsid w:val="00103109"/>
    <w:rsid w:val="00105248"/>
    <w:rsid w:val="00106E26"/>
    <w:rsid w:val="001117DE"/>
    <w:rsid w:val="00111C28"/>
    <w:rsid w:val="00113603"/>
    <w:rsid w:val="001153E3"/>
    <w:rsid w:val="00117AE4"/>
    <w:rsid w:val="00120113"/>
    <w:rsid w:val="001214E7"/>
    <w:rsid w:val="00122208"/>
    <w:rsid w:val="00122CEB"/>
    <w:rsid w:val="0012361F"/>
    <w:rsid w:val="00125B97"/>
    <w:rsid w:val="0012657A"/>
    <w:rsid w:val="00126BEC"/>
    <w:rsid w:val="00127234"/>
    <w:rsid w:val="0013044E"/>
    <w:rsid w:val="00131A69"/>
    <w:rsid w:val="001327CE"/>
    <w:rsid w:val="00132E53"/>
    <w:rsid w:val="00136D8D"/>
    <w:rsid w:val="00137003"/>
    <w:rsid w:val="0013717C"/>
    <w:rsid w:val="00140987"/>
    <w:rsid w:val="00145622"/>
    <w:rsid w:val="001516CA"/>
    <w:rsid w:val="001524FB"/>
    <w:rsid w:val="00154308"/>
    <w:rsid w:val="00154AC2"/>
    <w:rsid w:val="0015559F"/>
    <w:rsid w:val="00156082"/>
    <w:rsid w:val="00160686"/>
    <w:rsid w:val="00160E1C"/>
    <w:rsid w:val="00161352"/>
    <w:rsid w:val="00161830"/>
    <w:rsid w:val="001620E3"/>
    <w:rsid w:val="00162D8E"/>
    <w:rsid w:val="0016482C"/>
    <w:rsid w:val="0016556A"/>
    <w:rsid w:val="001675AF"/>
    <w:rsid w:val="0016771F"/>
    <w:rsid w:val="00174317"/>
    <w:rsid w:val="00175545"/>
    <w:rsid w:val="001767A5"/>
    <w:rsid w:val="00176E93"/>
    <w:rsid w:val="00177C18"/>
    <w:rsid w:val="00182A92"/>
    <w:rsid w:val="00182E22"/>
    <w:rsid w:val="00187310"/>
    <w:rsid w:val="00192716"/>
    <w:rsid w:val="00194831"/>
    <w:rsid w:val="00194B5D"/>
    <w:rsid w:val="001A0A5C"/>
    <w:rsid w:val="001A1A56"/>
    <w:rsid w:val="001A2D08"/>
    <w:rsid w:val="001A54DD"/>
    <w:rsid w:val="001A5AC8"/>
    <w:rsid w:val="001A61A5"/>
    <w:rsid w:val="001A7D2F"/>
    <w:rsid w:val="001B1E41"/>
    <w:rsid w:val="001B2A07"/>
    <w:rsid w:val="001B2C03"/>
    <w:rsid w:val="001B3B31"/>
    <w:rsid w:val="001B4F4B"/>
    <w:rsid w:val="001B501B"/>
    <w:rsid w:val="001B58E7"/>
    <w:rsid w:val="001B6D7A"/>
    <w:rsid w:val="001B7936"/>
    <w:rsid w:val="001C22FE"/>
    <w:rsid w:val="001D015A"/>
    <w:rsid w:val="001D30C7"/>
    <w:rsid w:val="001D33FA"/>
    <w:rsid w:val="001D36F0"/>
    <w:rsid w:val="001D3DFC"/>
    <w:rsid w:val="001D42DB"/>
    <w:rsid w:val="001D45F5"/>
    <w:rsid w:val="001D5EFC"/>
    <w:rsid w:val="001E02C2"/>
    <w:rsid w:val="001E0A89"/>
    <w:rsid w:val="001E1597"/>
    <w:rsid w:val="001E4209"/>
    <w:rsid w:val="001F1D14"/>
    <w:rsid w:val="001F2399"/>
    <w:rsid w:val="001F4D74"/>
    <w:rsid w:val="001F7194"/>
    <w:rsid w:val="001F71BA"/>
    <w:rsid w:val="001F7577"/>
    <w:rsid w:val="002019F3"/>
    <w:rsid w:val="0020207A"/>
    <w:rsid w:val="00202F22"/>
    <w:rsid w:val="00203BD4"/>
    <w:rsid w:val="00206E92"/>
    <w:rsid w:val="00207D22"/>
    <w:rsid w:val="00212C2E"/>
    <w:rsid w:val="0021395D"/>
    <w:rsid w:val="002141AF"/>
    <w:rsid w:val="00216B81"/>
    <w:rsid w:val="00216F2E"/>
    <w:rsid w:val="00217E92"/>
    <w:rsid w:val="00220529"/>
    <w:rsid w:val="002220C9"/>
    <w:rsid w:val="00223FFD"/>
    <w:rsid w:val="00224AF1"/>
    <w:rsid w:val="00224E6E"/>
    <w:rsid w:val="00225CEC"/>
    <w:rsid w:val="00225D70"/>
    <w:rsid w:val="00232B0D"/>
    <w:rsid w:val="00233BF3"/>
    <w:rsid w:val="002368F3"/>
    <w:rsid w:val="00236A37"/>
    <w:rsid w:val="00241313"/>
    <w:rsid w:val="00241AA2"/>
    <w:rsid w:val="00241DC1"/>
    <w:rsid w:val="0024212A"/>
    <w:rsid w:val="00242669"/>
    <w:rsid w:val="002447CA"/>
    <w:rsid w:val="0025080B"/>
    <w:rsid w:val="0025183C"/>
    <w:rsid w:val="00251F32"/>
    <w:rsid w:val="0025264B"/>
    <w:rsid w:val="00252DB1"/>
    <w:rsid w:val="00253C9E"/>
    <w:rsid w:val="0025428A"/>
    <w:rsid w:val="002555D2"/>
    <w:rsid w:val="00257978"/>
    <w:rsid w:val="002619DC"/>
    <w:rsid w:val="002676E8"/>
    <w:rsid w:val="00270B59"/>
    <w:rsid w:val="00270DB3"/>
    <w:rsid w:val="002717C9"/>
    <w:rsid w:val="0027235F"/>
    <w:rsid w:val="0027691A"/>
    <w:rsid w:val="00277D20"/>
    <w:rsid w:val="00280730"/>
    <w:rsid w:val="0028081F"/>
    <w:rsid w:val="00281C61"/>
    <w:rsid w:val="00285767"/>
    <w:rsid w:val="0028607C"/>
    <w:rsid w:val="002863CE"/>
    <w:rsid w:val="0029566F"/>
    <w:rsid w:val="002961B5"/>
    <w:rsid w:val="00296B24"/>
    <w:rsid w:val="002A1185"/>
    <w:rsid w:val="002A208F"/>
    <w:rsid w:val="002A498A"/>
    <w:rsid w:val="002A61B7"/>
    <w:rsid w:val="002B01AF"/>
    <w:rsid w:val="002B094E"/>
    <w:rsid w:val="002B1E20"/>
    <w:rsid w:val="002B2A94"/>
    <w:rsid w:val="002B3C6D"/>
    <w:rsid w:val="002B4265"/>
    <w:rsid w:val="002B4919"/>
    <w:rsid w:val="002B4B98"/>
    <w:rsid w:val="002B6F4E"/>
    <w:rsid w:val="002B7650"/>
    <w:rsid w:val="002C06E2"/>
    <w:rsid w:val="002C0E94"/>
    <w:rsid w:val="002C26EB"/>
    <w:rsid w:val="002C6C42"/>
    <w:rsid w:val="002C7D70"/>
    <w:rsid w:val="002D23B9"/>
    <w:rsid w:val="002D3534"/>
    <w:rsid w:val="002D49F7"/>
    <w:rsid w:val="002D64A2"/>
    <w:rsid w:val="002E0400"/>
    <w:rsid w:val="002E1A01"/>
    <w:rsid w:val="002E1A0D"/>
    <w:rsid w:val="002E6173"/>
    <w:rsid w:val="002E6DB6"/>
    <w:rsid w:val="002F002B"/>
    <w:rsid w:val="002F06AC"/>
    <w:rsid w:val="002F09BA"/>
    <w:rsid w:val="002F46B0"/>
    <w:rsid w:val="002F485A"/>
    <w:rsid w:val="002F5550"/>
    <w:rsid w:val="002F62C4"/>
    <w:rsid w:val="002F7818"/>
    <w:rsid w:val="002F7EC2"/>
    <w:rsid w:val="003006A5"/>
    <w:rsid w:val="003015E0"/>
    <w:rsid w:val="0030207B"/>
    <w:rsid w:val="00303778"/>
    <w:rsid w:val="00303A6E"/>
    <w:rsid w:val="003046FE"/>
    <w:rsid w:val="0030751A"/>
    <w:rsid w:val="00307CF8"/>
    <w:rsid w:val="00307E95"/>
    <w:rsid w:val="00307FEB"/>
    <w:rsid w:val="003128F8"/>
    <w:rsid w:val="00313D42"/>
    <w:rsid w:val="00322E5E"/>
    <w:rsid w:val="00323B17"/>
    <w:rsid w:val="003243A6"/>
    <w:rsid w:val="003247B0"/>
    <w:rsid w:val="0032734F"/>
    <w:rsid w:val="00330918"/>
    <w:rsid w:val="003310D8"/>
    <w:rsid w:val="0033296E"/>
    <w:rsid w:val="003337A9"/>
    <w:rsid w:val="0033431C"/>
    <w:rsid w:val="0033488F"/>
    <w:rsid w:val="00340E70"/>
    <w:rsid w:val="00342F85"/>
    <w:rsid w:val="00347557"/>
    <w:rsid w:val="00352435"/>
    <w:rsid w:val="003529EF"/>
    <w:rsid w:val="00355366"/>
    <w:rsid w:val="003555BB"/>
    <w:rsid w:val="003629B6"/>
    <w:rsid w:val="00362BFF"/>
    <w:rsid w:val="003640C8"/>
    <w:rsid w:val="00364C11"/>
    <w:rsid w:val="00371225"/>
    <w:rsid w:val="003721AD"/>
    <w:rsid w:val="00376086"/>
    <w:rsid w:val="003761D9"/>
    <w:rsid w:val="00380608"/>
    <w:rsid w:val="00380E0A"/>
    <w:rsid w:val="00382546"/>
    <w:rsid w:val="00382EAD"/>
    <w:rsid w:val="00383DC5"/>
    <w:rsid w:val="00385EED"/>
    <w:rsid w:val="00386A43"/>
    <w:rsid w:val="00390B58"/>
    <w:rsid w:val="00395F41"/>
    <w:rsid w:val="003967DF"/>
    <w:rsid w:val="003A156E"/>
    <w:rsid w:val="003A291C"/>
    <w:rsid w:val="003A3DE2"/>
    <w:rsid w:val="003A4860"/>
    <w:rsid w:val="003A4D47"/>
    <w:rsid w:val="003A6435"/>
    <w:rsid w:val="003A7D32"/>
    <w:rsid w:val="003B0E4F"/>
    <w:rsid w:val="003B1966"/>
    <w:rsid w:val="003B5B25"/>
    <w:rsid w:val="003B60CA"/>
    <w:rsid w:val="003B7BDD"/>
    <w:rsid w:val="003C0CBE"/>
    <w:rsid w:val="003C1344"/>
    <w:rsid w:val="003C3421"/>
    <w:rsid w:val="003C5D0A"/>
    <w:rsid w:val="003D1987"/>
    <w:rsid w:val="003D3AE8"/>
    <w:rsid w:val="003D69A7"/>
    <w:rsid w:val="003E1308"/>
    <w:rsid w:val="003F07E8"/>
    <w:rsid w:val="003F472F"/>
    <w:rsid w:val="003F79EC"/>
    <w:rsid w:val="00400129"/>
    <w:rsid w:val="004005D9"/>
    <w:rsid w:val="00400A5A"/>
    <w:rsid w:val="00407AE9"/>
    <w:rsid w:val="004120C7"/>
    <w:rsid w:val="0041257F"/>
    <w:rsid w:val="0042193A"/>
    <w:rsid w:val="004267DE"/>
    <w:rsid w:val="00430ABD"/>
    <w:rsid w:val="00431631"/>
    <w:rsid w:val="00432FD5"/>
    <w:rsid w:val="00434C5D"/>
    <w:rsid w:val="004350F6"/>
    <w:rsid w:val="00435115"/>
    <w:rsid w:val="00441028"/>
    <w:rsid w:val="00444432"/>
    <w:rsid w:val="00445D0A"/>
    <w:rsid w:val="00450DBC"/>
    <w:rsid w:val="00451896"/>
    <w:rsid w:val="00451B7B"/>
    <w:rsid w:val="0045292A"/>
    <w:rsid w:val="004540ED"/>
    <w:rsid w:val="00454843"/>
    <w:rsid w:val="004564BC"/>
    <w:rsid w:val="004565C7"/>
    <w:rsid w:val="004627B9"/>
    <w:rsid w:val="00465E53"/>
    <w:rsid w:val="00466329"/>
    <w:rsid w:val="00473219"/>
    <w:rsid w:val="00477DCC"/>
    <w:rsid w:val="00477FFA"/>
    <w:rsid w:val="004813B2"/>
    <w:rsid w:val="00481D66"/>
    <w:rsid w:val="00483579"/>
    <w:rsid w:val="004835F4"/>
    <w:rsid w:val="00487B6B"/>
    <w:rsid w:val="004919CC"/>
    <w:rsid w:val="004928CB"/>
    <w:rsid w:val="00492941"/>
    <w:rsid w:val="00495AFF"/>
    <w:rsid w:val="00495E14"/>
    <w:rsid w:val="004A08FC"/>
    <w:rsid w:val="004A3439"/>
    <w:rsid w:val="004B1364"/>
    <w:rsid w:val="004B2C5B"/>
    <w:rsid w:val="004B5104"/>
    <w:rsid w:val="004B5797"/>
    <w:rsid w:val="004B5B94"/>
    <w:rsid w:val="004B6304"/>
    <w:rsid w:val="004B64B3"/>
    <w:rsid w:val="004B6AF3"/>
    <w:rsid w:val="004C0179"/>
    <w:rsid w:val="004C0CEF"/>
    <w:rsid w:val="004C0D41"/>
    <w:rsid w:val="004C3F71"/>
    <w:rsid w:val="004C61F5"/>
    <w:rsid w:val="004D14C1"/>
    <w:rsid w:val="004D2C46"/>
    <w:rsid w:val="004D3578"/>
    <w:rsid w:val="004D4D9F"/>
    <w:rsid w:val="004D6BA6"/>
    <w:rsid w:val="004E2983"/>
    <w:rsid w:val="004E3BA4"/>
    <w:rsid w:val="004E4E81"/>
    <w:rsid w:val="004E4E9F"/>
    <w:rsid w:val="004E67DB"/>
    <w:rsid w:val="004F1934"/>
    <w:rsid w:val="004F1E84"/>
    <w:rsid w:val="005042D1"/>
    <w:rsid w:val="00506098"/>
    <w:rsid w:val="00506161"/>
    <w:rsid w:val="0050659B"/>
    <w:rsid w:val="00506889"/>
    <w:rsid w:val="00510050"/>
    <w:rsid w:val="00512D6B"/>
    <w:rsid w:val="00512FF6"/>
    <w:rsid w:val="005153F7"/>
    <w:rsid w:val="0052216B"/>
    <w:rsid w:val="005224C1"/>
    <w:rsid w:val="0052338B"/>
    <w:rsid w:val="00523D4C"/>
    <w:rsid w:val="005275F9"/>
    <w:rsid w:val="0053153F"/>
    <w:rsid w:val="00532F2D"/>
    <w:rsid w:val="005339D0"/>
    <w:rsid w:val="00534E75"/>
    <w:rsid w:val="00536954"/>
    <w:rsid w:val="005379BC"/>
    <w:rsid w:val="00540606"/>
    <w:rsid w:val="00541870"/>
    <w:rsid w:val="0054297E"/>
    <w:rsid w:val="005436EC"/>
    <w:rsid w:val="00544A37"/>
    <w:rsid w:val="005455B0"/>
    <w:rsid w:val="0055263D"/>
    <w:rsid w:val="00552E2B"/>
    <w:rsid w:val="0055303C"/>
    <w:rsid w:val="00553369"/>
    <w:rsid w:val="00554574"/>
    <w:rsid w:val="0055553F"/>
    <w:rsid w:val="0056150F"/>
    <w:rsid w:val="005678E0"/>
    <w:rsid w:val="005729F4"/>
    <w:rsid w:val="00576F58"/>
    <w:rsid w:val="005773B2"/>
    <w:rsid w:val="00577D19"/>
    <w:rsid w:val="0058062A"/>
    <w:rsid w:val="005834AE"/>
    <w:rsid w:val="0058666A"/>
    <w:rsid w:val="00586BEF"/>
    <w:rsid w:val="005875EC"/>
    <w:rsid w:val="00590434"/>
    <w:rsid w:val="00594050"/>
    <w:rsid w:val="0059432A"/>
    <w:rsid w:val="0059452A"/>
    <w:rsid w:val="005956E9"/>
    <w:rsid w:val="005A0ABD"/>
    <w:rsid w:val="005A2637"/>
    <w:rsid w:val="005A37E5"/>
    <w:rsid w:val="005A4497"/>
    <w:rsid w:val="005A5BBA"/>
    <w:rsid w:val="005A5F08"/>
    <w:rsid w:val="005A60B4"/>
    <w:rsid w:val="005A7A64"/>
    <w:rsid w:val="005B0E8E"/>
    <w:rsid w:val="005B31D7"/>
    <w:rsid w:val="005B4E77"/>
    <w:rsid w:val="005B5427"/>
    <w:rsid w:val="005B5CA8"/>
    <w:rsid w:val="005B6889"/>
    <w:rsid w:val="005B68FA"/>
    <w:rsid w:val="005B7492"/>
    <w:rsid w:val="005B7E46"/>
    <w:rsid w:val="005C0D63"/>
    <w:rsid w:val="005C41F6"/>
    <w:rsid w:val="005C48C1"/>
    <w:rsid w:val="005C7059"/>
    <w:rsid w:val="005D189A"/>
    <w:rsid w:val="005D4DA7"/>
    <w:rsid w:val="005D6963"/>
    <w:rsid w:val="005E3212"/>
    <w:rsid w:val="005E45D8"/>
    <w:rsid w:val="005E4855"/>
    <w:rsid w:val="005F18D4"/>
    <w:rsid w:val="005F2383"/>
    <w:rsid w:val="005F57A1"/>
    <w:rsid w:val="005F65A1"/>
    <w:rsid w:val="005F7741"/>
    <w:rsid w:val="00600788"/>
    <w:rsid w:val="00600BA3"/>
    <w:rsid w:val="00605C5D"/>
    <w:rsid w:val="006106F0"/>
    <w:rsid w:val="006110E7"/>
    <w:rsid w:val="00612DC2"/>
    <w:rsid w:val="006135FD"/>
    <w:rsid w:val="006212F9"/>
    <w:rsid w:val="00622494"/>
    <w:rsid w:val="00624A82"/>
    <w:rsid w:val="0062747C"/>
    <w:rsid w:val="0062751F"/>
    <w:rsid w:val="00633136"/>
    <w:rsid w:val="00636E70"/>
    <w:rsid w:val="0064020E"/>
    <w:rsid w:val="0064160C"/>
    <w:rsid w:val="0064209A"/>
    <w:rsid w:val="006429DE"/>
    <w:rsid w:val="00645BA9"/>
    <w:rsid w:val="00646B73"/>
    <w:rsid w:val="006501CB"/>
    <w:rsid w:val="00650A3C"/>
    <w:rsid w:val="00651B66"/>
    <w:rsid w:val="00651B79"/>
    <w:rsid w:val="00652695"/>
    <w:rsid w:val="006529D7"/>
    <w:rsid w:val="00652DCE"/>
    <w:rsid w:val="006545F8"/>
    <w:rsid w:val="00654F8C"/>
    <w:rsid w:val="00656312"/>
    <w:rsid w:val="0066135D"/>
    <w:rsid w:val="00661A5F"/>
    <w:rsid w:val="00663C36"/>
    <w:rsid w:val="00667012"/>
    <w:rsid w:val="00673DDB"/>
    <w:rsid w:val="00675F3B"/>
    <w:rsid w:val="006768F0"/>
    <w:rsid w:val="00676C10"/>
    <w:rsid w:val="00677078"/>
    <w:rsid w:val="006775B7"/>
    <w:rsid w:val="00677C07"/>
    <w:rsid w:val="00684F62"/>
    <w:rsid w:val="0068617E"/>
    <w:rsid w:val="00686E01"/>
    <w:rsid w:val="00687107"/>
    <w:rsid w:val="00692610"/>
    <w:rsid w:val="006939E4"/>
    <w:rsid w:val="00693A07"/>
    <w:rsid w:val="00695DE8"/>
    <w:rsid w:val="006978DE"/>
    <w:rsid w:val="00697A40"/>
    <w:rsid w:val="00697F28"/>
    <w:rsid w:val="006A0BD0"/>
    <w:rsid w:val="006A150C"/>
    <w:rsid w:val="006A2F6C"/>
    <w:rsid w:val="006A3BE2"/>
    <w:rsid w:val="006A6601"/>
    <w:rsid w:val="006B2EA9"/>
    <w:rsid w:val="006B3A13"/>
    <w:rsid w:val="006B3CB5"/>
    <w:rsid w:val="006C2008"/>
    <w:rsid w:val="006C2696"/>
    <w:rsid w:val="006C4076"/>
    <w:rsid w:val="006C4193"/>
    <w:rsid w:val="006C61E8"/>
    <w:rsid w:val="006D01AF"/>
    <w:rsid w:val="006D1884"/>
    <w:rsid w:val="006D65EC"/>
    <w:rsid w:val="006E074A"/>
    <w:rsid w:val="006E1C67"/>
    <w:rsid w:val="006E26DC"/>
    <w:rsid w:val="006E52B8"/>
    <w:rsid w:val="006E675F"/>
    <w:rsid w:val="006E68CA"/>
    <w:rsid w:val="006F32FB"/>
    <w:rsid w:val="00700FD6"/>
    <w:rsid w:val="00705D83"/>
    <w:rsid w:val="0071201C"/>
    <w:rsid w:val="00712177"/>
    <w:rsid w:val="00713CD7"/>
    <w:rsid w:val="00714847"/>
    <w:rsid w:val="0072112F"/>
    <w:rsid w:val="007253C3"/>
    <w:rsid w:val="00730047"/>
    <w:rsid w:val="0073009C"/>
    <w:rsid w:val="007316BB"/>
    <w:rsid w:val="00731B6F"/>
    <w:rsid w:val="00731E05"/>
    <w:rsid w:val="00736FB9"/>
    <w:rsid w:val="00737562"/>
    <w:rsid w:val="007424FC"/>
    <w:rsid w:val="007443AD"/>
    <w:rsid w:val="00762254"/>
    <w:rsid w:val="0076333E"/>
    <w:rsid w:val="00764BFF"/>
    <w:rsid w:val="00767284"/>
    <w:rsid w:val="00771B91"/>
    <w:rsid w:val="007737E3"/>
    <w:rsid w:val="007748DA"/>
    <w:rsid w:val="0077685A"/>
    <w:rsid w:val="007824F4"/>
    <w:rsid w:val="0078345F"/>
    <w:rsid w:val="00783AB1"/>
    <w:rsid w:val="00784109"/>
    <w:rsid w:val="00785FC5"/>
    <w:rsid w:val="0078631B"/>
    <w:rsid w:val="0078760B"/>
    <w:rsid w:val="00791A2B"/>
    <w:rsid w:val="00792EE9"/>
    <w:rsid w:val="00794BD8"/>
    <w:rsid w:val="00795445"/>
    <w:rsid w:val="0079572A"/>
    <w:rsid w:val="00795D79"/>
    <w:rsid w:val="0079732B"/>
    <w:rsid w:val="007A1121"/>
    <w:rsid w:val="007A1122"/>
    <w:rsid w:val="007A15A6"/>
    <w:rsid w:val="007A2531"/>
    <w:rsid w:val="007A278E"/>
    <w:rsid w:val="007B11F2"/>
    <w:rsid w:val="007B1851"/>
    <w:rsid w:val="007B232E"/>
    <w:rsid w:val="007B358E"/>
    <w:rsid w:val="007B3C38"/>
    <w:rsid w:val="007B5E2F"/>
    <w:rsid w:val="007C37DF"/>
    <w:rsid w:val="007C6288"/>
    <w:rsid w:val="007D05D4"/>
    <w:rsid w:val="007D06A5"/>
    <w:rsid w:val="007D085C"/>
    <w:rsid w:val="007D1100"/>
    <w:rsid w:val="007D2280"/>
    <w:rsid w:val="007D3EF7"/>
    <w:rsid w:val="007E1111"/>
    <w:rsid w:val="007E1865"/>
    <w:rsid w:val="007E5614"/>
    <w:rsid w:val="007F0754"/>
    <w:rsid w:val="007F3198"/>
    <w:rsid w:val="007F36AF"/>
    <w:rsid w:val="007F515C"/>
    <w:rsid w:val="008009B8"/>
    <w:rsid w:val="00800CEA"/>
    <w:rsid w:val="00807AD4"/>
    <w:rsid w:val="008104E0"/>
    <w:rsid w:val="0081387C"/>
    <w:rsid w:val="00817512"/>
    <w:rsid w:val="00822194"/>
    <w:rsid w:val="00822D26"/>
    <w:rsid w:val="008245C1"/>
    <w:rsid w:val="008269F5"/>
    <w:rsid w:val="00830105"/>
    <w:rsid w:val="0083053E"/>
    <w:rsid w:val="00830CE8"/>
    <w:rsid w:val="00831B5E"/>
    <w:rsid w:val="00831F36"/>
    <w:rsid w:val="0083338E"/>
    <w:rsid w:val="00833A44"/>
    <w:rsid w:val="0083519D"/>
    <w:rsid w:val="00843016"/>
    <w:rsid w:val="00844420"/>
    <w:rsid w:val="00845A34"/>
    <w:rsid w:val="00846E1E"/>
    <w:rsid w:val="00850445"/>
    <w:rsid w:val="0085594F"/>
    <w:rsid w:val="008630EC"/>
    <w:rsid w:val="00866791"/>
    <w:rsid w:val="00870EAA"/>
    <w:rsid w:val="00874FE0"/>
    <w:rsid w:val="008769D5"/>
    <w:rsid w:val="00882EE9"/>
    <w:rsid w:val="00883131"/>
    <w:rsid w:val="00883A3E"/>
    <w:rsid w:val="008848CF"/>
    <w:rsid w:val="00885B2F"/>
    <w:rsid w:val="008866ED"/>
    <w:rsid w:val="008868A5"/>
    <w:rsid w:val="0089080A"/>
    <w:rsid w:val="00890A80"/>
    <w:rsid w:val="008926E5"/>
    <w:rsid w:val="008926F3"/>
    <w:rsid w:val="00892DB3"/>
    <w:rsid w:val="00893533"/>
    <w:rsid w:val="00894FAD"/>
    <w:rsid w:val="008957C5"/>
    <w:rsid w:val="00896014"/>
    <w:rsid w:val="0089614B"/>
    <w:rsid w:val="00896556"/>
    <w:rsid w:val="00896BE6"/>
    <w:rsid w:val="00896FD6"/>
    <w:rsid w:val="00897BD9"/>
    <w:rsid w:val="008A04D3"/>
    <w:rsid w:val="008A0C76"/>
    <w:rsid w:val="008A663F"/>
    <w:rsid w:val="008B05F2"/>
    <w:rsid w:val="008B0636"/>
    <w:rsid w:val="008B1531"/>
    <w:rsid w:val="008B2EE5"/>
    <w:rsid w:val="008B3C82"/>
    <w:rsid w:val="008B5C5C"/>
    <w:rsid w:val="008B64C9"/>
    <w:rsid w:val="008C1795"/>
    <w:rsid w:val="008C4B0D"/>
    <w:rsid w:val="008C75D3"/>
    <w:rsid w:val="008C79A2"/>
    <w:rsid w:val="008D1E94"/>
    <w:rsid w:val="008D373A"/>
    <w:rsid w:val="008D484C"/>
    <w:rsid w:val="008D68A5"/>
    <w:rsid w:val="008E19F3"/>
    <w:rsid w:val="008E3B44"/>
    <w:rsid w:val="008E58ED"/>
    <w:rsid w:val="008E6712"/>
    <w:rsid w:val="008F2226"/>
    <w:rsid w:val="008F25C5"/>
    <w:rsid w:val="008F4980"/>
    <w:rsid w:val="008F6707"/>
    <w:rsid w:val="008F6AAF"/>
    <w:rsid w:val="00900951"/>
    <w:rsid w:val="00901813"/>
    <w:rsid w:val="00903020"/>
    <w:rsid w:val="00906176"/>
    <w:rsid w:val="0090637E"/>
    <w:rsid w:val="00906E67"/>
    <w:rsid w:val="00914002"/>
    <w:rsid w:val="00915ADA"/>
    <w:rsid w:val="009161BE"/>
    <w:rsid w:val="00917F21"/>
    <w:rsid w:val="009213AE"/>
    <w:rsid w:val="009222C9"/>
    <w:rsid w:val="00922BC9"/>
    <w:rsid w:val="00926825"/>
    <w:rsid w:val="009268FC"/>
    <w:rsid w:val="00926A98"/>
    <w:rsid w:val="00932625"/>
    <w:rsid w:val="009340FD"/>
    <w:rsid w:val="00934141"/>
    <w:rsid w:val="009344C2"/>
    <w:rsid w:val="009345C9"/>
    <w:rsid w:val="0093538A"/>
    <w:rsid w:val="00941295"/>
    <w:rsid w:val="009434D0"/>
    <w:rsid w:val="0094705C"/>
    <w:rsid w:val="009514FE"/>
    <w:rsid w:val="00952F66"/>
    <w:rsid w:val="00957B41"/>
    <w:rsid w:val="00961519"/>
    <w:rsid w:val="00962FD2"/>
    <w:rsid w:val="009644A2"/>
    <w:rsid w:val="00967162"/>
    <w:rsid w:val="00971DE7"/>
    <w:rsid w:val="00973C62"/>
    <w:rsid w:val="0097419E"/>
    <w:rsid w:val="00974A97"/>
    <w:rsid w:val="00977B41"/>
    <w:rsid w:val="00982987"/>
    <w:rsid w:val="00990318"/>
    <w:rsid w:val="0099489F"/>
    <w:rsid w:val="00994B64"/>
    <w:rsid w:val="009955B3"/>
    <w:rsid w:val="00996D72"/>
    <w:rsid w:val="009A4D99"/>
    <w:rsid w:val="009A53B7"/>
    <w:rsid w:val="009A544A"/>
    <w:rsid w:val="009A69B1"/>
    <w:rsid w:val="009A6CDB"/>
    <w:rsid w:val="009B0A81"/>
    <w:rsid w:val="009B0CA9"/>
    <w:rsid w:val="009B301F"/>
    <w:rsid w:val="009B52C2"/>
    <w:rsid w:val="009C0ECA"/>
    <w:rsid w:val="009C283B"/>
    <w:rsid w:val="009C2B04"/>
    <w:rsid w:val="009C3544"/>
    <w:rsid w:val="009C45BA"/>
    <w:rsid w:val="009D2D28"/>
    <w:rsid w:val="009D7AFB"/>
    <w:rsid w:val="009E055E"/>
    <w:rsid w:val="009E0C76"/>
    <w:rsid w:val="009E22C3"/>
    <w:rsid w:val="009E2833"/>
    <w:rsid w:val="009E317D"/>
    <w:rsid w:val="009E3B52"/>
    <w:rsid w:val="009E3D89"/>
    <w:rsid w:val="009E5B43"/>
    <w:rsid w:val="009E6B59"/>
    <w:rsid w:val="009F097B"/>
    <w:rsid w:val="009F0DD5"/>
    <w:rsid w:val="009F2CB2"/>
    <w:rsid w:val="009F2CEE"/>
    <w:rsid w:val="009F3A56"/>
    <w:rsid w:val="009F59EE"/>
    <w:rsid w:val="009F5CD5"/>
    <w:rsid w:val="009F66D0"/>
    <w:rsid w:val="00A02D45"/>
    <w:rsid w:val="00A069E2"/>
    <w:rsid w:val="00A073C7"/>
    <w:rsid w:val="00A07431"/>
    <w:rsid w:val="00A07A9F"/>
    <w:rsid w:val="00A11B93"/>
    <w:rsid w:val="00A11C90"/>
    <w:rsid w:val="00A12821"/>
    <w:rsid w:val="00A14FC9"/>
    <w:rsid w:val="00A2066F"/>
    <w:rsid w:val="00A23C45"/>
    <w:rsid w:val="00A25B10"/>
    <w:rsid w:val="00A33653"/>
    <w:rsid w:val="00A36D79"/>
    <w:rsid w:val="00A37A20"/>
    <w:rsid w:val="00A37AD0"/>
    <w:rsid w:val="00A4508B"/>
    <w:rsid w:val="00A4618A"/>
    <w:rsid w:val="00A53205"/>
    <w:rsid w:val="00A5429B"/>
    <w:rsid w:val="00A553A9"/>
    <w:rsid w:val="00A61F80"/>
    <w:rsid w:val="00A62566"/>
    <w:rsid w:val="00A62CCA"/>
    <w:rsid w:val="00A641DB"/>
    <w:rsid w:val="00A65B9D"/>
    <w:rsid w:val="00A70932"/>
    <w:rsid w:val="00A719A5"/>
    <w:rsid w:val="00A72A74"/>
    <w:rsid w:val="00A72F83"/>
    <w:rsid w:val="00A7372B"/>
    <w:rsid w:val="00A74A1E"/>
    <w:rsid w:val="00A7509B"/>
    <w:rsid w:val="00A7796E"/>
    <w:rsid w:val="00A77F44"/>
    <w:rsid w:val="00A803EF"/>
    <w:rsid w:val="00A86656"/>
    <w:rsid w:val="00A87B14"/>
    <w:rsid w:val="00A93638"/>
    <w:rsid w:val="00A97D07"/>
    <w:rsid w:val="00AA0737"/>
    <w:rsid w:val="00AA218A"/>
    <w:rsid w:val="00AA48E7"/>
    <w:rsid w:val="00AB3D30"/>
    <w:rsid w:val="00AB4794"/>
    <w:rsid w:val="00AB4842"/>
    <w:rsid w:val="00AB7BAF"/>
    <w:rsid w:val="00AB7CCF"/>
    <w:rsid w:val="00AC614D"/>
    <w:rsid w:val="00AC7F1C"/>
    <w:rsid w:val="00AD0F3F"/>
    <w:rsid w:val="00AD4EA3"/>
    <w:rsid w:val="00AE05ED"/>
    <w:rsid w:val="00AE44CB"/>
    <w:rsid w:val="00AE55D4"/>
    <w:rsid w:val="00AE72D7"/>
    <w:rsid w:val="00AF05BB"/>
    <w:rsid w:val="00AF1038"/>
    <w:rsid w:val="00AF2633"/>
    <w:rsid w:val="00AF74AF"/>
    <w:rsid w:val="00B01F39"/>
    <w:rsid w:val="00B05862"/>
    <w:rsid w:val="00B07D3B"/>
    <w:rsid w:val="00B11974"/>
    <w:rsid w:val="00B1264B"/>
    <w:rsid w:val="00B12CF8"/>
    <w:rsid w:val="00B15519"/>
    <w:rsid w:val="00B15922"/>
    <w:rsid w:val="00B2198E"/>
    <w:rsid w:val="00B244B9"/>
    <w:rsid w:val="00B27178"/>
    <w:rsid w:val="00B30A9E"/>
    <w:rsid w:val="00B3265A"/>
    <w:rsid w:val="00B32817"/>
    <w:rsid w:val="00B33E8E"/>
    <w:rsid w:val="00B346ED"/>
    <w:rsid w:val="00B36901"/>
    <w:rsid w:val="00B37F41"/>
    <w:rsid w:val="00B4245F"/>
    <w:rsid w:val="00B43ABC"/>
    <w:rsid w:val="00B470FB"/>
    <w:rsid w:val="00B479EB"/>
    <w:rsid w:val="00B51125"/>
    <w:rsid w:val="00B52CDF"/>
    <w:rsid w:val="00B65A3B"/>
    <w:rsid w:val="00B66DE0"/>
    <w:rsid w:val="00B72652"/>
    <w:rsid w:val="00B8133C"/>
    <w:rsid w:val="00B815A3"/>
    <w:rsid w:val="00B85C55"/>
    <w:rsid w:val="00B90B23"/>
    <w:rsid w:val="00B91CEE"/>
    <w:rsid w:val="00B94777"/>
    <w:rsid w:val="00B95BB2"/>
    <w:rsid w:val="00B95EBA"/>
    <w:rsid w:val="00B96E03"/>
    <w:rsid w:val="00BA0BC1"/>
    <w:rsid w:val="00BA1D82"/>
    <w:rsid w:val="00BA1FA3"/>
    <w:rsid w:val="00BA23D8"/>
    <w:rsid w:val="00BA27DA"/>
    <w:rsid w:val="00BA4230"/>
    <w:rsid w:val="00BA45FD"/>
    <w:rsid w:val="00BA5B9C"/>
    <w:rsid w:val="00BA7722"/>
    <w:rsid w:val="00BB4512"/>
    <w:rsid w:val="00BB4D49"/>
    <w:rsid w:val="00BB51F4"/>
    <w:rsid w:val="00BB58F0"/>
    <w:rsid w:val="00BB6439"/>
    <w:rsid w:val="00BB675F"/>
    <w:rsid w:val="00BC133F"/>
    <w:rsid w:val="00BC1D75"/>
    <w:rsid w:val="00BD05E4"/>
    <w:rsid w:val="00BD0936"/>
    <w:rsid w:val="00BD17B0"/>
    <w:rsid w:val="00BD3715"/>
    <w:rsid w:val="00BD4630"/>
    <w:rsid w:val="00BD4EBD"/>
    <w:rsid w:val="00BD5A47"/>
    <w:rsid w:val="00BD6E76"/>
    <w:rsid w:val="00BE6717"/>
    <w:rsid w:val="00BF1811"/>
    <w:rsid w:val="00BF36AE"/>
    <w:rsid w:val="00BF4092"/>
    <w:rsid w:val="00BF44F1"/>
    <w:rsid w:val="00BF4CD9"/>
    <w:rsid w:val="00C02E39"/>
    <w:rsid w:val="00C0301A"/>
    <w:rsid w:val="00C04F1A"/>
    <w:rsid w:val="00C05CCC"/>
    <w:rsid w:val="00C07088"/>
    <w:rsid w:val="00C07D5F"/>
    <w:rsid w:val="00C07F35"/>
    <w:rsid w:val="00C15993"/>
    <w:rsid w:val="00C17C49"/>
    <w:rsid w:val="00C21F84"/>
    <w:rsid w:val="00C22B1C"/>
    <w:rsid w:val="00C23E32"/>
    <w:rsid w:val="00C24B73"/>
    <w:rsid w:val="00C2555B"/>
    <w:rsid w:val="00C26D3E"/>
    <w:rsid w:val="00C30EA3"/>
    <w:rsid w:val="00C31E67"/>
    <w:rsid w:val="00C325BB"/>
    <w:rsid w:val="00C33A4A"/>
    <w:rsid w:val="00C4086A"/>
    <w:rsid w:val="00C42CA5"/>
    <w:rsid w:val="00C42FAF"/>
    <w:rsid w:val="00C456DD"/>
    <w:rsid w:val="00C47E7D"/>
    <w:rsid w:val="00C52DA0"/>
    <w:rsid w:val="00C53031"/>
    <w:rsid w:val="00C56AD1"/>
    <w:rsid w:val="00C60BBC"/>
    <w:rsid w:val="00C6644B"/>
    <w:rsid w:val="00C668FF"/>
    <w:rsid w:val="00C67861"/>
    <w:rsid w:val="00C7532A"/>
    <w:rsid w:val="00C7663D"/>
    <w:rsid w:val="00C779DC"/>
    <w:rsid w:val="00C80ADA"/>
    <w:rsid w:val="00C81DF4"/>
    <w:rsid w:val="00C83132"/>
    <w:rsid w:val="00C864DC"/>
    <w:rsid w:val="00C908E5"/>
    <w:rsid w:val="00C9156E"/>
    <w:rsid w:val="00C947C0"/>
    <w:rsid w:val="00C947CE"/>
    <w:rsid w:val="00C95072"/>
    <w:rsid w:val="00C95F04"/>
    <w:rsid w:val="00C97E6F"/>
    <w:rsid w:val="00CA079E"/>
    <w:rsid w:val="00CA135D"/>
    <w:rsid w:val="00CA1722"/>
    <w:rsid w:val="00CA1806"/>
    <w:rsid w:val="00CA5872"/>
    <w:rsid w:val="00CA78F9"/>
    <w:rsid w:val="00CA7CAF"/>
    <w:rsid w:val="00CB06F8"/>
    <w:rsid w:val="00CB18B1"/>
    <w:rsid w:val="00CB2736"/>
    <w:rsid w:val="00CB38CA"/>
    <w:rsid w:val="00CB5712"/>
    <w:rsid w:val="00CB6969"/>
    <w:rsid w:val="00CB6F2B"/>
    <w:rsid w:val="00CB7254"/>
    <w:rsid w:val="00CC0CB0"/>
    <w:rsid w:val="00CC1067"/>
    <w:rsid w:val="00CC3D3D"/>
    <w:rsid w:val="00CC3DF9"/>
    <w:rsid w:val="00CC65C5"/>
    <w:rsid w:val="00CC73AB"/>
    <w:rsid w:val="00CD12BC"/>
    <w:rsid w:val="00CD3324"/>
    <w:rsid w:val="00CD46EA"/>
    <w:rsid w:val="00CD4A18"/>
    <w:rsid w:val="00CD575C"/>
    <w:rsid w:val="00CD6257"/>
    <w:rsid w:val="00CD6E1E"/>
    <w:rsid w:val="00CD7A9C"/>
    <w:rsid w:val="00CE0770"/>
    <w:rsid w:val="00CE5086"/>
    <w:rsid w:val="00CE6C6E"/>
    <w:rsid w:val="00CE76FD"/>
    <w:rsid w:val="00CF177F"/>
    <w:rsid w:val="00CF2033"/>
    <w:rsid w:val="00CF5DF2"/>
    <w:rsid w:val="00CF6C98"/>
    <w:rsid w:val="00D0061B"/>
    <w:rsid w:val="00D012CF"/>
    <w:rsid w:val="00D016C3"/>
    <w:rsid w:val="00D01832"/>
    <w:rsid w:val="00D01DC0"/>
    <w:rsid w:val="00D02C28"/>
    <w:rsid w:val="00D02E81"/>
    <w:rsid w:val="00D0526B"/>
    <w:rsid w:val="00D07AA2"/>
    <w:rsid w:val="00D1081A"/>
    <w:rsid w:val="00D15569"/>
    <w:rsid w:val="00D15619"/>
    <w:rsid w:val="00D15A44"/>
    <w:rsid w:val="00D160DE"/>
    <w:rsid w:val="00D21C96"/>
    <w:rsid w:val="00D30074"/>
    <w:rsid w:val="00D30854"/>
    <w:rsid w:val="00D31127"/>
    <w:rsid w:val="00D320FC"/>
    <w:rsid w:val="00D333B4"/>
    <w:rsid w:val="00D3359F"/>
    <w:rsid w:val="00D35FF4"/>
    <w:rsid w:val="00D40C89"/>
    <w:rsid w:val="00D41337"/>
    <w:rsid w:val="00D422E9"/>
    <w:rsid w:val="00D47B55"/>
    <w:rsid w:val="00D47B8A"/>
    <w:rsid w:val="00D50703"/>
    <w:rsid w:val="00D531E4"/>
    <w:rsid w:val="00D53C47"/>
    <w:rsid w:val="00D53E59"/>
    <w:rsid w:val="00D60057"/>
    <w:rsid w:val="00D60444"/>
    <w:rsid w:val="00D605B1"/>
    <w:rsid w:val="00D60D98"/>
    <w:rsid w:val="00D6181D"/>
    <w:rsid w:val="00D61D5F"/>
    <w:rsid w:val="00D61FAA"/>
    <w:rsid w:val="00D62038"/>
    <w:rsid w:val="00D628D2"/>
    <w:rsid w:val="00D62FEC"/>
    <w:rsid w:val="00D65C4E"/>
    <w:rsid w:val="00D67EA6"/>
    <w:rsid w:val="00D71EA0"/>
    <w:rsid w:val="00D72157"/>
    <w:rsid w:val="00D721F1"/>
    <w:rsid w:val="00D73F33"/>
    <w:rsid w:val="00D74A93"/>
    <w:rsid w:val="00D77A56"/>
    <w:rsid w:val="00D80B6D"/>
    <w:rsid w:val="00D80C55"/>
    <w:rsid w:val="00D80F78"/>
    <w:rsid w:val="00D8120C"/>
    <w:rsid w:val="00D84488"/>
    <w:rsid w:val="00D844C8"/>
    <w:rsid w:val="00D84B7D"/>
    <w:rsid w:val="00D84F78"/>
    <w:rsid w:val="00D8513A"/>
    <w:rsid w:val="00D85BBB"/>
    <w:rsid w:val="00D85FB4"/>
    <w:rsid w:val="00D879CA"/>
    <w:rsid w:val="00D906BE"/>
    <w:rsid w:val="00D943AD"/>
    <w:rsid w:val="00D9690A"/>
    <w:rsid w:val="00DA2C91"/>
    <w:rsid w:val="00DA5316"/>
    <w:rsid w:val="00DA7B87"/>
    <w:rsid w:val="00DB0343"/>
    <w:rsid w:val="00DB342A"/>
    <w:rsid w:val="00DB3E19"/>
    <w:rsid w:val="00DB63D9"/>
    <w:rsid w:val="00DB7121"/>
    <w:rsid w:val="00DB7E77"/>
    <w:rsid w:val="00DC0BD6"/>
    <w:rsid w:val="00DC0F17"/>
    <w:rsid w:val="00DC30D0"/>
    <w:rsid w:val="00DC37CE"/>
    <w:rsid w:val="00DC422E"/>
    <w:rsid w:val="00DD1F5E"/>
    <w:rsid w:val="00DD2DD1"/>
    <w:rsid w:val="00DD4803"/>
    <w:rsid w:val="00DD639C"/>
    <w:rsid w:val="00DD67DA"/>
    <w:rsid w:val="00DD7940"/>
    <w:rsid w:val="00DE1840"/>
    <w:rsid w:val="00DE1B89"/>
    <w:rsid w:val="00DE476A"/>
    <w:rsid w:val="00DE5007"/>
    <w:rsid w:val="00DE59C6"/>
    <w:rsid w:val="00DF2E5A"/>
    <w:rsid w:val="00DF3A69"/>
    <w:rsid w:val="00DF4305"/>
    <w:rsid w:val="00DF4D81"/>
    <w:rsid w:val="00DF658B"/>
    <w:rsid w:val="00E00DC6"/>
    <w:rsid w:val="00E04B02"/>
    <w:rsid w:val="00E058A3"/>
    <w:rsid w:val="00E10ABF"/>
    <w:rsid w:val="00E130CB"/>
    <w:rsid w:val="00E151F3"/>
    <w:rsid w:val="00E17539"/>
    <w:rsid w:val="00E23A7D"/>
    <w:rsid w:val="00E244E6"/>
    <w:rsid w:val="00E27028"/>
    <w:rsid w:val="00E32995"/>
    <w:rsid w:val="00E32C50"/>
    <w:rsid w:val="00E3404F"/>
    <w:rsid w:val="00E41E9C"/>
    <w:rsid w:val="00E423C3"/>
    <w:rsid w:val="00E4323F"/>
    <w:rsid w:val="00E4469C"/>
    <w:rsid w:val="00E450AB"/>
    <w:rsid w:val="00E47059"/>
    <w:rsid w:val="00E5280E"/>
    <w:rsid w:val="00E52CEE"/>
    <w:rsid w:val="00E53A7F"/>
    <w:rsid w:val="00E54A8E"/>
    <w:rsid w:val="00E563FC"/>
    <w:rsid w:val="00E57F9B"/>
    <w:rsid w:val="00E60634"/>
    <w:rsid w:val="00E607C0"/>
    <w:rsid w:val="00E6319B"/>
    <w:rsid w:val="00E6550B"/>
    <w:rsid w:val="00E6726D"/>
    <w:rsid w:val="00E70FBC"/>
    <w:rsid w:val="00E74000"/>
    <w:rsid w:val="00E7623C"/>
    <w:rsid w:val="00E80764"/>
    <w:rsid w:val="00E80FCB"/>
    <w:rsid w:val="00E81433"/>
    <w:rsid w:val="00E81C95"/>
    <w:rsid w:val="00E845C0"/>
    <w:rsid w:val="00E852A3"/>
    <w:rsid w:val="00E86628"/>
    <w:rsid w:val="00E914B7"/>
    <w:rsid w:val="00E93103"/>
    <w:rsid w:val="00EA0295"/>
    <w:rsid w:val="00EA0C1C"/>
    <w:rsid w:val="00EA477A"/>
    <w:rsid w:val="00EA5CA0"/>
    <w:rsid w:val="00EA5D92"/>
    <w:rsid w:val="00EB083E"/>
    <w:rsid w:val="00EB307B"/>
    <w:rsid w:val="00EB5354"/>
    <w:rsid w:val="00EC2DC7"/>
    <w:rsid w:val="00EC3779"/>
    <w:rsid w:val="00EC71DE"/>
    <w:rsid w:val="00EC7F0E"/>
    <w:rsid w:val="00ED2D1F"/>
    <w:rsid w:val="00ED58E9"/>
    <w:rsid w:val="00ED700E"/>
    <w:rsid w:val="00ED79D6"/>
    <w:rsid w:val="00EE1831"/>
    <w:rsid w:val="00EE3DAD"/>
    <w:rsid w:val="00EF2F7C"/>
    <w:rsid w:val="00EF3FC0"/>
    <w:rsid w:val="00EF61B5"/>
    <w:rsid w:val="00F009B3"/>
    <w:rsid w:val="00F00A40"/>
    <w:rsid w:val="00F00A6E"/>
    <w:rsid w:val="00F05773"/>
    <w:rsid w:val="00F0773E"/>
    <w:rsid w:val="00F115D1"/>
    <w:rsid w:val="00F12CED"/>
    <w:rsid w:val="00F12DCE"/>
    <w:rsid w:val="00F13496"/>
    <w:rsid w:val="00F14346"/>
    <w:rsid w:val="00F14982"/>
    <w:rsid w:val="00F22A26"/>
    <w:rsid w:val="00F23C0F"/>
    <w:rsid w:val="00F2598D"/>
    <w:rsid w:val="00F26166"/>
    <w:rsid w:val="00F32739"/>
    <w:rsid w:val="00F32845"/>
    <w:rsid w:val="00F336A2"/>
    <w:rsid w:val="00F36BA0"/>
    <w:rsid w:val="00F411C5"/>
    <w:rsid w:val="00F44AEB"/>
    <w:rsid w:val="00F45620"/>
    <w:rsid w:val="00F5304D"/>
    <w:rsid w:val="00F532E2"/>
    <w:rsid w:val="00F5470D"/>
    <w:rsid w:val="00F555FB"/>
    <w:rsid w:val="00F5638B"/>
    <w:rsid w:val="00F60301"/>
    <w:rsid w:val="00F628BC"/>
    <w:rsid w:val="00F628FC"/>
    <w:rsid w:val="00F7033F"/>
    <w:rsid w:val="00F70DD4"/>
    <w:rsid w:val="00F7277F"/>
    <w:rsid w:val="00F72E32"/>
    <w:rsid w:val="00F73B85"/>
    <w:rsid w:val="00F747EC"/>
    <w:rsid w:val="00F829B7"/>
    <w:rsid w:val="00F82DF0"/>
    <w:rsid w:val="00F84A4F"/>
    <w:rsid w:val="00F84ACE"/>
    <w:rsid w:val="00F8617B"/>
    <w:rsid w:val="00F863D7"/>
    <w:rsid w:val="00F9173C"/>
    <w:rsid w:val="00F975AD"/>
    <w:rsid w:val="00FA05C2"/>
    <w:rsid w:val="00FA2D1E"/>
    <w:rsid w:val="00FA35EB"/>
    <w:rsid w:val="00FA6EE9"/>
    <w:rsid w:val="00FB18D0"/>
    <w:rsid w:val="00FB2241"/>
    <w:rsid w:val="00FB2315"/>
    <w:rsid w:val="00FB2ED6"/>
    <w:rsid w:val="00FB412B"/>
    <w:rsid w:val="00FB42E5"/>
    <w:rsid w:val="00FB58C3"/>
    <w:rsid w:val="00FB59EE"/>
    <w:rsid w:val="00FB6B8F"/>
    <w:rsid w:val="00FC2522"/>
    <w:rsid w:val="00FC3C77"/>
    <w:rsid w:val="00FC5B56"/>
    <w:rsid w:val="00FD181C"/>
    <w:rsid w:val="00FD4B12"/>
    <w:rsid w:val="00FD5009"/>
    <w:rsid w:val="00FD55C9"/>
    <w:rsid w:val="00FD62DC"/>
    <w:rsid w:val="00FD65D3"/>
    <w:rsid w:val="00FD6A70"/>
    <w:rsid w:val="00FE1D87"/>
    <w:rsid w:val="00FE1EC8"/>
    <w:rsid w:val="00FE3560"/>
    <w:rsid w:val="00FE3E09"/>
    <w:rsid w:val="00FE4FBF"/>
    <w:rsid w:val="00FF1E5A"/>
    <w:rsid w:val="00FF6AA1"/>
    <w:rsid w:val="00FF6F6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E563FC"/>
    <w:rPr>
      <w:i/>
      <w:iCs/>
    </w:rPr>
  </w:style>
  <w:style w:type="character" w:styleId="Siln">
    <w:name w:val="Strong"/>
    <w:basedOn w:val="Standardnpsmoodstavce"/>
    <w:uiPriority w:val="22"/>
    <w:qFormat/>
    <w:rsid w:val="00A553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8548">
      <w:bodyDiv w:val="1"/>
      <w:marLeft w:val="0"/>
      <w:marRight w:val="0"/>
      <w:marTop w:val="0"/>
      <w:marBottom w:val="0"/>
      <w:divBdr>
        <w:top w:val="none" w:sz="0" w:space="0" w:color="auto"/>
        <w:left w:val="none" w:sz="0" w:space="0" w:color="auto"/>
        <w:bottom w:val="none" w:sz="0" w:space="0" w:color="auto"/>
        <w:right w:val="none" w:sz="0" w:space="0" w:color="auto"/>
      </w:divBdr>
    </w:div>
    <w:div w:id="26149915">
      <w:bodyDiv w:val="1"/>
      <w:marLeft w:val="0"/>
      <w:marRight w:val="0"/>
      <w:marTop w:val="0"/>
      <w:marBottom w:val="0"/>
      <w:divBdr>
        <w:top w:val="none" w:sz="0" w:space="0" w:color="auto"/>
        <w:left w:val="none" w:sz="0" w:space="0" w:color="auto"/>
        <w:bottom w:val="none" w:sz="0" w:space="0" w:color="auto"/>
        <w:right w:val="none" w:sz="0" w:space="0" w:color="auto"/>
      </w:divBdr>
    </w:div>
    <w:div w:id="61872337">
      <w:bodyDiv w:val="1"/>
      <w:marLeft w:val="0"/>
      <w:marRight w:val="0"/>
      <w:marTop w:val="0"/>
      <w:marBottom w:val="0"/>
      <w:divBdr>
        <w:top w:val="none" w:sz="0" w:space="0" w:color="auto"/>
        <w:left w:val="none" w:sz="0" w:space="0" w:color="auto"/>
        <w:bottom w:val="none" w:sz="0" w:space="0" w:color="auto"/>
        <w:right w:val="none" w:sz="0" w:space="0" w:color="auto"/>
      </w:divBdr>
    </w:div>
    <w:div w:id="116265840">
      <w:bodyDiv w:val="1"/>
      <w:marLeft w:val="0"/>
      <w:marRight w:val="0"/>
      <w:marTop w:val="0"/>
      <w:marBottom w:val="0"/>
      <w:divBdr>
        <w:top w:val="none" w:sz="0" w:space="0" w:color="auto"/>
        <w:left w:val="none" w:sz="0" w:space="0" w:color="auto"/>
        <w:bottom w:val="none" w:sz="0" w:space="0" w:color="auto"/>
        <w:right w:val="none" w:sz="0" w:space="0" w:color="auto"/>
      </w:divBdr>
    </w:div>
    <w:div w:id="136192622">
      <w:bodyDiv w:val="1"/>
      <w:marLeft w:val="0"/>
      <w:marRight w:val="0"/>
      <w:marTop w:val="0"/>
      <w:marBottom w:val="0"/>
      <w:divBdr>
        <w:top w:val="none" w:sz="0" w:space="0" w:color="auto"/>
        <w:left w:val="none" w:sz="0" w:space="0" w:color="auto"/>
        <w:bottom w:val="none" w:sz="0" w:space="0" w:color="auto"/>
        <w:right w:val="none" w:sz="0" w:space="0" w:color="auto"/>
      </w:divBdr>
    </w:div>
    <w:div w:id="172575859">
      <w:bodyDiv w:val="1"/>
      <w:marLeft w:val="0"/>
      <w:marRight w:val="0"/>
      <w:marTop w:val="0"/>
      <w:marBottom w:val="0"/>
      <w:divBdr>
        <w:top w:val="none" w:sz="0" w:space="0" w:color="auto"/>
        <w:left w:val="none" w:sz="0" w:space="0" w:color="auto"/>
        <w:bottom w:val="none" w:sz="0" w:space="0" w:color="auto"/>
        <w:right w:val="none" w:sz="0" w:space="0" w:color="auto"/>
      </w:divBdr>
    </w:div>
    <w:div w:id="225344068">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494489309">
      <w:bodyDiv w:val="1"/>
      <w:marLeft w:val="0"/>
      <w:marRight w:val="0"/>
      <w:marTop w:val="0"/>
      <w:marBottom w:val="0"/>
      <w:divBdr>
        <w:top w:val="none" w:sz="0" w:space="0" w:color="auto"/>
        <w:left w:val="none" w:sz="0" w:space="0" w:color="auto"/>
        <w:bottom w:val="none" w:sz="0" w:space="0" w:color="auto"/>
        <w:right w:val="none" w:sz="0" w:space="0" w:color="auto"/>
      </w:divBdr>
    </w:div>
    <w:div w:id="524488455">
      <w:bodyDiv w:val="1"/>
      <w:marLeft w:val="0"/>
      <w:marRight w:val="0"/>
      <w:marTop w:val="0"/>
      <w:marBottom w:val="0"/>
      <w:divBdr>
        <w:top w:val="none" w:sz="0" w:space="0" w:color="auto"/>
        <w:left w:val="none" w:sz="0" w:space="0" w:color="auto"/>
        <w:bottom w:val="none" w:sz="0" w:space="0" w:color="auto"/>
        <w:right w:val="none" w:sz="0" w:space="0" w:color="auto"/>
      </w:divBdr>
    </w:div>
    <w:div w:id="539055257">
      <w:bodyDiv w:val="1"/>
      <w:marLeft w:val="0"/>
      <w:marRight w:val="0"/>
      <w:marTop w:val="0"/>
      <w:marBottom w:val="0"/>
      <w:divBdr>
        <w:top w:val="none" w:sz="0" w:space="0" w:color="auto"/>
        <w:left w:val="none" w:sz="0" w:space="0" w:color="auto"/>
        <w:bottom w:val="none" w:sz="0" w:space="0" w:color="auto"/>
        <w:right w:val="none" w:sz="0" w:space="0" w:color="auto"/>
      </w:divBdr>
    </w:div>
    <w:div w:id="580876104">
      <w:bodyDiv w:val="1"/>
      <w:marLeft w:val="0"/>
      <w:marRight w:val="0"/>
      <w:marTop w:val="0"/>
      <w:marBottom w:val="0"/>
      <w:divBdr>
        <w:top w:val="none" w:sz="0" w:space="0" w:color="auto"/>
        <w:left w:val="none" w:sz="0" w:space="0" w:color="auto"/>
        <w:bottom w:val="none" w:sz="0" w:space="0" w:color="auto"/>
        <w:right w:val="none" w:sz="0" w:space="0" w:color="auto"/>
      </w:divBdr>
    </w:div>
    <w:div w:id="584384584">
      <w:bodyDiv w:val="1"/>
      <w:marLeft w:val="0"/>
      <w:marRight w:val="0"/>
      <w:marTop w:val="0"/>
      <w:marBottom w:val="0"/>
      <w:divBdr>
        <w:top w:val="none" w:sz="0" w:space="0" w:color="auto"/>
        <w:left w:val="none" w:sz="0" w:space="0" w:color="auto"/>
        <w:bottom w:val="none" w:sz="0" w:space="0" w:color="auto"/>
        <w:right w:val="none" w:sz="0" w:space="0" w:color="auto"/>
      </w:divBdr>
    </w:div>
    <w:div w:id="588000337">
      <w:bodyDiv w:val="1"/>
      <w:marLeft w:val="0"/>
      <w:marRight w:val="0"/>
      <w:marTop w:val="0"/>
      <w:marBottom w:val="0"/>
      <w:divBdr>
        <w:top w:val="none" w:sz="0" w:space="0" w:color="auto"/>
        <w:left w:val="none" w:sz="0" w:space="0" w:color="auto"/>
        <w:bottom w:val="none" w:sz="0" w:space="0" w:color="auto"/>
        <w:right w:val="none" w:sz="0" w:space="0" w:color="auto"/>
      </w:divBdr>
    </w:div>
    <w:div w:id="641467723">
      <w:bodyDiv w:val="1"/>
      <w:marLeft w:val="0"/>
      <w:marRight w:val="0"/>
      <w:marTop w:val="0"/>
      <w:marBottom w:val="0"/>
      <w:divBdr>
        <w:top w:val="none" w:sz="0" w:space="0" w:color="auto"/>
        <w:left w:val="none" w:sz="0" w:space="0" w:color="auto"/>
        <w:bottom w:val="none" w:sz="0" w:space="0" w:color="auto"/>
        <w:right w:val="none" w:sz="0" w:space="0" w:color="auto"/>
      </w:divBdr>
    </w:div>
    <w:div w:id="645667381">
      <w:bodyDiv w:val="1"/>
      <w:marLeft w:val="0"/>
      <w:marRight w:val="0"/>
      <w:marTop w:val="0"/>
      <w:marBottom w:val="0"/>
      <w:divBdr>
        <w:top w:val="none" w:sz="0" w:space="0" w:color="auto"/>
        <w:left w:val="none" w:sz="0" w:space="0" w:color="auto"/>
        <w:bottom w:val="none" w:sz="0" w:space="0" w:color="auto"/>
        <w:right w:val="none" w:sz="0" w:space="0" w:color="auto"/>
      </w:divBdr>
    </w:div>
    <w:div w:id="664868236">
      <w:bodyDiv w:val="1"/>
      <w:marLeft w:val="0"/>
      <w:marRight w:val="0"/>
      <w:marTop w:val="0"/>
      <w:marBottom w:val="0"/>
      <w:divBdr>
        <w:top w:val="none" w:sz="0" w:space="0" w:color="auto"/>
        <w:left w:val="none" w:sz="0" w:space="0" w:color="auto"/>
        <w:bottom w:val="none" w:sz="0" w:space="0" w:color="auto"/>
        <w:right w:val="none" w:sz="0" w:space="0" w:color="auto"/>
      </w:divBdr>
    </w:div>
    <w:div w:id="675570253">
      <w:bodyDiv w:val="1"/>
      <w:marLeft w:val="0"/>
      <w:marRight w:val="0"/>
      <w:marTop w:val="0"/>
      <w:marBottom w:val="0"/>
      <w:divBdr>
        <w:top w:val="none" w:sz="0" w:space="0" w:color="auto"/>
        <w:left w:val="none" w:sz="0" w:space="0" w:color="auto"/>
        <w:bottom w:val="none" w:sz="0" w:space="0" w:color="auto"/>
        <w:right w:val="none" w:sz="0" w:space="0" w:color="auto"/>
      </w:divBdr>
    </w:div>
    <w:div w:id="703022082">
      <w:bodyDiv w:val="1"/>
      <w:marLeft w:val="0"/>
      <w:marRight w:val="0"/>
      <w:marTop w:val="0"/>
      <w:marBottom w:val="0"/>
      <w:divBdr>
        <w:top w:val="none" w:sz="0" w:space="0" w:color="auto"/>
        <w:left w:val="none" w:sz="0" w:space="0" w:color="auto"/>
        <w:bottom w:val="none" w:sz="0" w:space="0" w:color="auto"/>
        <w:right w:val="none" w:sz="0" w:space="0" w:color="auto"/>
      </w:divBdr>
    </w:div>
    <w:div w:id="742989099">
      <w:bodyDiv w:val="1"/>
      <w:marLeft w:val="0"/>
      <w:marRight w:val="0"/>
      <w:marTop w:val="0"/>
      <w:marBottom w:val="0"/>
      <w:divBdr>
        <w:top w:val="none" w:sz="0" w:space="0" w:color="auto"/>
        <w:left w:val="none" w:sz="0" w:space="0" w:color="auto"/>
        <w:bottom w:val="none" w:sz="0" w:space="0" w:color="auto"/>
        <w:right w:val="none" w:sz="0" w:space="0" w:color="auto"/>
      </w:divBdr>
    </w:div>
    <w:div w:id="753823787">
      <w:bodyDiv w:val="1"/>
      <w:marLeft w:val="0"/>
      <w:marRight w:val="0"/>
      <w:marTop w:val="0"/>
      <w:marBottom w:val="0"/>
      <w:divBdr>
        <w:top w:val="none" w:sz="0" w:space="0" w:color="auto"/>
        <w:left w:val="none" w:sz="0" w:space="0" w:color="auto"/>
        <w:bottom w:val="none" w:sz="0" w:space="0" w:color="auto"/>
        <w:right w:val="none" w:sz="0" w:space="0" w:color="auto"/>
      </w:divBdr>
    </w:div>
    <w:div w:id="858007546">
      <w:bodyDiv w:val="1"/>
      <w:marLeft w:val="0"/>
      <w:marRight w:val="0"/>
      <w:marTop w:val="0"/>
      <w:marBottom w:val="0"/>
      <w:divBdr>
        <w:top w:val="none" w:sz="0" w:space="0" w:color="auto"/>
        <w:left w:val="none" w:sz="0" w:space="0" w:color="auto"/>
        <w:bottom w:val="none" w:sz="0" w:space="0" w:color="auto"/>
        <w:right w:val="none" w:sz="0" w:space="0" w:color="auto"/>
      </w:divBdr>
    </w:div>
    <w:div w:id="867060497">
      <w:bodyDiv w:val="1"/>
      <w:marLeft w:val="0"/>
      <w:marRight w:val="0"/>
      <w:marTop w:val="0"/>
      <w:marBottom w:val="0"/>
      <w:divBdr>
        <w:top w:val="none" w:sz="0" w:space="0" w:color="auto"/>
        <w:left w:val="none" w:sz="0" w:space="0" w:color="auto"/>
        <w:bottom w:val="none" w:sz="0" w:space="0" w:color="auto"/>
        <w:right w:val="none" w:sz="0" w:space="0" w:color="auto"/>
      </w:divBdr>
    </w:div>
    <w:div w:id="899173101">
      <w:bodyDiv w:val="1"/>
      <w:marLeft w:val="0"/>
      <w:marRight w:val="0"/>
      <w:marTop w:val="0"/>
      <w:marBottom w:val="0"/>
      <w:divBdr>
        <w:top w:val="none" w:sz="0" w:space="0" w:color="auto"/>
        <w:left w:val="none" w:sz="0" w:space="0" w:color="auto"/>
        <w:bottom w:val="none" w:sz="0" w:space="0" w:color="auto"/>
        <w:right w:val="none" w:sz="0" w:space="0" w:color="auto"/>
      </w:divBdr>
    </w:div>
    <w:div w:id="914245166">
      <w:bodyDiv w:val="1"/>
      <w:marLeft w:val="0"/>
      <w:marRight w:val="0"/>
      <w:marTop w:val="0"/>
      <w:marBottom w:val="0"/>
      <w:divBdr>
        <w:top w:val="none" w:sz="0" w:space="0" w:color="auto"/>
        <w:left w:val="none" w:sz="0" w:space="0" w:color="auto"/>
        <w:bottom w:val="none" w:sz="0" w:space="0" w:color="auto"/>
        <w:right w:val="none" w:sz="0" w:space="0" w:color="auto"/>
      </w:divBdr>
    </w:div>
    <w:div w:id="925654466">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031762177">
      <w:bodyDiv w:val="1"/>
      <w:marLeft w:val="0"/>
      <w:marRight w:val="0"/>
      <w:marTop w:val="0"/>
      <w:marBottom w:val="0"/>
      <w:divBdr>
        <w:top w:val="none" w:sz="0" w:space="0" w:color="auto"/>
        <w:left w:val="none" w:sz="0" w:space="0" w:color="auto"/>
        <w:bottom w:val="none" w:sz="0" w:space="0" w:color="auto"/>
        <w:right w:val="none" w:sz="0" w:space="0" w:color="auto"/>
      </w:divBdr>
    </w:div>
    <w:div w:id="1056513043">
      <w:bodyDiv w:val="1"/>
      <w:marLeft w:val="0"/>
      <w:marRight w:val="0"/>
      <w:marTop w:val="0"/>
      <w:marBottom w:val="0"/>
      <w:divBdr>
        <w:top w:val="none" w:sz="0" w:space="0" w:color="auto"/>
        <w:left w:val="none" w:sz="0" w:space="0" w:color="auto"/>
        <w:bottom w:val="none" w:sz="0" w:space="0" w:color="auto"/>
        <w:right w:val="none" w:sz="0" w:space="0" w:color="auto"/>
      </w:divBdr>
    </w:div>
    <w:div w:id="1074353678">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102065241">
      <w:bodyDiv w:val="1"/>
      <w:marLeft w:val="0"/>
      <w:marRight w:val="0"/>
      <w:marTop w:val="0"/>
      <w:marBottom w:val="0"/>
      <w:divBdr>
        <w:top w:val="none" w:sz="0" w:space="0" w:color="auto"/>
        <w:left w:val="none" w:sz="0" w:space="0" w:color="auto"/>
        <w:bottom w:val="none" w:sz="0" w:space="0" w:color="auto"/>
        <w:right w:val="none" w:sz="0" w:space="0" w:color="auto"/>
      </w:divBdr>
    </w:div>
    <w:div w:id="1129516099">
      <w:bodyDiv w:val="1"/>
      <w:marLeft w:val="0"/>
      <w:marRight w:val="0"/>
      <w:marTop w:val="0"/>
      <w:marBottom w:val="0"/>
      <w:divBdr>
        <w:top w:val="none" w:sz="0" w:space="0" w:color="auto"/>
        <w:left w:val="none" w:sz="0" w:space="0" w:color="auto"/>
        <w:bottom w:val="none" w:sz="0" w:space="0" w:color="auto"/>
        <w:right w:val="none" w:sz="0" w:space="0" w:color="auto"/>
      </w:divBdr>
    </w:div>
    <w:div w:id="1180124350">
      <w:bodyDiv w:val="1"/>
      <w:marLeft w:val="0"/>
      <w:marRight w:val="0"/>
      <w:marTop w:val="0"/>
      <w:marBottom w:val="0"/>
      <w:divBdr>
        <w:top w:val="none" w:sz="0" w:space="0" w:color="auto"/>
        <w:left w:val="none" w:sz="0" w:space="0" w:color="auto"/>
        <w:bottom w:val="none" w:sz="0" w:space="0" w:color="auto"/>
        <w:right w:val="none" w:sz="0" w:space="0" w:color="auto"/>
      </w:divBdr>
    </w:div>
    <w:div w:id="1202398645">
      <w:bodyDiv w:val="1"/>
      <w:marLeft w:val="0"/>
      <w:marRight w:val="0"/>
      <w:marTop w:val="0"/>
      <w:marBottom w:val="0"/>
      <w:divBdr>
        <w:top w:val="none" w:sz="0" w:space="0" w:color="auto"/>
        <w:left w:val="none" w:sz="0" w:space="0" w:color="auto"/>
        <w:bottom w:val="none" w:sz="0" w:space="0" w:color="auto"/>
        <w:right w:val="none" w:sz="0" w:space="0" w:color="auto"/>
      </w:divBdr>
    </w:div>
    <w:div w:id="1203983725">
      <w:bodyDiv w:val="1"/>
      <w:marLeft w:val="0"/>
      <w:marRight w:val="0"/>
      <w:marTop w:val="0"/>
      <w:marBottom w:val="0"/>
      <w:divBdr>
        <w:top w:val="none" w:sz="0" w:space="0" w:color="auto"/>
        <w:left w:val="none" w:sz="0" w:space="0" w:color="auto"/>
        <w:bottom w:val="none" w:sz="0" w:space="0" w:color="auto"/>
        <w:right w:val="none" w:sz="0" w:space="0" w:color="auto"/>
      </w:divBdr>
    </w:div>
    <w:div w:id="1208882320">
      <w:bodyDiv w:val="1"/>
      <w:marLeft w:val="0"/>
      <w:marRight w:val="0"/>
      <w:marTop w:val="0"/>
      <w:marBottom w:val="0"/>
      <w:divBdr>
        <w:top w:val="none" w:sz="0" w:space="0" w:color="auto"/>
        <w:left w:val="none" w:sz="0" w:space="0" w:color="auto"/>
        <w:bottom w:val="none" w:sz="0" w:space="0" w:color="auto"/>
        <w:right w:val="none" w:sz="0" w:space="0" w:color="auto"/>
      </w:divBdr>
    </w:div>
    <w:div w:id="1240212790">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285886793">
      <w:bodyDiv w:val="1"/>
      <w:marLeft w:val="0"/>
      <w:marRight w:val="0"/>
      <w:marTop w:val="0"/>
      <w:marBottom w:val="0"/>
      <w:divBdr>
        <w:top w:val="none" w:sz="0" w:space="0" w:color="auto"/>
        <w:left w:val="none" w:sz="0" w:space="0" w:color="auto"/>
        <w:bottom w:val="none" w:sz="0" w:space="0" w:color="auto"/>
        <w:right w:val="none" w:sz="0" w:space="0" w:color="auto"/>
      </w:divBdr>
    </w:div>
    <w:div w:id="1339623275">
      <w:bodyDiv w:val="1"/>
      <w:marLeft w:val="0"/>
      <w:marRight w:val="0"/>
      <w:marTop w:val="0"/>
      <w:marBottom w:val="0"/>
      <w:divBdr>
        <w:top w:val="none" w:sz="0" w:space="0" w:color="auto"/>
        <w:left w:val="none" w:sz="0" w:space="0" w:color="auto"/>
        <w:bottom w:val="none" w:sz="0" w:space="0" w:color="auto"/>
        <w:right w:val="none" w:sz="0" w:space="0" w:color="auto"/>
      </w:divBdr>
    </w:div>
    <w:div w:id="1370837486">
      <w:bodyDiv w:val="1"/>
      <w:marLeft w:val="0"/>
      <w:marRight w:val="0"/>
      <w:marTop w:val="0"/>
      <w:marBottom w:val="0"/>
      <w:divBdr>
        <w:top w:val="none" w:sz="0" w:space="0" w:color="auto"/>
        <w:left w:val="none" w:sz="0" w:space="0" w:color="auto"/>
        <w:bottom w:val="none" w:sz="0" w:space="0" w:color="auto"/>
        <w:right w:val="none" w:sz="0" w:space="0" w:color="auto"/>
      </w:divBdr>
    </w:div>
    <w:div w:id="1394231548">
      <w:bodyDiv w:val="1"/>
      <w:marLeft w:val="0"/>
      <w:marRight w:val="0"/>
      <w:marTop w:val="0"/>
      <w:marBottom w:val="0"/>
      <w:divBdr>
        <w:top w:val="none" w:sz="0" w:space="0" w:color="auto"/>
        <w:left w:val="none" w:sz="0" w:space="0" w:color="auto"/>
        <w:bottom w:val="none" w:sz="0" w:space="0" w:color="auto"/>
        <w:right w:val="none" w:sz="0" w:space="0" w:color="auto"/>
      </w:divBdr>
    </w:div>
    <w:div w:id="1414161234">
      <w:bodyDiv w:val="1"/>
      <w:marLeft w:val="0"/>
      <w:marRight w:val="0"/>
      <w:marTop w:val="0"/>
      <w:marBottom w:val="0"/>
      <w:divBdr>
        <w:top w:val="none" w:sz="0" w:space="0" w:color="auto"/>
        <w:left w:val="none" w:sz="0" w:space="0" w:color="auto"/>
        <w:bottom w:val="none" w:sz="0" w:space="0" w:color="auto"/>
        <w:right w:val="none" w:sz="0" w:space="0" w:color="auto"/>
      </w:divBdr>
    </w:div>
    <w:div w:id="1438479073">
      <w:bodyDiv w:val="1"/>
      <w:marLeft w:val="0"/>
      <w:marRight w:val="0"/>
      <w:marTop w:val="0"/>
      <w:marBottom w:val="0"/>
      <w:divBdr>
        <w:top w:val="none" w:sz="0" w:space="0" w:color="auto"/>
        <w:left w:val="none" w:sz="0" w:space="0" w:color="auto"/>
        <w:bottom w:val="none" w:sz="0" w:space="0" w:color="auto"/>
        <w:right w:val="none" w:sz="0" w:space="0" w:color="auto"/>
      </w:divBdr>
    </w:div>
    <w:div w:id="1470200845">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30217791">
      <w:bodyDiv w:val="1"/>
      <w:marLeft w:val="0"/>
      <w:marRight w:val="0"/>
      <w:marTop w:val="0"/>
      <w:marBottom w:val="0"/>
      <w:divBdr>
        <w:top w:val="none" w:sz="0" w:space="0" w:color="auto"/>
        <w:left w:val="none" w:sz="0" w:space="0" w:color="auto"/>
        <w:bottom w:val="none" w:sz="0" w:space="0" w:color="auto"/>
        <w:right w:val="none" w:sz="0" w:space="0" w:color="auto"/>
      </w:divBdr>
    </w:div>
    <w:div w:id="1609041497">
      <w:bodyDiv w:val="1"/>
      <w:marLeft w:val="0"/>
      <w:marRight w:val="0"/>
      <w:marTop w:val="0"/>
      <w:marBottom w:val="0"/>
      <w:divBdr>
        <w:top w:val="none" w:sz="0" w:space="0" w:color="auto"/>
        <w:left w:val="none" w:sz="0" w:space="0" w:color="auto"/>
        <w:bottom w:val="none" w:sz="0" w:space="0" w:color="auto"/>
        <w:right w:val="none" w:sz="0" w:space="0" w:color="auto"/>
      </w:divBdr>
    </w:div>
    <w:div w:id="1644502417">
      <w:bodyDiv w:val="1"/>
      <w:marLeft w:val="0"/>
      <w:marRight w:val="0"/>
      <w:marTop w:val="0"/>
      <w:marBottom w:val="0"/>
      <w:divBdr>
        <w:top w:val="none" w:sz="0" w:space="0" w:color="auto"/>
        <w:left w:val="none" w:sz="0" w:space="0" w:color="auto"/>
        <w:bottom w:val="none" w:sz="0" w:space="0" w:color="auto"/>
        <w:right w:val="none" w:sz="0" w:space="0" w:color="auto"/>
      </w:divBdr>
    </w:div>
    <w:div w:id="1695886480">
      <w:bodyDiv w:val="1"/>
      <w:marLeft w:val="0"/>
      <w:marRight w:val="0"/>
      <w:marTop w:val="0"/>
      <w:marBottom w:val="0"/>
      <w:divBdr>
        <w:top w:val="none" w:sz="0" w:space="0" w:color="auto"/>
        <w:left w:val="none" w:sz="0" w:space="0" w:color="auto"/>
        <w:bottom w:val="none" w:sz="0" w:space="0" w:color="auto"/>
        <w:right w:val="none" w:sz="0" w:space="0" w:color="auto"/>
      </w:divBdr>
    </w:div>
    <w:div w:id="1712606406">
      <w:bodyDiv w:val="1"/>
      <w:marLeft w:val="0"/>
      <w:marRight w:val="0"/>
      <w:marTop w:val="0"/>
      <w:marBottom w:val="0"/>
      <w:divBdr>
        <w:top w:val="none" w:sz="0" w:space="0" w:color="auto"/>
        <w:left w:val="none" w:sz="0" w:space="0" w:color="auto"/>
        <w:bottom w:val="none" w:sz="0" w:space="0" w:color="auto"/>
        <w:right w:val="none" w:sz="0" w:space="0" w:color="auto"/>
      </w:divBdr>
    </w:div>
    <w:div w:id="1726222585">
      <w:bodyDiv w:val="1"/>
      <w:marLeft w:val="0"/>
      <w:marRight w:val="0"/>
      <w:marTop w:val="0"/>
      <w:marBottom w:val="0"/>
      <w:divBdr>
        <w:top w:val="none" w:sz="0" w:space="0" w:color="auto"/>
        <w:left w:val="none" w:sz="0" w:space="0" w:color="auto"/>
        <w:bottom w:val="none" w:sz="0" w:space="0" w:color="auto"/>
        <w:right w:val="none" w:sz="0" w:space="0" w:color="auto"/>
      </w:divBdr>
    </w:div>
    <w:div w:id="1733112470">
      <w:bodyDiv w:val="1"/>
      <w:marLeft w:val="0"/>
      <w:marRight w:val="0"/>
      <w:marTop w:val="0"/>
      <w:marBottom w:val="0"/>
      <w:divBdr>
        <w:top w:val="none" w:sz="0" w:space="0" w:color="auto"/>
        <w:left w:val="none" w:sz="0" w:space="0" w:color="auto"/>
        <w:bottom w:val="none" w:sz="0" w:space="0" w:color="auto"/>
        <w:right w:val="none" w:sz="0" w:space="0" w:color="auto"/>
      </w:divBdr>
    </w:div>
    <w:div w:id="1737900709">
      <w:bodyDiv w:val="1"/>
      <w:marLeft w:val="0"/>
      <w:marRight w:val="0"/>
      <w:marTop w:val="0"/>
      <w:marBottom w:val="0"/>
      <w:divBdr>
        <w:top w:val="none" w:sz="0" w:space="0" w:color="auto"/>
        <w:left w:val="none" w:sz="0" w:space="0" w:color="auto"/>
        <w:bottom w:val="none" w:sz="0" w:space="0" w:color="auto"/>
        <w:right w:val="none" w:sz="0" w:space="0" w:color="auto"/>
      </w:divBdr>
    </w:div>
    <w:div w:id="1761415458">
      <w:bodyDiv w:val="1"/>
      <w:marLeft w:val="0"/>
      <w:marRight w:val="0"/>
      <w:marTop w:val="0"/>
      <w:marBottom w:val="0"/>
      <w:divBdr>
        <w:top w:val="none" w:sz="0" w:space="0" w:color="auto"/>
        <w:left w:val="none" w:sz="0" w:space="0" w:color="auto"/>
        <w:bottom w:val="none" w:sz="0" w:space="0" w:color="auto"/>
        <w:right w:val="none" w:sz="0" w:space="0" w:color="auto"/>
      </w:divBdr>
    </w:div>
    <w:div w:id="1840151224">
      <w:bodyDiv w:val="1"/>
      <w:marLeft w:val="0"/>
      <w:marRight w:val="0"/>
      <w:marTop w:val="0"/>
      <w:marBottom w:val="0"/>
      <w:divBdr>
        <w:top w:val="none" w:sz="0" w:space="0" w:color="auto"/>
        <w:left w:val="none" w:sz="0" w:space="0" w:color="auto"/>
        <w:bottom w:val="none" w:sz="0" w:space="0" w:color="auto"/>
        <w:right w:val="none" w:sz="0" w:space="0" w:color="auto"/>
      </w:divBdr>
    </w:div>
    <w:div w:id="1865820393">
      <w:bodyDiv w:val="1"/>
      <w:marLeft w:val="0"/>
      <w:marRight w:val="0"/>
      <w:marTop w:val="0"/>
      <w:marBottom w:val="0"/>
      <w:divBdr>
        <w:top w:val="none" w:sz="0" w:space="0" w:color="auto"/>
        <w:left w:val="none" w:sz="0" w:space="0" w:color="auto"/>
        <w:bottom w:val="none" w:sz="0" w:space="0" w:color="auto"/>
        <w:right w:val="none" w:sz="0" w:space="0" w:color="auto"/>
      </w:divBdr>
    </w:div>
    <w:div w:id="1899173014">
      <w:bodyDiv w:val="1"/>
      <w:marLeft w:val="0"/>
      <w:marRight w:val="0"/>
      <w:marTop w:val="0"/>
      <w:marBottom w:val="0"/>
      <w:divBdr>
        <w:top w:val="none" w:sz="0" w:space="0" w:color="auto"/>
        <w:left w:val="none" w:sz="0" w:space="0" w:color="auto"/>
        <w:bottom w:val="none" w:sz="0" w:space="0" w:color="auto"/>
        <w:right w:val="none" w:sz="0" w:space="0" w:color="auto"/>
      </w:divBdr>
    </w:div>
    <w:div w:id="1929188920">
      <w:bodyDiv w:val="1"/>
      <w:marLeft w:val="0"/>
      <w:marRight w:val="0"/>
      <w:marTop w:val="0"/>
      <w:marBottom w:val="0"/>
      <w:divBdr>
        <w:top w:val="none" w:sz="0" w:space="0" w:color="auto"/>
        <w:left w:val="none" w:sz="0" w:space="0" w:color="auto"/>
        <w:bottom w:val="none" w:sz="0" w:space="0" w:color="auto"/>
        <w:right w:val="none" w:sz="0" w:space="0" w:color="auto"/>
      </w:divBdr>
    </w:div>
    <w:div w:id="2009283326">
      <w:bodyDiv w:val="1"/>
      <w:marLeft w:val="0"/>
      <w:marRight w:val="0"/>
      <w:marTop w:val="0"/>
      <w:marBottom w:val="0"/>
      <w:divBdr>
        <w:top w:val="none" w:sz="0" w:space="0" w:color="auto"/>
        <w:left w:val="none" w:sz="0" w:space="0" w:color="auto"/>
        <w:bottom w:val="none" w:sz="0" w:space="0" w:color="auto"/>
        <w:right w:val="none" w:sz="0" w:space="0" w:color="auto"/>
      </w:divBdr>
    </w:div>
    <w:div w:id="2080667806">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Broker.Consulting/" TargetMode="External"/><Relationship Id="rId18" Type="http://schemas.openxmlformats.org/officeDocument/2006/relationships/header" Target="header2.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realityspolu.cz" TargetMode="External"/><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linkedin.com/company/10668151/" TargetMode="External"/><Relationship Id="rId20" Type="http://schemas.openxmlformats.org/officeDocument/2006/relationships/footer" Target="footer2.xml"/><Relationship Id="rId29"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point.tv" TargetMode="External"/><Relationship Id="rId24" Type="http://schemas.openxmlformats.org/officeDocument/2006/relationships/header" Target="header5.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cebook.com/okpointy/" TargetMode="Externa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hyperlink" Target="http://okpointy.cz" TargetMode="External"/><Relationship Id="rId19" Type="http://schemas.openxmlformats.org/officeDocument/2006/relationships/footer" Target="footer1.xml"/><Relationship Id="rId31" Type="http://schemas.openxmlformats.org/officeDocument/2006/relationships/hyperlink" Target="mailto:michaela.sahulova@bcas.cz" TargetMode="External"/><Relationship Id="rId4" Type="http://schemas.openxmlformats.org/officeDocument/2006/relationships/settings" Target="settings.xml"/><Relationship Id="rId9" Type="http://schemas.openxmlformats.org/officeDocument/2006/relationships/hyperlink" Target="http://bcas.cz" TargetMode="External"/><Relationship Id="rId14" Type="http://schemas.openxmlformats.org/officeDocument/2006/relationships/hyperlink" Target="https://www.linkedin.com/company/786541/" TargetMode="External"/><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hyperlink" Target="https://www.bcas.cz/o-nas/broker-consulting-index-hypotecnich-uveru/" TargetMode="Externa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01B2E-37B1-4A2C-B64B-C282177B5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4</Pages>
  <Words>1245</Words>
  <Characters>7351</Characters>
  <Application>Microsoft Office Word</Application>
  <DocSecurity>0</DocSecurity>
  <Lines>61</Lines>
  <Paragraphs>17</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8579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Michaela Sahulová</cp:lastModifiedBy>
  <cp:revision>17</cp:revision>
  <cp:lastPrinted>2023-03-06T11:31:00Z</cp:lastPrinted>
  <dcterms:created xsi:type="dcterms:W3CDTF">2024-01-03T10:45:00Z</dcterms:created>
  <dcterms:modified xsi:type="dcterms:W3CDTF">2024-01-04T13:37:00Z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