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5F5512" w14:textId="77777777" w:rsidR="00B712F8" w:rsidRPr="005D11F0" w:rsidRDefault="00B712F8" w:rsidP="00B712F8">
      <w:pPr>
        <w:pStyle w:val="Zkladntext"/>
        <w:jc w:val="both"/>
        <w:rPr>
          <w:rFonts w:ascii="Arial" w:hAnsi="Arial" w:cs="Arial"/>
          <w:b/>
          <w:sz w:val="20"/>
        </w:rPr>
      </w:pPr>
    </w:p>
    <w:p w14:paraId="514F7B2A" w14:textId="77777777"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6E11E649" w14:textId="346EFD1D" w:rsidR="00133BFD" w:rsidRPr="00100CE7" w:rsidRDefault="00B712F8" w:rsidP="00100CE7">
      <w:pPr>
        <w:jc w:val="both"/>
        <w:rPr>
          <w:rFonts w:asciiTheme="minorHAnsi" w:hAnsiTheme="minorHAnsi" w:cstheme="minorHAnsi"/>
          <w:sz w:val="20"/>
          <w:szCs w:val="20"/>
          <w:lang w:val="de-DE"/>
        </w:rPr>
      </w:pPr>
      <w:r w:rsidRPr="00B712F8">
        <w:rPr>
          <w:rFonts w:asciiTheme="minorHAnsi" w:hAnsiTheme="minorHAnsi" w:cstheme="minorHAnsi"/>
          <w:sz w:val="20"/>
          <w:szCs w:val="20"/>
        </w:rPr>
        <w:t>Broker Consulting je jednou z největších společností na českém a slovenském trhu, která poskytuje služby v oblasti financí a realit. Od rok</w:t>
      </w:r>
      <w:r w:rsidR="00F12CDD">
        <w:rPr>
          <w:rFonts w:asciiTheme="minorHAnsi" w:hAnsiTheme="minorHAnsi" w:cstheme="minorHAnsi"/>
          <w:sz w:val="20"/>
          <w:szCs w:val="20"/>
        </w:rPr>
        <w:t>u 1998 získala důvěru více než 7</w:t>
      </w:r>
      <w:r w:rsidRPr="00B712F8">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w:t>
      </w:r>
      <w:r w:rsidR="00A82D27">
        <w:rPr>
          <w:rFonts w:asciiTheme="minorHAnsi" w:hAnsiTheme="minorHAnsi" w:cstheme="minorHAnsi"/>
          <w:sz w:val="20"/>
          <w:szCs w:val="20"/>
        </w:rPr>
        <w:t>více než 15</w:t>
      </w:r>
      <w:r w:rsidR="009365EB">
        <w:rPr>
          <w:rFonts w:asciiTheme="minorHAnsi" w:hAnsiTheme="minorHAnsi" w:cstheme="minorHAnsi"/>
          <w:sz w:val="20"/>
          <w:szCs w:val="20"/>
        </w:rPr>
        <w:t>0 kancelářích a</w:t>
      </w:r>
      <w:r w:rsidRPr="00B712F8">
        <w:rPr>
          <w:rFonts w:asciiTheme="minorHAnsi" w:hAnsiTheme="minorHAnsi" w:cstheme="minorHAnsi"/>
          <w:sz w:val="20"/>
          <w:szCs w:val="20"/>
        </w:rPr>
        <w:t xml:space="preserve"> </w:t>
      </w:r>
      <w:r w:rsidR="009365EB">
        <w:rPr>
          <w:rFonts w:asciiTheme="minorHAnsi" w:hAnsiTheme="minorHAnsi" w:cstheme="minorHAnsi"/>
          <w:sz w:val="20"/>
          <w:szCs w:val="20"/>
        </w:rPr>
        <w:t xml:space="preserve">desítkách poboček </w:t>
      </w:r>
      <w:r w:rsidRPr="00B712F8">
        <w:rPr>
          <w:rFonts w:asciiTheme="minorHAnsi" w:hAnsiTheme="minorHAnsi" w:cstheme="minorHAnsi"/>
          <w:sz w:val="20"/>
          <w:szCs w:val="20"/>
        </w:rPr>
        <w:t>OK POINT</w:t>
      </w:r>
      <w:r w:rsidR="009365EB">
        <w:rPr>
          <w:rFonts w:asciiTheme="minorHAnsi" w:hAnsiTheme="minorHAnsi" w:cstheme="minorHAnsi"/>
          <w:sz w:val="20"/>
          <w:szCs w:val="20"/>
        </w:rPr>
        <w:t>Ů</w:t>
      </w:r>
      <w:r w:rsidRPr="00B712F8">
        <w:rPr>
          <w:rFonts w:asciiTheme="minorHAnsi" w:hAnsiTheme="minorHAnsi" w:cstheme="minorHAnsi"/>
          <w:sz w:val="20"/>
          <w:szCs w:val="20"/>
        </w:rPr>
        <w:t xml:space="preserve">.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A0680F">
        <w:rPr>
          <w:rFonts w:asciiTheme="minorHAnsi" w:hAnsiTheme="minorHAnsi" w:cstheme="minorHAnsi"/>
          <w:sz w:val="20"/>
          <w:szCs w:val="20"/>
        </w:rPr>
        <w:t>jehož</w:t>
      </w:r>
      <w:r w:rsidR="00E71C1E">
        <w:rPr>
          <w:rFonts w:asciiTheme="minorHAnsi" w:hAnsiTheme="minorHAnsi" w:cstheme="minorHAnsi"/>
          <w:sz w:val="20"/>
          <w:szCs w:val="20"/>
        </w:rPr>
        <w:t xml:space="preserve"> přináší společnost Broker </w:t>
      </w:r>
      <w:r w:rsidR="009365EB">
        <w:rPr>
          <w:rFonts w:asciiTheme="minorHAnsi" w:hAnsiTheme="minorHAnsi" w:cstheme="minorHAnsi"/>
          <w:sz w:val="20"/>
          <w:szCs w:val="20"/>
        </w:rPr>
        <w:t xml:space="preserve">Consulting, která za vedení franšízy a její podporu získala ocenění </w:t>
      </w:r>
      <w:proofErr w:type="spellStart"/>
      <w:r w:rsidR="009365EB" w:rsidRPr="00A0680F">
        <w:rPr>
          <w:rFonts w:asciiTheme="minorHAnsi" w:hAnsiTheme="minorHAnsi" w:cstheme="minorHAnsi"/>
          <w:b/>
          <w:color w:val="FF0000"/>
          <w:sz w:val="20"/>
          <w:szCs w:val="20"/>
        </w:rPr>
        <w:t>Franchisor</w:t>
      </w:r>
      <w:proofErr w:type="spellEnd"/>
      <w:r w:rsidR="009365EB" w:rsidRPr="00A0680F">
        <w:rPr>
          <w:rFonts w:asciiTheme="minorHAnsi" w:hAnsiTheme="minorHAnsi" w:cstheme="minorHAnsi"/>
          <w:b/>
          <w:color w:val="FF0000"/>
          <w:sz w:val="20"/>
          <w:szCs w:val="20"/>
        </w:rPr>
        <w:t xml:space="preserve"> roku 2022</w:t>
      </w:r>
      <w:r w:rsidR="009365EB" w:rsidRPr="00A0680F">
        <w:rPr>
          <w:rFonts w:asciiTheme="minorHAnsi" w:hAnsiTheme="minorHAnsi" w:cstheme="minorHAnsi"/>
          <w:color w:val="FF0000"/>
          <w:sz w:val="20"/>
          <w:szCs w:val="20"/>
        </w:rPr>
        <w:t xml:space="preserve"> </w:t>
      </w:r>
      <w:r w:rsidR="009365EB">
        <w:rPr>
          <w:rFonts w:asciiTheme="minorHAnsi" w:hAnsiTheme="minorHAnsi" w:cstheme="minorHAnsi"/>
          <w:sz w:val="20"/>
          <w:szCs w:val="20"/>
        </w:rPr>
        <w:t xml:space="preserve">od České asociace </w:t>
      </w:r>
      <w:proofErr w:type="spellStart"/>
      <w:r w:rsidR="009365EB">
        <w:rPr>
          <w:rFonts w:asciiTheme="minorHAnsi" w:hAnsiTheme="minorHAnsi" w:cstheme="minorHAnsi"/>
          <w:sz w:val="20"/>
          <w:szCs w:val="20"/>
        </w:rPr>
        <w:t>franchisingu</w:t>
      </w:r>
      <w:proofErr w:type="spellEnd"/>
      <w:r w:rsidR="009365EB">
        <w:rPr>
          <w:rFonts w:asciiTheme="minorHAnsi" w:hAnsiTheme="minorHAnsi" w:cstheme="minorHAnsi"/>
          <w:sz w:val="20"/>
          <w:szCs w:val="20"/>
        </w:rPr>
        <w:t xml:space="preserve">. </w:t>
      </w:r>
      <w:proofErr w:type="spellStart"/>
      <w:r w:rsidRPr="00B712F8">
        <w:rPr>
          <w:rStyle w:val="dn"/>
          <w:rFonts w:asciiTheme="minorHAnsi" w:hAnsiTheme="minorHAnsi" w:cstheme="minorHAnsi"/>
          <w:sz w:val="20"/>
          <w:szCs w:val="20"/>
        </w:rPr>
        <w:t>Více</w:t>
      </w:r>
      <w:proofErr w:type="spellEnd"/>
      <w:r w:rsidRPr="00B712F8">
        <w:rPr>
          <w:rStyle w:val="dn"/>
          <w:rFonts w:asciiTheme="minorHAnsi" w:hAnsiTheme="minorHAnsi" w:cstheme="minorHAnsi"/>
          <w:sz w:val="20"/>
          <w:szCs w:val="20"/>
        </w:rPr>
        <w:t xml:space="preserve"> na </w:t>
      </w:r>
      <w:hyperlink r:id="rId9" w:history="1">
        <w:r w:rsidRPr="00B712F8">
          <w:rPr>
            <w:rStyle w:val="Hypertextovodkaz"/>
            <w:rFonts w:asciiTheme="minorHAnsi" w:hAnsiTheme="minorHAnsi" w:cstheme="minorHAnsi"/>
            <w:color w:val="auto"/>
            <w:sz w:val="20"/>
            <w:szCs w:val="20"/>
          </w:rPr>
          <w:t>www.bcas.cz</w:t>
        </w:r>
      </w:hyperlink>
      <w:r w:rsidRPr="00B712F8">
        <w:rPr>
          <w:rStyle w:val="Hypertextovodkaz"/>
          <w:rFonts w:asciiTheme="minorHAnsi" w:hAnsiTheme="minorHAnsi" w:cstheme="minorHAnsi"/>
          <w:color w:val="auto"/>
          <w:sz w:val="20"/>
          <w:szCs w:val="20"/>
        </w:rPr>
        <w:t xml:space="preserve">, </w:t>
      </w:r>
      <w:hyperlink r:id="rId10" w:history="1">
        <w:r w:rsidRPr="00B712F8">
          <w:rPr>
            <w:rStyle w:val="Hypertextovodkaz"/>
            <w:rFonts w:asciiTheme="minorHAnsi" w:hAnsiTheme="minorHAnsi" w:cstheme="minorHAnsi"/>
            <w:color w:val="auto"/>
            <w:sz w:val="20"/>
            <w:szCs w:val="20"/>
          </w:rPr>
          <w:t>www.okpointy.cz</w:t>
        </w:r>
      </w:hyperlink>
      <w:r w:rsidRPr="00B712F8">
        <w:rPr>
          <w:rStyle w:val="Hypertextovodkaz"/>
          <w:rFonts w:asciiTheme="minorHAnsi" w:hAnsiTheme="minorHAnsi" w:cstheme="minorHAnsi"/>
          <w:color w:val="auto"/>
          <w:sz w:val="20"/>
          <w:szCs w:val="20"/>
        </w:rPr>
        <w:t>, www.okpoint.tv</w:t>
      </w:r>
      <w:r w:rsidRPr="00B712F8">
        <w:rPr>
          <w:rStyle w:val="dn"/>
          <w:rFonts w:asciiTheme="minorHAnsi" w:hAnsiTheme="minorHAnsi" w:cstheme="minorHAnsi"/>
          <w:sz w:val="20"/>
          <w:szCs w:val="20"/>
        </w:rPr>
        <w:t xml:space="preserve"> a na </w:t>
      </w:r>
      <w:hyperlink r:id="rId11" w:history="1">
        <w:r w:rsidRPr="00B712F8">
          <w:rPr>
            <w:rStyle w:val="Hypertextovodkaz"/>
            <w:rFonts w:asciiTheme="minorHAnsi" w:hAnsiTheme="minorHAnsi" w:cstheme="minorHAnsi"/>
            <w:color w:val="auto"/>
            <w:sz w:val="20"/>
            <w:szCs w:val="20"/>
          </w:rPr>
          <w:t>www.realityspolu.cz</w:t>
        </w:r>
      </w:hyperlink>
      <w:r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lang w:val="cs-CZ"/>
        </w:rPr>
        <w:t>Navštivte také náš</w:t>
      </w:r>
      <w:r w:rsidRPr="00B712F8">
        <w:rPr>
          <w:rStyle w:val="dn"/>
          <w:rFonts w:asciiTheme="minorHAnsi" w:hAnsiTheme="minorHAnsi" w:cstheme="minorHAnsi"/>
          <w:sz w:val="20"/>
          <w:szCs w:val="20"/>
        </w:rPr>
        <w:t xml:space="preserve"> </w:t>
      </w:r>
      <w:hyperlink r:id="rId12" w:history="1">
        <w:proofErr w:type="spellStart"/>
        <w:r w:rsidRPr="00B712F8">
          <w:rPr>
            <w:rStyle w:val="Hypertextovodkaz"/>
            <w:rFonts w:asciiTheme="minorHAnsi" w:hAnsiTheme="minorHAnsi" w:cstheme="minorHAnsi"/>
            <w:color w:val="auto"/>
            <w:sz w:val="20"/>
            <w:szCs w:val="20"/>
          </w:rPr>
          <w:t>Facebook</w:t>
        </w:r>
        <w:proofErr w:type="spellEnd"/>
      </w:hyperlink>
      <w:r w:rsidR="00A0680F">
        <w:rPr>
          <w:rStyle w:val="dn"/>
          <w:rFonts w:asciiTheme="minorHAnsi" w:hAnsiTheme="minorHAnsi" w:cstheme="minorHAnsi"/>
          <w:sz w:val="20"/>
          <w:szCs w:val="20"/>
        </w:rPr>
        <w:t xml:space="preserve">, </w:t>
      </w:r>
      <w:hyperlink r:id="rId13" w:history="1">
        <w:proofErr w:type="spellStart"/>
        <w:r w:rsidRPr="00B712F8">
          <w:rPr>
            <w:rStyle w:val="Hypertextovodkaz"/>
            <w:rFonts w:asciiTheme="minorHAnsi" w:hAnsiTheme="minorHAnsi" w:cstheme="minorHAnsi"/>
            <w:color w:val="auto"/>
            <w:sz w:val="20"/>
            <w:szCs w:val="20"/>
          </w:rPr>
          <w:t>LinkedIN</w:t>
        </w:r>
        <w:proofErr w:type="spellEnd"/>
      </w:hyperlink>
      <w:r w:rsidR="00A0680F">
        <w:rPr>
          <w:rStyle w:val="dn"/>
          <w:rFonts w:asciiTheme="minorHAnsi" w:hAnsiTheme="minorHAnsi" w:cstheme="minorHAnsi"/>
          <w:sz w:val="20"/>
          <w:szCs w:val="20"/>
        </w:rPr>
        <w:t xml:space="preserve"> Broker Consulting, Twitter </w:t>
      </w:r>
      <w:r w:rsidR="00A0680F" w:rsidRPr="005B7E46">
        <w:rPr>
          <w:rFonts w:asciiTheme="minorHAnsi" w:hAnsiTheme="minorHAnsi" w:cstheme="minorHAnsi"/>
          <w:sz w:val="20"/>
          <w:szCs w:val="20"/>
          <w:shd w:val="clear" w:color="auto" w:fill="FFFFFF"/>
        </w:rPr>
        <w:t>@</w:t>
      </w:r>
      <w:proofErr w:type="spellStart"/>
      <w:r w:rsidR="00A0680F" w:rsidRPr="005B7E46">
        <w:rPr>
          <w:rFonts w:asciiTheme="minorHAnsi" w:hAnsiTheme="minorHAnsi" w:cstheme="minorHAnsi"/>
          <w:sz w:val="20"/>
          <w:szCs w:val="20"/>
          <w:shd w:val="clear" w:color="auto" w:fill="FFFFFF"/>
        </w:rPr>
        <w:t>BC_oficialni</w:t>
      </w:r>
      <w:proofErr w:type="spellEnd"/>
      <w:r w:rsidR="00A0680F"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rPr>
        <w:t xml:space="preserve">a </w:t>
      </w:r>
      <w:hyperlink r:id="rId14"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5" w:history="1">
        <w:proofErr w:type="spellStart"/>
        <w:r w:rsidRPr="00B712F8">
          <w:rPr>
            <w:rStyle w:val="Hypertextovodkaz"/>
            <w:rFonts w:asciiTheme="minorHAnsi" w:hAnsiTheme="minorHAnsi" w:cstheme="minorHAnsi"/>
            <w:color w:val="auto"/>
            <w:sz w:val="20"/>
            <w:szCs w:val="20"/>
          </w:rPr>
          <w:t>LinkedI</w:t>
        </w:r>
      </w:hyperlink>
      <w:r w:rsidRPr="00B712F8">
        <w:rPr>
          <w:rStyle w:val="Hypertextovodkaz"/>
          <w:rFonts w:asciiTheme="minorHAnsi" w:hAnsiTheme="minorHAnsi" w:cstheme="minorHAnsi"/>
          <w:color w:val="auto"/>
          <w:sz w:val="20"/>
          <w:szCs w:val="20"/>
        </w:rPr>
        <w:t>N</w:t>
      </w:r>
      <w:proofErr w:type="spellEnd"/>
      <w:r w:rsidR="005C5A6E">
        <w:rPr>
          <w:rStyle w:val="dn"/>
          <w:rFonts w:asciiTheme="minorHAnsi" w:hAnsiTheme="minorHAnsi" w:cstheme="minorHAnsi"/>
          <w:sz w:val="20"/>
          <w:szCs w:val="20"/>
        </w:rPr>
        <w:t xml:space="preserve"> OK POINTŮ.</w:t>
      </w:r>
      <w:r w:rsidRPr="00B712F8">
        <w:rPr>
          <w:rStyle w:val="dn"/>
          <w:rFonts w:asciiTheme="minorHAnsi" w:hAnsiTheme="minorHAnsi" w:cstheme="minorHAnsi"/>
          <w:sz w:val="20"/>
          <w:szCs w:val="20"/>
        </w:rPr>
        <w:t xml:space="preserve"> </w:t>
      </w:r>
      <w:r w:rsidRPr="00B712F8">
        <w:rPr>
          <w:rFonts w:asciiTheme="minorHAnsi" w:hAnsiTheme="minorHAnsi" w:cstheme="minorHAnsi"/>
          <w:sz w:val="20"/>
          <w:szCs w:val="20"/>
        </w:rPr>
        <w:t xml:space="preserve"> </w:t>
      </w:r>
    </w:p>
    <w:p w14:paraId="2598DC42" w14:textId="77777777" w:rsidR="00140DA4" w:rsidRPr="00303BCE" w:rsidRDefault="00140DA4" w:rsidP="00140DA4">
      <w:pPr>
        <w:pStyle w:val="Odstavecseseznamem"/>
        <w:spacing w:after="120"/>
        <w:ind w:left="720" w:firstLine="0"/>
        <w:jc w:val="center"/>
        <w:rPr>
          <w:rFonts w:asciiTheme="minorHAnsi" w:hAnsiTheme="minorHAnsi" w:cstheme="minorHAnsi"/>
          <w:b/>
          <w:sz w:val="30"/>
          <w:szCs w:val="30"/>
        </w:rPr>
      </w:pPr>
      <w:r w:rsidRPr="00303BCE">
        <w:rPr>
          <w:rFonts w:asciiTheme="minorHAnsi" w:hAnsiTheme="minorHAnsi" w:cstheme="minorHAnsi"/>
          <w:b/>
          <w:sz w:val="30"/>
          <w:szCs w:val="30"/>
        </w:rPr>
        <w:lastRenderedPageBreak/>
        <w:t>V listopadu vzrostla průměrná cena povinného ručení o 58 korun</w:t>
      </w:r>
    </w:p>
    <w:p w14:paraId="090735A7" w14:textId="5AFAED4A" w:rsidR="00303BCE" w:rsidRPr="00303BCE" w:rsidRDefault="00303BCE" w:rsidP="00303BCE">
      <w:pPr>
        <w:pStyle w:val="Odstavecseseznamem"/>
        <w:numPr>
          <w:ilvl w:val="0"/>
          <w:numId w:val="24"/>
        </w:numPr>
        <w:ind w:left="357" w:right="40" w:hanging="357"/>
        <w:rPr>
          <w:rFonts w:asciiTheme="minorHAnsi" w:hAnsiTheme="minorHAnsi" w:cstheme="minorHAnsi"/>
          <w:b/>
        </w:rPr>
      </w:pPr>
      <w:r w:rsidRPr="00303BCE">
        <w:rPr>
          <w:rFonts w:asciiTheme="minorHAnsi" w:hAnsiTheme="minorHAnsi" w:cstheme="minorHAnsi"/>
          <w:b/>
        </w:rPr>
        <w:t xml:space="preserve">Listopadový Broker Consulting </w:t>
      </w:r>
      <w:proofErr w:type="spellStart"/>
      <w:r w:rsidRPr="00303BCE">
        <w:rPr>
          <w:rFonts w:asciiTheme="minorHAnsi" w:hAnsiTheme="minorHAnsi" w:cstheme="minorHAnsi"/>
          <w:b/>
        </w:rPr>
        <w:t>POVIndex</w:t>
      </w:r>
      <w:proofErr w:type="spellEnd"/>
      <w:r w:rsidRPr="00303BCE">
        <w:rPr>
          <w:rFonts w:asciiTheme="minorHAnsi" w:hAnsiTheme="minorHAnsi" w:cstheme="minorHAnsi"/>
          <w:b/>
        </w:rPr>
        <w:t xml:space="preserve"> zaznamenal opět mírný nárůst. Tentokrát o 0,8 procenta. </w:t>
      </w:r>
    </w:p>
    <w:p w14:paraId="74A202DC" w14:textId="77777777" w:rsidR="00303BCE" w:rsidRPr="00303BCE" w:rsidRDefault="00303BCE" w:rsidP="00303BCE">
      <w:pPr>
        <w:pStyle w:val="Odstavecseseznamem"/>
        <w:numPr>
          <w:ilvl w:val="0"/>
          <w:numId w:val="24"/>
        </w:numPr>
        <w:ind w:left="357" w:right="40" w:hanging="357"/>
        <w:rPr>
          <w:rFonts w:asciiTheme="minorHAnsi" w:hAnsiTheme="minorHAnsi" w:cstheme="minorHAnsi"/>
          <w:b/>
        </w:rPr>
      </w:pPr>
      <w:r w:rsidRPr="00303BCE">
        <w:rPr>
          <w:rFonts w:asciiTheme="minorHAnsi" w:hAnsiTheme="minorHAnsi" w:cstheme="minorHAnsi"/>
          <w:b/>
        </w:rPr>
        <w:t xml:space="preserve">Celorepublikový průměr ceny povinného ručení vzrostl oproti říjnu o 58 korun na konečných 7023 Kč. </w:t>
      </w:r>
    </w:p>
    <w:p w14:paraId="06549ECC" w14:textId="77777777" w:rsidR="00303BCE" w:rsidRPr="002F2D65" w:rsidRDefault="00303BCE" w:rsidP="00303BCE">
      <w:pPr>
        <w:pStyle w:val="Odstavecseseznamem"/>
        <w:numPr>
          <w:ilvl w:val="0"/>
          <w:numId w:val="24"/>
        </w:numPr>
        <w:spacing w:after="120"/>
        <w:ind w:left="357" w:right="40" w:hanging="357"/>
        <w:rPr>
          <w:rFonts w:asciiTheme="minorHAnsi" w:hAnsiTheme="minorHAnsi" w:cstheme="minorHAnsi"/>
          <w:b/>
        </w:rPr>
      </w:pPr>
      <w:r w:rsidRPr="002F2D65">
        <w:rPr>
          <w:rFonts w:asciiTheme="minorHAnsi" w:hAnsiTheme="minorHAnsi" w:cstheme="minorHAnsi"/>
          <w:b/>
        </w:rPr>
        <w:t xml:space="preserve">Průměrná cena povinného ručení od počátku sledování Broker Consulting </w:t>
      </w:r>
      <w:proofErr w:type="spellStart"/>
      <w:r w:rsidRPr="002F2D65">
        <w:rPr>
          <w:rFonts w:asciiTheme="minorHAnsi" w:hAnsiTheme="minorHAnsi" w:cstheme="minorHAnsi"/>
          <w:b/>
        </w:rPr>
        <w:t>POVIndexu</w:t>
      </w:r>
      <w:proofErr w:type="spellEnd"/>
      <w:r w:rsidRPr="002F2D65">
        <w:rPr>
          <w:rFonts w:asciiTheme="minorHAnsi" w:hAnsiTheme="minorHAnsi" w:cstheme="minorHAnsi"/>
          <w:b/>
        </w:rPr>
        <w:t xml:space="preserve"> (08/2019) je 6 737 Kč. </w:t>
      </w:r>
    </w:p>
    <w:p w14:paraId="63EC8A1C" w14:textId="159F5B7E" w:rsidR="00B20F7B" w:rsidRPr="002F2D65" w:rsidRDefault="00825B44" w:rsidP="002F2D65">
      <w:pPr>
        <w:spacing w:after="120"/>
        <w:ind w:right="40"/>
        <w:rPr>
          <w:rFonts w:asciiTheme="minorHAnsi" w:hAnsiTheme="minorHAnsi" w:cstheme="minorHAnsi"/>
          <w:b/>
          <w:sz w:val="21"/>
          <w:szCs w:val="21"/>
        </w:rPr>
      </w:pPr>
      <w:r w:rsidRPr="002F2D65">
        <w:rPr>
          <w:rFonts w:asciiTheme="minorHAnsi" w:hAnsiTheme="minorHAnsi" w:cstheme="minorHAnsi"/>
          <w:i/>
          <w:sz w:val="21"/>
          <w:szCs w:val="21"/>
        </w:rPr>
        <w:t>Praha</w:t>
      </w:r>
      <w:r w:rsidR="00582562" w:rsidRPr="002F2D65">
        <w:rPr>
          <w:rFonts w:asciiTheme="minorHAnsi" w:hAnsiTheme="minorHAnsi" w:cstheme="minorHAnsi"/>
          <w:i/>
          <w:sz w:val="21"/>
          <w:szCs w:val="21"/>
        </w:rPr>
        <w:t>,</w:t>
      </w:r>
      <w:r w:rsidRPr="002F2D65">
        <w:rPr>
          <w:rFonts w:asciiTheme="minorHAnsi" w:hAnsiTheme="minorHAnsi" w:cstheme="minorHAnsi"/>
          <w:i/>
          <w:sz w:val="21"/>
          <w:szCs w:val="21"/>
        </w:rPr>
        <w:t xml:space="preserve"> </w:t>
      </w:r>
      <w:r w:rsidR="00DF5CAA">
        <w:rPr>
          <w:rFonts w:asciiTheme="minorHAnsi" w:hAnsiTheme="minorHAnsi" w:cstheme="minorHAnsi"/>
          <w:i/>
          <w:sz w:val="21"/>
          <w:szCs w:val="21"/>
        </w:rPr>
        <w:t>19</w:t>
      </w:r>
      <w:bookmarkStart w:id="0" w:name="_GoBack"/>
      <w:bookmarkEnd w:id="0"/>
      <w:r w:rsidR="00582562" w:rsidRPr="002F2D65">
        <w:rPr>
          <w:rFonts w:asciiTheme="minorHAnsi" w:hAnsiTheme="minorHAnsi" w:cstheme="minorHAnsi"/>
          <w:i/>
          <w:sz w:val="21"/>
          <w:szCs w:val="21"/>
        </w:rPr>
        <w:t>. prosince</w:t>
      </w:r>
      <w:r w:rsidR="00B20F7B" w:rsidRPr="002F2D65">
        <w:rPr>
          <w:rFonts w:asciiTheme="minorHAnsi" w:hAnsiTheme="minorHAnsi" w:cstheme="minorHAnsi"/>
          <w:i/>
          <w:sz w:val="21"/>
          <w:szCs w:val="21"/>
        </w:rPr>
        <w:t xml:space="preserve"> 2023</w:t>
      </w:r>
      <w:r w:rsidR="00B20F7B" w:rsidRPr="002F2D65">
        <w:rPr>
          <w:rFonts w:asciiTheme="minorHAnsi" w:hAnsiTheme="minorHAnsi" w:cstheme="minorHAnsi"/>
          <w:b/>
          <w:sz w:val="21"/>
          <w:szCs w:val="21"/>
        </w:rPr>
        <w:t xml:space="preserve"> – </w:t>
      </w:r>
      <w:r w:rsidR="002F2D65" w:rsidRPr="002F2D65">
        <w:rPr>
          <w:rFonts w:asciiTheme="minorHAnsi" w:hAnsiTheme="minorHAnsi" w:cstheme="minorHAnsi"/>
          <w:b/>
          <w:sz w:val="21"/>
          <w:szCs w:val="21"/>
        </w:rPr>
        <w:t xml:space="preserve">Monitorovaná hodnota Broker Consulting </w:t>
      </w:r>
      <w:proofErr w:type="spellStart"/>
      <w:r w:rsidR="002F2D65" w:rsidRPr="002F2D65">
        <w:rPr>
          <w:rFonts w:asciiTheme="minorHAnsi" w:hAnsiTheme="minorHAnsi" w:cstheme="minorHAnsi"/>
          <w:b/>
          <w:sz w:val="21"/>
          <w:szCs w:val="21"/>
        </w:rPr>
        <w:t>POVIndexu</w:t>
      </w:r>
      <w:proofErr w:type="spellEnd"/>
      <w:r w:rsidR="002F2D65" w:rsidRPr="002F2D65">
        <w:rPr>
          <w:rFonts w:asciiTheme="minorHAnsi" w:hAnsiTheme="minorHAnsi" w:cstheme="minorHAnsi"/>
          <w:b/>
          <w:sz w:val="21"/>
          <w:szCs w:val="21"/>
        </w:rPr>
        <w:t xml:space="preserve"> za listopad stoupla o necelé jedno procento.  Oproti předchozímu měsíci vzrostla průměrná cena povinného ručení v České republice o 58 korun na konečných 7 023 korun. Trend velmi pozvolného růstu tedy i nadále pokračuje. Při porovnání listopadových celorepublikových hodnot z předchozích let je patrné, že nejvíce Češi za povinné ručení platili v listopadu 2019, poté průměrná cena klesala až do roku 2021. Od té doby opět pozvolna roste. Stejný průběh vývoje průměrných cen povinného ručení můžeme pozorovat také v Praze, v menších městech je ale situace mírně odlišná. Co je ale pro všechny řidiče od počátku listopadu stejné, je povinnost použít na silnicích zimní pneumatiky v zákonem stanovených případech.</w:t>
      </w:r>
    </w:p>
    <w:p w14:paraId="682C88DA" w14:textId="77777777" w:rsidR="002F2D65" w:rsidRPr="002F2D65" w:rsidRDefault="002F2D65" w:rsidP="002F2D65">
      <w:pPr>
        <w:spacing w:after="120"/>
        <w:ind w:right="130"/>
        <w:rPr>
          <w:rFonts w:asciiTheme="minorHAnsi" w:hAnsiTheme="minorHAnsi" w:cstheme="minorHAnsi"/>
          <w:sz w:val="21"/>
          <w:szCs w:val="21"/>
        </w:rPr>
      </w:pPr>
      <w:r w:rsidRPr="002F2D65">
        <w:rPr>
          <w:rFonts w:asciiTheme="minorHAnsi" w:hAnsiTheme="minorHAnsi" w:cstheme="minorHAnsi"/>
          <w:sz w:val="21"/>
          <w:szCs w:val="21"/>
        </w:rPr>
        <w:t xml:space="preserve">Broker Consulting </w:t>
      </w:r>
      <w:proofErr w:type="spellStart"/>
      <w:r w:rsidRPr="002F2D65">
        <w:rPr>
          <w:rFonts w:asciiTheme="minorHAnsi" w:hAnsiTheme="minorHAnsi" w:cstheme="minorHAnsi"/>
          <w:sz w:val="21"/>
          <w:szCs w:val="21"/>
        </w:rPr>
        <w:t>POVIndex</w:t>
      </w:r>
      <w:proofErr w:type="spellEnd"/>
      <w:r w:rsidRPr="002F2D65">
        <w:rPr>
          <w:rFonts w:asciiTheme="minorHAnsi" w:hAnsiTheme="minorHAnsi" w:cstheme="minorHAnsi"/>
          <w:sz w:val="21"/>
          <w:szCs w:val="21"/>
        </w:rPr>
        <w:t xml:space="preserve"> zaznamenal v listopadu 2023 opět mírný nárůst. </w:t>
      </w:r>
      <w:r w:rsidRPr="002F2D65">
        <w:rPr>
          <w:rFonts w:asciiTheme="minorHAnsi" w:hAnsiTheme="minorHAnsi" w:cstheme="minorHAnsi"/>
          <w:i/>
          <w:iCs/>
          <w:sz w:val="21"/>
          <w:szCs w:val="21"/>
        </w:rPr>
        <w:t>„V listopadu došlo oproti minulému měsíci k navýšení hodnoty o necelé jedno procento. Konkrétně mluvíme o hodnotě 58 korun, což odpovídá nárůstu zhruba 0,8 procenta,“</w:t>
      </w:r>
      <w:r w:rsidRPr="002F2D65">
        <w:rPr>
          <w:rFonts w:asciiTheme="minorHAnsi" w:hAnsiTheme="minorHAnsi" w:cstheme="minorHAnsi"/>
          <w:sz w:val="21"/>
          <w:szCs w:val="21"/>
        </w:rPr>
        <w:t xml:space="preserve"> komentuje situaci </w:t>
      </w:r>
      <w:r w:rsidRPr="002F2D65">
        <w:rPr>
          <w:rFonts w:asciiTheme="minorHAnsi" w:hAnsiTheme="minorHAnsi" w:cstheme="minorHAnsi"/>
          <w:b/>
          <w:bCs/>
          <w:sz w:val="21"/>
          <w:szCs w:val="21"/>
        </w:rPr>
        <w:t>hlavní analytik společnosti Broker Consulting Martin Novák</w:t>
      </w:r>
      <w:r w:rsidRPr="002F2D65">
        <w:rPr>
          <w:rFonts w:asciiTheme="minorHAnsi" w:hAnsiTheme="minorHAnsi" w:cstheme="minorHAnsi"/>
          <w:sz w:val="21"/>
          <w:szCs w:val="21"/>
        </w:rPr>
        <w:t xml:space="preserve">. </w:t>
      </w:r>
    </w:p>
    <w:p w14:paraId="0F8AF594" w14:textId="77777777" w:rsidR="002F2D65" w:rsidRPr="002F2D65" w:rsidRDefault="002F2D65" w:rsidP="002F2D65">
      <w:pPr>
        <w:spacing w:after="120"/>
        <w:ind w:right="130"/>
        <w:rPr>
          <w:rFonts w:asciiTheme="minorHAnsi" w:hAnsiTheme="minorHAnsi" w:cstheme="minorHAnsi"/>
          <w:sz w:val="21"/>
          <w:szCs w:val="21"/>
        </w:rPr>
      </w:pPr>
      <w:r w:rsidRPr="002F2D65">
        <w:rPr>
          <w:rFonts w:asciiTheme="minorHAnsi" w:hAnsiTheme="minorHAnsi" w:cstheme="minorHAnsi"/>
          <w:sz w:val="21"/>
          <w:szCs w:val="21"/>
        </w:rPr>
        <w:t xml:space="preserve">Meziroční srovnání všech listopadových hodnot Broker Consulting </w:t>
      </w:r>
      <w:proofErr w:type="spellStart"/>
      <w:r w:rsidRPr="002F2D65">
        <w:rPr>
          <w:rFonts w:asciiTheme="minorHAnsi" w:hAnsiTheme="minorHAnsi" w:cstheme="minorHAnsi"/>
          <w:sz w:val="21"/>
          <w:szCs w:val="21"/>
        </w:rPr>
        <w:t>POVIndexu</w:t>
      </w:r>
      <w:proofErr w:type="spellEnd"/>
      <w:r w:rsidRPr="002F2D65">
        <w:rPr>
          <w:rFonts w:asciiTheme="minorHAnsi" w:hAnsiTheme="minorHAnsi" w:cstheme="minorHAnsi"/>
          <w:sz w:val="21"/>
          <w:szCs w:val="21"/>
        </w:rPr>
        <w:t xml:space="preserve"> od počátku měření ukazuje, že zatím nejvyšší hodnotou byla hned ta vstupní z listopadu 2019 (7 523 korun). Hranici sedmi tisíc ještě pokořila i hodnota letošní (7 023 korun). Další pozici zaujímá listopad 2022 s hodnotou 6 725 korun.  Listopad roku 2020 se svou částkou 6 681 korun je následován rokem 2021, kdy Češi za povinné ručení platili průměrně 6 417 korun. Průměr za celé monitorování </w:t>
      </w:r>
      <w:proofErr w:type="spellStart"/>
      <w:r w:rsidRPr="002F2D65">
        <w:rPr>
          <w:rFonts w:asciiTheme="minorHAnsi" w:hAnsiTheme="minorHAnsi" w:cstheme="minorHAnsi"/>
          <w:sz w:val="21"/>
          <w:szCs w:val="21"/>
        </w:rPr>
        <w:t>POVIndexu</w:t>
      </w:r>
      <w:proofErr w:type="spellEnd"/>
      <w:r w:rsidRPr="002F2D65">
        <w:rPr>
          <w:rFonts w:asciiTheme="minorHAnsi" w:hAnsiTheme="minorHAnsi" w:cstheme="minorHAnsi"/>
          <w:sz w:val="21"/>
          <w:szCs w:val="21"/>
        </w:rPr>
        <w:t xml:space="preserve"> je 6 744,40 korun.</w:t>
      </w:r>
    </w:p>
    <w:p w14:paraId="60FBF532" w14:textId="77777777" w:rsidR="002F2D65" w:rsidRPr="002F2D65" w:rsidRDefault="002F2D65" w:rsidP="002F2D65">
      <w:pPr>
        <w:spacing w:after="120"/>
        <w:ind w:right="130"/>
        <w:rPr>
          <w:rFonts w:asciiTheme="minorHAnsi" w:hAnsiTheme="minorHAnsi" w:cstheme="minorHAnsi"/>
          <w:b/>
          <w:bCs/>
          <w:sz w:val="21"/>
          <w:szCs w:val="21"/>
        </w:rPr>
      </w:pPr>
      <w:r w:rsidRPr="002F2D65">
        <w:rPr>
          <w:rFonts w:asciiTheme="minorHAnsi" w:hAnsiTheme="minorHAnsi" w:cstheme="minorHAnsi"/>
          <w:b/>
          <w:bCs/>
          <w:sz w:val="21"/>
          <w:szCs w:val="21"/>
        </w:rPr>
        <w:t xml:space="preserve">BOX: Listopadové hodnoty Broker Consulting </w:t>
      </w:r>
      <w:proofErr w:type="spellStart"/>
      <w:r w:rsidRPr="002F2D65">
        <w:rPr>
          <w:rFonts w:asciiTheme="minorHAnsi" w:hAnsiTheme="minorHAnsi" w:cstheme="minorHAnsi"/>
          <w:b/>
          <w:bCs/>
          <w:sz w:val="21"/>
          <w:szCs w:val="21"/>
        </w:rPr>
        <w:t>POVIndexu</w:t>
      </w:r>
      <w:proofErr w:type="spellEnd"/>
    </w:p>
    <w:tbl>
      <w:tblPr>
        <w:tblStyle w:val="Mkatabulky"/>
        <w:tblW w:w="0" w:type="auto"/>
        <w:tblLook w:val="04A0" w:firstRow="1" w:lastRow="0" w:firstColumn="1" w:lastColumn="0" w:noHBand="0" w:noVBand="1"/>
      </w:tblPr>
      <w:tblGrid>
        <w:gridCol w:w="2689"/>
        <w:gridCol w:w="2268"/>
      </w:tblGrid>
      <w:tr w:rsidR="002F2D65" w:rsidRPr="002F2D65" w14:paraId="275E5A1D" w14:textId="77777777" w:rsidTr="00EA52C0">
        <w:tc>
          <w:tcPr>
            <w:tcW w:w="2689" w:type="dxa"/>
          </w:tcPr>
          <w:p w14:paraId="3CFA757A" w14:textId="77777777" w:rsidR="002F2D65" w:rsidRPr="002F2D65" w:rsidRDefault="002F2D65" w:rsidP="00EA52C0">
            <w:pPr>
              <w:spacing w:after="120"/>
              <w:ind w:right="130"/>
              <w:jc w:val="center"/>
              <w:rPr>
                <w:rFonts w:asciiTheme="minorHAnsi" w:hAnsiTheme="minorHAnsi" w:cstheme="minorHAnsi"/>
                <w:b/>
                <w:bCs/>
                <w:sz w:val="21"/>
                <w:szCs w:val="21"/>
              </w:rPr>
            </w:pPr>
            <w:r w:rsidRPr="002F2D65">
              <w:rPr>
                <w:rFonts w:asciiTheme="minorHAnsi" w:hAnsiTheme="minorHAnsi" w:cstheme="minorHAnsi"/>
                <w:b/>
                <w:bCs/>
                <w:sz w:val="21"/>
                <w:szCs w:val="21"/>
              </w:rPr>
              <w:t>Rok</w:t>
            </w:r>
          </w:p>
        </w:tc>
        <w:tc>
          <w:tcPr>
            <w:tcW w:w="2268" w:type="dxa"/>
          </w:tcPr>
          <w:p w14:paraId="6F799BE4" w14:textId="77777777" w:rsidR="002F2D65" w:rsidRPr="002F2D65" w:rsidRDefault="002F2D65" w:rsidP="00EA52C0">
            <w:pPr>
              <w:spacing w:after="120"/>
              <w:ind w:right="130"/>
              <w:jc w:val="center"/>
              <w:rPr>
                <w:rFonts w:asciiTheme="minorHAnsi" w:hAnsiTheme="minorHAnsi" w:cstheme="minorHAnsi"/>
                <w:b/>
                <w:bCs/>
                <w:sz w:val="21"/>
                <w:szCs w:val="21"/>
              </w:rPr>
            </w:pPr>
            <w:r w:rsidRPr="002F2D65">
              <w:rPr>
                <w:rFonts w:asciiTheme="minorHAnsi" w:hAnsiTheme="minorHAnsi" w:cstheme="minorHAnsi"/>
                <w:b/>
                <w:bCs/>
                <w:sz w:val="21"/>
                <w:szCs w:val="21"/>
              </w:rPr>
              <w:t>Hodnota POV Indexu</w:t>
            </w:r>
          </w:p>
        </w:tc>
      </w:tr>
      <w:tr w:rsidR="002F2D65" w:rsidRPr="002F2D65" w14:paraId="503CD145" w14:textId="77777777" w:rsidTr="00EA52C0">
        <w:tc>
          <w:tcPr>
            <w:tcW w:w="2689" w:type="dxa"/>
          </w:tcPr>
          <w:p w14:paraId="69B3CDBE" w14:textId="77777777" w:rsidR="002F2D65" w:rsidRPr="002F2D65" w:rsidRDefault="002F2D65" w:rsidP="00EA52C0">
            <w:pPr>
              <w:spacing w:after="120"/>
              <w:ind w:right="130"/>
              <w:jc w:val="center"/>
              <w:rPr>
                <w:rFonts w:asciiTheme="minorHAnsi" w:hAnsiTheme="minorHAnsi" w:cstheme="minorHAnsi"/>
                <w:sz w:val="21"/>
                <w:szCs w:val="21"/>
              </w:rPr>
            </w:pPr>
            <w:r w:rsidRPr="002F2D65">
              <w:rPr>
                <w:rFonts w:asciiTheme="minorHAnsi" w:hAnsiTheme="minorHAnsi" w:cstheme="minorHAnsi"/>
                <w:sz w:val="21"/>
                <w:szCs w:val="21"/>
              </w:rPr>
              <w:t>2021</w:t>
            </w:r>
          </w:p>
        </w:tc>
        <w:tc>
          <w:tcPr>
            <w:tcW w:w="2268" w:type="dxa"/>
          </w:tcPr>
          <w:p w14:paraId="31E8EF9B" w14:textId="77777777" w:rsidR="002F2D65" w:rsidRPr="002F2D65" w:rsidRDefault="002F2D65" w:rsidP="00EA52C0">
            <w:pPr>
              <w:spacing w:after="120"/>
              <w:ind w:right="130"/>
              <w:rPr>
                <w:rFonts w:asciiTheme="minorHAnsi" w:hAnsiTheme="minorHAnsi" w:cstheme="minorHAnsi"/>
                <w:sz w:val="21"/>
                <w:szCs w:val="21"/>
              </w:rPr>
            </w:pPr>
            <w:r w:rsidRPr="002F2D65">
              <w:rPr>
                <w:rFonts w:asciiTheme="minorHAnsi" w:hAnsiTheme="minorHAnsi" w:cstheme="minorHAnsi"/>
                <w:sz w:val="21"/>
                <w:szCs w:val="21"/>
              </w:rPr>
              <w:t>6 417 Kč</w:t>
            </w:r>
          </w:p>
        </w:tc>
      </w:tr>
      <w:tr w:rsidR="002F2D65" w:rsidRPr="002F2D65" w14:paraId="0539F423" w14:textId="77777777" w:rsidTr="00EA52C0">
        <w:tc>
          <w:tcPr>
            <w:tcW w:w="2689" w:type="dxa"/>
          </w:tcPr>
          <w:p w14:paraId="4835143D" w14:textId="77777777" w:rsidR="002F2D65" w:rsidRPr="002F2D65" w:rsidRDefault="002F2D65" w:rsidP="00EA52C0">
            <w:pPr>
              <w:spacing w:after="120"/>
              <w:ind w:right="130"/>
              <w:jc w:val="center"/>
              <w:rPr>
                <w:rFonts w:asciiTheme="minorHAnsi" w:hAnsiTheme="minorHAnsi" w:cstheme="minorHAnsi"/>
                <w:sz w:val="21"/>
                <w:szCs w:val="21"/>
              </w:rPr>
            </w:pPr>
            <w:r w:rsidRPr="002F2D65">
              <w:rPr>
                <w:rFonts w:asciiTheme="minorHAnsi" w:hAnsiTheme="minorHAnsi" w:cstheme="minorHAnsi"/>
                <w:sz w:val="21"/>
                <w:szCs w:val="21"/>
              </w:rPr>
              <w:t>2020</w:t>
            </w:r>
          </w:p>
        </w:tc>
        <w:tc>
          <w:tcPr>
            <w:tcW w:w="2268" w:type="dxa"/>
          </w:tcPr>
          <w:p w14:paraId="37564FA3" w14:textId="77777777" w:rsidR="002F2D65" w:rsidRPr="002F2D65" w:rsidRDefault="002F2D65" w:rsidP="00EA52C0">
            <w:pPr>
              <w:spacing w:after="120"/>
              <w:ind w:right="130"/>
              <w:rPr>
                <w:rFonts w:asciiTheme="minorHAnsi" w:hAnsiTheme="minorHAnsi" w:cstheme="minorHAnsi"/>
                <w:sz w:val="21"/>
                <w:szCs w:val="21"/>
              </w:rPr>
            </w:pPr>
            <w:r w:rsidRPr="002F2D65">
              <w:rPr>
                <w:rFonts w:asciiTheme="minorHAnsi" w:hAnsiTheme="minorHAnsi" w:cstheme="minorHAnsi"/>
                <w:sz w:val="21"/>
                <w:szCs w:val="21"/>
              </w:rPr>
              <w:t>6 681 Kč</w:t>
            </w:r>
          </w:p>
        </w:tc>
      </w:tr>
      <w:tr w:rsidR="002F2D65" w:rsidRPr="002F2D65" w14:paraId="78A74DDA" w14:textId="77777777" w:rsidTr="00EA52C0">
        <w:tc>
          <w:tcPr>
            <w:tcW w:w="2689" w:type="dxa"/>
          </w:tcPr>
          <w:p w14:paraId="1B57A6FA" w14:textId="77777777" w:rsidR="002F2D65" w:rsidRPr="002F2D65" w:rsidRDefault="002F2D65" w:rsidP="00EA52C0">
            <w:pPr>
              <w:spacing w:after="120"/>
              <w:ind w:right="130"/>
              <w:jc w:val="center"/>
              <w:rPr>
                <w:rFonts w:asciiTheme="minorHAnsi" w:hAnsiTheme="minorHAnsi" w:cstheme="minorHAnsi"/>
                <w:sz w:val="21"/>
                <w:szCs w:val="21"/>
              </w:rPr>
            </w:pPr>
            <w:r w:rsidRPr="002F2D65">
              <w:rPr>
                <w:rFonts w:asciiTheme="minorHAnsi" w:hAnsiTheme="minorHAnsi" w:cstheme="minorHAnsi"/>
                <w:sz w:val="21"/>
                <w:szCs w:val="21"/>
              </w:rPr>
              <w:t>2022</w:t>
            </w:r>
          </w:p>
        </w:tc>
        <w:tc>
          <w:tcPr>
            <w:tcW w:w="2268" w:type="dxa"/>
          </w:tcPr>
          <w:p w14:paraId="0CAD8A82" w14:textId="77777777" w:rsidR="002F2D65" w:rsidRPr="002F2D65" w:rsidRDefault="002F2D65" w:rsidP="00EA52C0">
            <w:pPr>
              <w:spacing w:after="120"/>
              <w:ind w:right="130"/>
              <w:rPr>
                <w:rFonts w:asciiTheme="minorHAnsi" w:hAnsiTheme="minorHAnsi" w:cstheme="minorHAnsi"/>
                <w:sz w:val="21"/>
                <w:szCs w:val="21"/>
              </w:rPr>
            </w:pPr>
            <w:r w:rsidRPr="002F2D65">
              <w:rPr>
                <w:rFonts w:asciiTheme="minorHAnsi" w:hAnsiTheme="minorHAnsi" w:cstheme="minorHAnsi"/>
                <w:sz w:val="21"/>
                <w:szCs w:val="21"/>
              </w:rPr>
              <w:t>6 725Kč</w:t>
            </w:r>
          </w:p>
        </w:tc>
      </w:tr>
      <w:tr w:rsidR="002F2D65" w:rsidRPr="002F2D65" w14:paraId="5F868769" w14:textId="77777777" w:rsidTr="00EA52C0">
        <w:tc>
          <w:tcPr>
            <w:tcW w:w="2689" w:type="dxa"/>
          </w:tcPr>
          <w:p w14:paraId="45629FFA" w14:textId="77777777" w:rsidR="002F2D65" w:rsidRPr="002F2D65" w:rsidRDefault="002F2D65" w:rsidP="00EA52C0">
            <w:pPr>
              <w:spacing w:after="120"/>
              <w:ind w:right="130"/>
              <w:jc w:val="center"/>
              <w:rPr>
                <w:rFonts w:asciiTheme="minorHAnsi" w:hAnsiTheme="minorHAnsi" w:cstheme="minorHAnsi"/>
                <w:sz w:val="21"/>
                <w:szCs w:val="21"/>
              </w:rPr>
            </w:pPr>
            <w:r w:rsidRPr="002F2D65">
              <w:rPr>
                <w:rFonts w:asciiTheme="minorHAnsi" w:hAnsiTheme="minorHAnsi" w:cstheme="minorHAnsi"/>
                <w:sz w:val="21"/>
                <w:szCs w:val="21"/>
              </w:rPr>
              <w:t>2023</w:t>
            </w:r>
          </w:p>
        </w:tc>
        <w:tc>
          <w:tcPr>
            <w:tcW w:w="2268" w:type="dxa"/>
          </w:tcPr>
          <w:p w14:paraId="73A0165B" w14:textId="77777777" w:rsidR="002F2D65" w:rsidRPr="002F2D65" w:rsidRDefault="002F2D65" w:rsidP="00EA52C0">
            <w:pPr>
              <w:spacing w:after="120"/>
              <w:ind w:right="130"/>
              <w:rPr>
                <w:rFonts w:asciiTheme="minorHAnsi" w:hAnsiTheme="minorHAnsi" w:cstheme="minorHAnsi"/>
                <w:sz w:val="21"/>
                <w:szCs w:val="21"/>
              </w:rPr>
            </w:pPr>
            <w:r w:rsidRPr="002F2D65">
              <w:rPr>
                <w:rFonts w:asciiTheme="minorHAnsi" w:hAnsiTheme="minorHAnsi" w:cstheme="minorHAnsi"/>
                <w:sz w:val="21"/>
                <w:szCs w:val="21"/>
              </w:rPr>
              <w:t>7 023 Kč</w:t>
            </w:r>
          </w:p>
        </w:tc>
      </w:tr>
      <w:tr w:rsidR="002F2D65" w:rsidRPr="002F2D65" w14:paraId="5AB877BC" w14:textId="77777777" w:rsidTr="00EA52C0">
        <w:tc>
          <w:tcPr>
            <w:tcW w:w="2689" w:type="dxa"/>
          </w:tcPr>
          <w:p w14:paraId="4705A5C7" w14:textId="77777777" w:rsidR="002F2D65" w:rsidRPr="002F2D65" w:rsidRDefault="002F2D65" w:rsidP="00EA52C0">
            <w:pPr>
              <w:spacing w:after="120"/>
              <w:ind w:right="130"/>
              <w:jc w:val="center"/>
              <w:rPr>
                <w:rFonts w:asciiTheme="minorHAnsi" w:hAnsiTheme="minorHAnsi" w:cstheme="minorHAnsi"/>
                <w:sz w:val="21"/>
                <w:szCs w:val="21"/>
              </w:rPr>
            </w:pPr>
            <w:r w:rsidRPr="002F2D65">
              <w:rPr>
                <w:rFonts w:asciiTheme="minorHAnsi" w:hAnsiTheme="minorHAnsi" w:cstheme="minorHAnsi"/>
                <w:sz w:val="21"/>
                <w:szCs w:val="21"/>
              </w:rPr>
              <w:t>2019</w:t>
            </w:r>
          </w:p>
        </w:tc>
        <w:tc>
          <w:tcPr>
            <w:tcW w:w="2268" w:type="dxa"/>
          </w:tcPr>
          <w:p w14:paraId="3EB5ACF1" w14:textId="77777777" w:rsidR="002F2D65" w:rsidRPr="002F2D65" w:rsidRDefault="002F2D65" w:rsidP="00EA52C0">
            <w:pPr>
              <w:spacing w:after="120"/>
              <w:ind w:right="130"/>
              <w:rPr>
                <w:rFonts w:asciiTheme="minorHAnsi" w:hAnsiTheme="minorHAnsi" w:cstheme="minorHAnsi"/>
                <w:sz w:val="21"/>
                <w:szCs w:val="21"/>
              </w:rPr>
            </w:pPr>
            <w:r w:rsidRPr="002F2D65">
              <w:rPr>
                <w:rFonts w:asciiTheme="minorHAnsi" w:hAnsiTheme="minorHAnsi" w:cstheme="minorHAnsi"/>
                <w:sz w:val="21"/>
                <w:szCs w:val="21"/>
              </w:rPr>
              <w:t>7 523 Kč</w:t>
            </w:r>
          </w:p>
        </w:tc>
      </w:tr>
      <w:tr w:rsidR="002F2D65" w:rsidRPr="002F2D65" w14:paraId="40A3C864" w14:textId="77777777" w:rsidTr="00EA52C0">
        <w:tc>
          <w:tcPr>
            <w:tcW w:w="2689" w:type="dxa"/>
          </w:tcPr>
          <w:p w14:paraId="71D64D7F" w14:textId="77777777" w:rsidR="002F2D65" w:rsidRPr="002F2D65" w:rsidRDefault="002F2D65" w:rsidP="00EA52C0">
            <w:pPr>
              <w:spacing w:after="120"/>
              <w:ind w:right="130"/>
              <w:jc w:val="center"/>
              <w:rPr>
                <w:rFonts w:asciiTheme="minorHAnsi" w:hAnsiTheme="minorHAnsi" w:cstheme="minorHAnsi"/>
                <w:sz w:val="21"/>
                <w:szCs w:val="21"/>
              </w:rPr>
            </w:pPr>
            <w:r w:rsidRPr="002F2D65">
              <w:rPr>
                <w:rFonts w:asciiTheme="minorHAnsi" w:hAnsiTheme="minorHAnsi" w:cstheme="minorHAnsi"/>
                <w:sz w:val="21"/>
                <w:szCs w:val="21"/>
              </w:rPr>
              <w:t>Průměr za celé sledování</w:t>
            </w:r>
          </w:p>
        </w:tc>
        <w:tc>
          <w:tcPr>
            <w:tcW w:w="2268" w:type="dxa"/>
          </w:tcPr>
          <w:p w14:paraId="4567F80C" w14:textId="77777777" w:rsidR="002F2D65" w:rsidRPr="002F2D65" w:rsidRDefault="002F2D65" w:rsidP="00EA52C0">
            <w:pPr>
              <w:spacing w:after="120"/>
              <w:ind w:right="130"/>
              <w:rPr>
                <w:rFonts w:asciiTheme="minorHAnsi" w:hAnsiTheme="minorHAnsi" w:cstheme="minorHAnsi"/>
                <w:sz w:val="21"/>
                <w:szCs w:val="21"/>
              </w:rPr>
            </w:pPr>
            <w:r w:rsidRPr="002F2D65">
              <w:rPr>
                <w:rFonts w:asciiTheme="minorHAnsi" w:hAnsiTheme="minorHAnsi" w:cstheme="minorHAnsi"/>
                <w:sz w:val="21"/>
                <w:szCs w:val="21"/>
              </w:rPr>
              <w:t>6 744,40 Kč</w:t>
            </w:r>
          </w:p>
        </w:tc>
      </w:tr>
    </w:tbl>
    <w:p w14:paraId="47EE3F30" w14:textId="77777777" w:rsidR="00B20F7B" w:rsidRPr="00293046" w:rsidRDefault="00B20F7B" w:rsidP="00B20F7B">
      <w:pPr>
        <w:spacing w:after="120"/>
        <w:ind w:right="130"/>
        <w:rPr>
          <w:rFonts w:asciiTheme="minorHAnsi" w:hAnsiTheme="minorHAnsi" w:cstheme="minorHAnsi"/>
          <w:color w:val="4F81BD" w:themeColor="accent1"/>
          <w:sz w:val="21"/>
          <w:szCs w:val="21"/>
        </w:rPr>
      </w:pPr>
      <w:r w:rsidRPr="00293046">
        <w:rPr>
          <w:rFonts w:asciiTheme="minorHAnsi" w:hAnsiTheme="minorHAnsi" w:cstheme="minorHAnsi"/>
          <w:color w:val="4F81BD" w:themeColor="accent1"/>
          <w:sz w:val="21"/>
          <w:szCs w:val="21"/>
        </w:rPr>
        <w:t xml:space="preserve"> </w:t>
      </w:r>
    </w:p>
    <w:p w14:paraId="4EFC4705" w14:textId="77777777" w:rsidR="00A21AB7" w:rsidRPr="00A21AB7" w:rsidRDefault="00A21AB7" w:rsidP="00A21AB7">
      <w:pPr>
        <w:spacing w:after="120"/>
        <w:ind w:right="130"/>
        <w:rPr>
          <w:rFonts w:asciiTheme="minorHAnsi" w:hAnsiTheme="minorHAnsi" w:cstheme="minorHAnsi"/>
          <w:sz w:val="21"/>
          <w:szCs w:val="21"/>
        </w:rPr>
      </w:pPr>
      <w:r w:rsidRPr="00A21AB7">
        <w:rPr>
          <w:rFonts w:asciiTheme="minorHAnsi" w:hAnsiTheme="minorHAnsi" w:cstheme="minorHAnsi"/>
          <w:sz w:val="21"/>
          <w:szCs w:val="21"/>
        </w:rPr>
        <w:t xml:space="preserve">Stejný vývoj jako u celorepublikového </w:t>
      </w:r>
      <w:proofErr w:type="spellStart"/>
      <w:r w:rsidRPr="00A21AB7">
        <w:rPr>
          <w:rFonts w:asciiTheme="minorHAnsi" w:hAnsiTheme="minorHAnsi" w:cstheme="minorHAnsi"/>
          <w:sz w:val="21"/>
          <w:szCs w:val="21"/>
        </w:rPr>
        <w:t>POVIndexu</w:t>
      </w:r>
      <w:proofErr w:type="spellEnd"/>
      <w:r w:rsidRPr="00A21AB7">
        <w:rPr>
          <w:rFonts w:asciiTheme="minorHAnsi" w:hAnsiTheme="minorHAnsi" w:cstheme="minorHAnsi"/>
          <w:sz w:val="21"/>
          <w:szCs w:val="21"/>
        </w:rPr>
        <w:t xml:space="preserve"> můžeme vypozorovat také u povinného ručení v Praze. Drobné odchylky ale můžeme vypozorovat v menších městech jako je například Benešov u Prahy. </w:t>
      </w:r>
      <w:r w:rsidRPr="00A21AB7">
        <w:rPr>
          <w:rFonts w:asciiTheme="minorHAnsi" w:hAnsiTheme="minorHAnsi" w:cstheme="minorHAnsi"/>
          <w:i/>
          <w:iCs/>
          <w:sz w:val="21"/>
          <w:szCs w:val="21"/>
        </w:rPr>
        <w:t>„V roce 2019, tedy na startu měření byla průměrná cena povinného ručení v Praze 8 490 korun. Hodnoty letošního listopadu se dostaly na hranici 7 643 korun. V tom loňském to bylo 7 350 korun, potom následuje rok 2020 s průměrnou cenou 7 312 korun. Nejníže je na tom předloňský rok se svými 7 081 korunami,“</w:t>
      </w:r>
      <w:r w:rsidRPr="00A21AB7">
        <w:rPr>
          <w:rFonts w:asciiTheme="minorHAnsi" w:hAnsiTheme="minorHAnsi" w:cstheme="minorHAnsi"/>
          <w:sz w:val="21"/>
          <w:szCs w:val="21"/>
        </w:rPr>
        <w:t xml:space="preserve"> popisuje </w:t>
      </w:r>
      <w:r w:rsidRPr="00A21AB7">
        <w:rPr>
          <w:rFonts w:asciiTheme="minorHAnsi" w:hAnsiTheme="minorHAnsi" w:cstheme="minorHAnsi"/>
          <w:b/>
          <w:sz w:val="21"/>
          <w:szCs w:val="21"/>
        </w:rPr>
        <w:t>Jiří Váchal, analytik neživotního pojištění z </w:t>
      </w:r>
      <w:proofErr w:type="gramStart"/>
      <w:r w:rsidRPr="00A21AB7">
        <w:rPr>
          <w:rFonts w:asciiTheme="minorHAnsi" w:hAnsiTheme="minorHAnsi" w:cstheme="minorHAnsi"/>
          <w:b/>
          <w:sz w:val="21"/>
          <w:szCs w:val="21"/>
        </w:rPr>
        <w:t>Broker</w:t>
      </w:r>
      <w:proofErr w:type="gramEnd"/>
      <w:r w:rsidRPr="00A21AB7">
        <w:rPr>
          <w:rFonts w:asciiTheme="minorHAnsi" w:hAnsiTheme="minorHAnsi" w:cstheme="minorHAnsi"/>
          <w:b/>
          <w:sz w:val="21"/>
          <w:szCs w:val="21"/>
        </w:rPr>
        <w:t xml:space="preserve"> Consulting</w:t>
      </w:r>
      <w:r w:rsidRPr="00A21AB7">
        <w:rPr>
          <w:rFonts w:asciiTheme="minorHAnsi" w:hAnsiTheme="minorHAnsi" w:cstheme="minorHAnsi"/>
          <w:sz w:val="21"/>
          <w:szCs w:val="21"/>
        </w:rPr>
        <w:t xml:space="preserve">. Průměrná cena za celé monitorování je 7 497,80 korun. </w:t>
      </w:r>
    </w:p>
    <w:p w14:paraId="3F3D70CB" w14:textId="77777777" w:rsidR="00A21AB7" w:rsidRPr="00A21AB7" w:rsidRDefault="00A21AB7" w:rsidP="00A21AB7">
      <w:pPr>
        <w:spacing w:after="120"/>
        <w:ind w:right="130"/>
        <w:rPr>
          <w:rFonts w:asciiTheme="minorHAnsi" w:hAnsiTheme="minorHAnsi" w:cstheme="minorHAnsi"/>
          <w:sz w:val="21"/>
          <w:szCs w:val="21"/>
        </w:rPr>
      </w:pPr>
      <w:r w:rsidRPr="00A21AB7">
        <w:rPr>
          <w:rFonts w:asciiTheme="minorHAnsi" w:hAnsiTheme="minorHAnsi" w:cstheme="minorHAnsi"/>
          <w:sz w:val="21"/>
          <w:szCs w:val="21"/>
        </w:rPr>
        <w:t xml:space="preserve">V Benešově u Prahy byla nejvyšší hodnota průměrných cen povinného ručení také na startu měření v roce 2019, a to 6 556 korun. Průměr za celé sledování je 5 984,10 korun. Nad tuto hodnotu se dostalo ještě letošní měření s částkou 6 404 korun. Loňská hodnota povinného ručení se zastavila na 5 909 korunách a hodnota za listopad 2021 pak na 5 700 korunách. </w:t>
      </w:r>
    </w:p>
    <w:p w14:paraId="3AE58FDB" w14:textId="1D094BDE" w:rsidR="00C129F0" w:rsidRDefault="00720F68" w:rsidP="00B20F7B">
      <w:pPr>
        <w:spacing w:after="120"/>
        <w:ind w:right="130"/>
        <w:rPr>
          <w:rFonts w:asciiTheme="minorHAnsi" w:hAnsiTheme="minorHAnsi" w:cstheme="minorHAnsi"/>
          <w:b/>
          <w:i/>
          <w:noProof/>
          <w:color w:val="FF0000"/>
          <w:sz w:val="21"/>
          <w:szCs w:val="21"/>
          <w:lang w:bidi="ar-SA"/>
        </w:rPr>
      </w:pPr>
      <w:r>
        <w:rPr>
          <w:rFonts w:asciiTheme="minorHAnsi" w:hAnsiTheme="minorHAnsi" w:cstheme="minorHAnsi"/>
          <w:b/>
          <w:i/>
          <w:noProof/>
          <w:color w:val="FF0000"/>
          <w:sz w:val="21"/>
          <w:szCs w:val="21"/>
          <w:lang w:bidi="ar-SA"/>
        </w:rPr>
        <w:lastRenderedPageBreak/>
        <w:drawing>
          <wp:inline distT="0" distB="0" distL="0" distR="0" wp14:anchorId="08B04045" wp14:editId="1C89C04D">
            <wp:extent cx="6654165" cy="302768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 BC POVIndex - listopad 2023.jpg"/>
                    <pic:cNvPicPr/>
                  </pic:nvPicPr>
                  <pic:blipFill>
                    <a:blip r:embed="rId16">
                      <a:extLst>
                        <a:ext uri="{28A0092B-C50C-407E-A947-70E740481C1C}">
                          <a14:useLocalDpi xmlns:a14="http://schemas.microsoft.com/office/drawing/2010/main" val="0"/>
                        </a:ext>
                      </a:extLst>
                    </a:blip>
                    <a:stretch>
                      <a:fillRect/>
                    </a:stretch>
                  </pic:blipFill>
                  <pic:spPr>
                    <a:xfrm>
                      <a:off x="0" y="0"/>
                      <a:ext cx="6654165" cy="3027680"/>
                    </a:xfrm>
                    <a:prstGeom prst="rect">
                      <a:avLst/>
                    </a:prstGeom>
                  </pic:spPr>
                </pic:pic>
              </a:graphicData>
            </a:graphic>
          </wp:inline>
        </w:drawing>
      </w:r>
    </w:p>
    <w:p w14:paraId="22800F54" w14:textId="77777777" w:rsidR="002F2D65" w:rsidRPr="002F2D65" w:rsidRDefault="002F2D65" w:rsidP="00720F68">
      <w:pPr>
        <w:spacing w:before="240" w:after="120"/>
        <w:ind w:right="130"/>
        <w:rPr>
          <w:rFonts w:asciiTheme="minorHAnsi" w:hAnsiTheme="minorHAnsi" w:cstheme="minorHAnsi"/>
          <w:b/>
          <w:bCs/>
          <w:sz w:val="21"/>
          <w:szCs w:val="21"/>
        </w:rPr>
      </w:pPr>
      <w:r w:rsidRPr="002F2D65">
        <w:rPr>
          <w:rFonts w:asciiTheme="minorHAnsi" w:hAnsiTheme="minorHAnsi" w:cstheme="minorHAnsi"/>
          <w:b/>
          <w:bCs/>
          <w:sz w:val="21"/>
          <w:szCs w:val="21"/>
        </w:rPr>
        <w:t>Příprava auta na zimu je základ</w:t>
      </w:r>
    </w:p>
    <w:p w14:paraId="25D8D951" w14:textId="6865D42A" w:rsidR="002F2D65" w:rsidRPr="002F2D65" w:rsidRDefault="002F2D65" w:rsidP="002F2D65">
      <w:pPr>
        <w:spacing w:after="120"/>
        <w:ind w:right="130"/>
        <w:rPr>
          <w:rFonts w:asciiTheme="minorHAnsi" w:hAnsiTheme="minorHAnsi" w:cstheme="minorHAnsi"/>
          <w:sz w:val="21"/>
          <w:szCs w:val="21"/>
        </w:rPr>
      </w:pPr>
      <w:r w:rsidRPr="002F2D65">
        <w:rPr>
          <w:rFonts w:asciiTheme="minorHAnsi" w:hAnsiTheme="minorHAnsi" w:cstheme="minorHAnsi"/>
          <w:sz w:val="21"/>
          <w:szCs w:val="21"/>
        </w:rPr>
        <w:t xml:space="preserve">V listopadu začíná pro řidiče platit povinnost mít tzv. přezuto. </w:t>
      </w:r>
      <w:r w:rsidRPr="002F2D65">
        <w:rPr>
          <w:rFonts w:asciiTheme="minorHAnsi" w:hAnsiTheme="minorHAnsi" w:cstheme="minorHAnsi"/>
          <w:i/>
          <w:iCs/>
          <w:sz w:val="21"/>
          <w:szCs w:val="21"/>
        </w:rPr>
        <w:t>„Podle zákona o provozu na pozemních komunikacích, konkrétně v §40a zákona 361/2000 Sb. nastává od 1. listopadu řidičům povinnost použít na silnicích zimní pneumatiky.  A to v případě, kdy se na vozovce nachází souvislá vrstva sněhu, led nebo námraza. Zákon také upozorňuje na možnost, ke které tato povinnost může nastat vzhledem k počasí a povětrnostním podmínkám,“</w:t>
      </w:r>
      <w:r w:rsidRPr="002F2D65">
        <w:rPr>
          <w:rFonts w:asciiTheme="minorHAnsi" w:hAnsiTheme="minorHAnsi" w:cstheme="minorHAnsi"/>
          <w:sz w:val="21"/>
          <w:szCs w:val="21"/>
        </w:rPr>
        <w:t xml:space="preserve"> upozorňuje </w:t>
      </w:r>
      <w:r w:rsidR="00B47AFD" w:rsidRPr="00FA255B">
        <w:rPr>
          <w:rFonts w:asciiTheme="minorHAnsi" w:hAnsiTheme="minorHAnsi" w:cstheme="minorHAnsi"/>
          <w:b/>
          <w:sz w:val="21"/>
          <w:szCs w:val="21"/>
        </w:rPr>
        <w:t xml:space="preserve">Jiří </w:t>
      </w:r>
      <w:r w:rsidRPr="002F2D65">
        <w:rPr>
          <w:rFonts w:asciiTheme="minorHAnsi" w:hAnsiTheme="minorHAnsi" w:cstheme="minorHAnsi"/>
          <w:b/>
          <w:bCs/>
          <w:sz w:val="21"/>
          <w:szCs w:val="21"/>
        </w:rPr>
        <w:t>Váchal</w:t>
      </w:r>
      <w:r w:rsidRPr="002F2D65">
        <w:rPr>
          <w:rFonts w:asciiTheme="minorHAnsi" w:hAnsiTheme="minorHAnsi" w:cstheme="minorHAnsi"/>
          <w:sz w:val="21"/>
          <w:szCs w:val="21"/>
        </w:rPr>
        <w:t xml:space="preserve">. Zimní obutí ale rozhodně není to jediné, co by měli řidiči před zimou u svých vozidel zkontrolovat. Přípravu rozhodně není dobré podceňovat. Kompletní zimní auto výbava totiž pomůže toto období pohodlně a bezpečně přečkat. </w:t>
      </w:r>
    </w:p>
    <w:p w14:paraId="0B15BD10" w14:textId="77777777" w:rsidR="002F2D65" w:rsidRPr="002F2D65" w:rsidRDefault="002F2D65" w:rsidP="002F2D65">
      <w:pPr>
        <w:spacing w:after="120"/>
        <w:ind w:right="130"/>
        <w:rPr>
          <w:rFonts w:asciiTheme="minorHAnsi" w:hAnsiTheme="minorHAnsi" w:cstheme="minorHAnsi"/>
          <w:sz w:val="21"/>
          <w:szCs w:val="21"/>
        </w:rPr>
      </w:pPr>
      <w:r w:rsidRPr="002F2D65">
        <w:rPr>
          <w:rFonts w:asciiTheme="minorHAnsi" w:hAnsiTheme="minorHAnsi" w:cstheme="minorHAnsi"/>
          <w:sz w:val="21"/>
          <w:szCs w:val="21"/>
        </w:rPr>
        <w:t xml:space="preserve">BOX: Jak připravit auto na zimu? </w:t>
      </w:r>
    </w:p>
    <w:p w14:paraId="5C02D0F9" w14:textId="77777777" w:rsidR="002F2D65" w:rsidRPr="002F2D65" w:rsidRDefault="002F2D65" w:rsidP="002F2D65">
      <w:pPr>
        <w:pStyle w:val="Odstavecseseznamem"/>
        <w:numPr>
          <w:ilvl w:val="0"/>
          <w:numId w:val="26"/>
        </w:numPr>
        <w:spacing w:after="120"/>
        <w:ind w:right="130"/>
        <w:rPr>
          <w:rFonts w:asciiTheme="minorHAnsi" w:hAnsiTheme="minorHAnsi" w:cstheme="minorHAnsi"/>
          <w:sz w:val="21"/>
          <w:szCs w:val="21"/>
        </w:rPr>
      </w:pPr>
      <w:r w:rsidRPr="002F2D65">
        <w:rPr>
          <w:rFonts w:asciiTheme="minorHAnsi" w:hAnsiTheme="minorHAnsi" w:cstheme="minorHAnsi"/>
          <w:sz w:val="21"/>
          <w:szCs w:val="21"/>
        </w:rPr>
        <w:t>zimní pneumatiky v dobrém stavu jsou základ</w:t>
      </w:r>
    </w:p>
    <w:p w14:paraId="7317C934" w14:textId="77777777" w:rsidR="002F2D65" w:rsidRPr="002F2D65" w:rsidRDefault="002F2D65" w:rsidP="002F2D65">
      <w:pPr>
        <w:pStyle w:val="Odstavecseseznamem"/>
        <w:numPr>
          <w:ilvl w:val="0"/>
          <w:numId w:val="26"/>
        </w:numPr>
        <w:spacing w:after="120"/>
        <w:ind w:right="130"/>
        <w:rPr>
          <w:rFonts w:asciiTheme="minorHAnsi" w:hAnsiTheme="minorHAnsi" w:cstheme="minorHAnsi"/>
          <w:sz w:val="21"/>
          <w:szCs w:val="21"/>
        </w:rPr>
      </w:pPr>
      <w:r w:rsidRPr="002F2D65">
        <w:rPr>
          <w:rFonts w:asciiTheme="minorHAnsi" w:hAnsiTheme="minorHAnsi" w:cstheme="minorHAnsi"/>
          <w:sz w:val="21"/>
          <w:szCs w:val="21"/>
        </w:rPr>
        <w:t xml:space="preserve">kontrola provozních kapalin a jejich doplnění </w:t>
      </w:r>
    </w:p>
    <w:p w14:paraId="728ECD8B" w14:textId="77777777" w:rsidR="002F2D65" w:rsidRPr="002F2D65" w:rsidRDefault="002F2D65" w:rsidP="002F2D65">
      <w:pPr>
        <w:pStyle w:val="Odstavecseseznamem"/>
        <w:numPr>
          <w:ilvl w:val="0"/>
          <w:numId w:val="26"/>
        </w:numPr>
        <w:spacing w:after="120"/>
        <w:ind w:right="130"/>
        <w:rPr>
          <w:rFonts w:asciiTheme="minorHAnsi" w:hAnsiTheme="minorHAnsi" w:cstheme="minorHAnsi"/>
          <w:sz w:val="21"/>
          <w:szCs w:val="21"/>
        </w:rPr>
      </w:pPr>
      <w:r w:rsidRPr="002F2D65">
        <w:rPr>
          <w:rFonts w:asciiTheme="minorHAnsi" w:hAnsiTheme="minorHAnsi" w:cstheme="minorHAnsi"/>
          <w:sz w:val="21"/>
          <w:szCs w:val="21"/>
        </w:rPr>
        <w:t>kontrola baterie</w:t>
      </w:r>
    </w:p>
    <w:p w14:paraId="6B703EDC" w14:textId="77777777" w:rsidR="002F2D65" w:rsidRPr="002F2D65" w:rsidRDefault="002F2D65" w:rsidP="002F2D65">
      <w:pPr>
        <w:pStyle w:val="Odstavecseseznamem"/>
        <w:numPr>
          <w:ilvl w:val="0"/>
          <w:numId w:val="26"/>
        </w:numPr>
        <w:spacing w:after="120"/>
        <w:ind w:right="130"/>
        <w:rPr>
          <w:rFonts w:asciiTheme="minorHAnsi" w:hAnsiTheme="minorHAnsi" w:cstheme="minorHAnsi"/>
          <w:sz w:val="21"/>
          <w:szCs w:val="21"/>
        </w:rPr>
      </w:pPr>
      <w:r w:rsidRPr="002F2D65">
        <w:rPr>
          <w:rFonts w:asciiTheme="minorHAnsi" w:hAnsiTheme="minorHAnsi" w:cstheme="minorHAnsi"/>
          <w:sz w:val="21"/>
          <w:szCs w:val="21"/>
        </w:rPr>
        <w:t xml:space="preserve">kontrola světel </w:t>
      </w:r>
    </w:p>
    <w:p w14:paraId="4C287761" w14:textId="77777777" w:rsidR="002F2D65" w:rsidRPr="002F2D65" w:rsidRDefault="002F2D65" w:rsidP="002F2D65">
      <w:pPr>
        <w:pStyle w:val="Odstavecseseznamem"/>
        <w:numPr>
          <w:ilvl w:val="0"/>
          <w:numId w:val="26"/>
        </w:numPr>
        <w:spacing w:after="120"/>
        <w:ind w:right="130"/>
        <w:rPr>
          <w:rFonts w:asciiTheme="minorHAnsi" w:hAnsiTheme="minorHAnsi" w:cstheme="minorHAnsi"/>
          <w:sz w:val="21"/>
          <w:szCs w:val="21"/>
        </w:rPr>
      </w:pPr>
      <w:r w:rsidRPr="002F2D65">
        <w:rPr>
          <w:rFonts w:asciiTheme="minorHAnsi" w:hAnsiTheme="minorHAnsi" w:cstheme="minorHAnsi"/>
          <w:sz w:val="21"/>
          <w:szCs w:val="21"/>
        </w:rPr>
        <w:t>kontrola stěračů</w:t>
      </w:r>
    </w:p>
    <w:p w14:paraId="4778AF03" w14:textId="77777777" w:rsidR="002F2D65" w:rsidRPr="002F2D65" w:rsidRDefault="002F2D65" w:rsidP="002F2D65">
      <w:pPr>
        <w:pStyle w:val="Odstavecseseznamem"/>
        <w:numPr>
          <w:ilvl w:val="0"/>
          <w:numId w:val="26"/>
        </w:numPr>
        <w:spacing w:after="120"/>
        <w:ind w:right="130"/>
        <w:rPr>
          <w:rFonts w:asciiTheme="minorHAnsi" w:hAnsiTheme="minorHAnsi" w:cstheme="minorHAnsi"/>
          <w:sz w:val="21"/>
          <w:szCs w:val="21"/>
        </w:rPr>
      </w:pPr>
      <w:r w:rsidRPr="002F2D65">
        <w:rPr>
          <w:rFonts w:asciiTheme="minorHAnsi" w:hAnsiTheme="minorHAnsi" w:cstheme="minorHAnsi"/>
          <w:sz w:val="21"/>
          <w:szCs w:val="21"/>
        </w:rPr>
        <w:t xml:space="preserve">zimní výbava do auta: rozmrazovač zámků, sněhové řetězy, škrabka na led apod. </w:t>
      </w:r>
    </w:p>
    <w:p w14:paraId="7BDED9B5" w14:textId="77777777" w:rsidR="002F2D65" w:rsidRPr="002F2D65" w:rsidRDefault="002F2D65" w:rsidP="002F2D65">
      <w:pPr>
        <w:pStyle w:val="Odstavecseseznamem"/>
        <w:numPr>
          <w:ilvl w:val="0"/>
          <w:numId w:val="26"/>
        </w:numPr>
        <w:spacing w:after="120"/>
        <w:ind w:right="130"/>
        <w:rPr>
          <w:rFonts w:asciiTheme="minorHAnsi" w:hAnsiTheme="minorHAnsi" w:cstheme="minorHAnsi"/>
          <w:sz w:val="21"/>
          <w:szCs w:val="21"/>
        </w:rPr>
      </w:pPr>
      <w:r w:rsidRPr="002F2D65">
        <w:rPr>
          <w:rFonts w:asciiTheme="minorHAnsi" w:hAnsiTheme="minorHAnsi" w:cstheme="minorHAnsi"/>
          <w:sz w:val="21"/>
          <w:szCs w:val="21"/>
        </w:rPr>
        <w:t>kvalitní pojištění vozidla</w:t>
      </w:r>
    </w:p>
    <w:p w14:paraId="706EE1A7" w14:textId="7B71207F" w:rsidR="00FA255B" w:rsidRDefault="002F2D65" w:rsidP="00FA255B">
      <w:pPr>
        <w:spacing w:before="120" w:after="120"/>
        <w:ind w:right="130"/>
        <w:rPr>
          <w:rFonts w:asciiTheme="minorHAnsi" w:hAnsiTheme="minorHAnsi" w:cstheme="minorHAnsi"/>
          <w:sz w:val="21"/>
          <w:szCs w:val="21"/>
        </w:rPr>
      </w:pPr>
      <w:r w:rsidRPr="002F2D65">
        <w:rPr>
          <w:rFonts w:asciiTheme="minorHAnsi" w:hAnsiTheme="minorHAnsi" w:cstheme="minorHAnsi"/>
          <w:sz w:val="21"/>
          <w:szCs w:val="21"/>
        </w:rPr>
        <w:t>Vedle fyzické kontroly vozidla, kontroly stavu pneumatik a doplnění všech provozních kapalin i nezbytné zimní výbavy jako jsou sněhové řetězy, škrabka na led či smetáček je nutné myslet také na situace, které nemá nikdo rád. Tedy na různé nehody a nebezpečí, které mohou nastat třeba i z důvodu zhoršených podmínek v zimním období. Vyřešit nejeden problém může kvalitní pojištění vozidla. K povinnému ručení pojišťovny nabízí připojištění při krytí rizik spojených se živelným nebezpečím jako je například krupobití, vichřice, pád stromu, bouřka, zřícení lavin, povodeň či požár.</w:t>
      </w:r>
    </w:p>
    <w:p w14:paraId="3DF892C3" w14:textId="77777777" w:rsidR="00FA255B" w:rsidRPr="002F2D65" w:rsidRDefault="00FA255B" w:rsidP="00FA255B">
      <w:pPr>
        <w:spacing w:before="120"/>
        <w:ind w:right="130"/>
        <w:rPr>
          <w:rFonts w:asciiTheme="minorHAnsi" w:hAnsiTheme="minorHAnsi" w:cstheme="minorHAnsi"/>
          <w:sz w:val="21"/>
          <w:szCs w:val="21"/>
        </w:rPr>
      </w:pPr>
    </w:p>
    <w:p w14:paraId="4E7F8CBF" w14:textId="77777777" w:rsidR="00B20F7B" w:rsidRPr="00AD79CC" w:rsidRDefault="00B20F7B" w:rsidP="00B20F7B">
      <w:pPr>
        <w:pBdr>
          <w:top w:val="single" w:sz="4" w:space="1" w:color="auto"/>
        </w:pBdr>
        <w:spacing w:before="120"/>
        <w:rPr>
          <w:rFonts w:asciiTheme="minorHAnsi" w:hAnsiTheme="minorHAnsi" w:cstheme="minorHAnsi"/>
          <w:color w:val="000000" w:themeColor="text1"/>
          <w:sz w:val="21"/>
          <w:szCs w:val="21"/>
        </w:rPr>
      </w:pP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byl poprvé spuštěn v srpnu roku 2019. Od svého počátku sleduje vývoj nákladů na povinné ručení pro řidiče bez historie, ať už se jedná o nového řidiče, nebo o řidiče, který donedávna užíval služební vozidlo. Broker Consulting </w:t>
      </w: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w:t>
      </w:r>
      <w:r w:rsidRPr="00AD79CC">
        <w:rPr>
          <w:rFonts w:asciiTheme="minorHAnsi" w:hAnsiTheme="minorHAnsi" w:cstheme="minorHAnsi"/>
          <w:color w:val="000000" w:themeColor="text1"/>
          <w:sz w:val="21"/>
          <w:szCs w:val="21"/>
        </w:rPr>
        <w:lastRenderedPageBreak/>
        <w:t xml:space="preserve">je počítán odlišnou metodikou, než jako používá ČKP. Pro vizualizaci je zvolena značka vozu Škoda Octavia 1,6 TDI, 85 kW. </w:t>
      </w: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AD79CC">
        <w:rPr>
          <w:rFonts w:asciiTheme="minorHAnsi" w:hAnsiTheme="minorHAnsi" w:cstheme="minorHAnsi"/>
          <w:color w:val="000000" w:themeColor="text1"/>
          <w:sz w:val="21"/>
          <w:szCs w:val="21"/>
        </w:rPr>
        <w:t>POVIndexu</w:t>
      </w:r>
      <w:proofErr w:type="spellEnd"/>
      <w:r w:rsidRPr="00AD79CC">
        <w:rPr>
          <w:rFonts w:asciiTheme="minorHAnsi" w:hAnsiTheme="minorHAnsi" w:cstheme="minorHAnsi"/>
          <w:color w:val="000000" w:themeColor="text1"/>
          <w:sz w:val="21"/>
          <w:szCs w:val="21"/>
        </w:rPr>
        <w:t xml:space="preserve">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t xml:space="preserve">Broker Consulting </w:t>
      </w:r>
      <w:proofErr w:type="spellStart"/>
      <w:r w:rsidRPr="00AD79CC">
        <w:rPr>
          <w:rFonts w:asciiTheme="minorHAnsi" w:hAnsiTheme="minorHAnsi" w:cstheme="minorHAnsi"/>
          <w:b/>
          <w:sz w:val="21"/>
          <w:szCs w:val="21"/>
        </w:rPr>
        <w:t>POVIndex</w:t>
      </w:r>
      <w:proofErr w:type="spellEnd"/>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w:t>
      </w:r>
      <w:proofErr w:type="spellStart"/>
      <w:r w:rsidRPr="00AD79CC">
        <w:rPr>
          <w:rFonts w:asciiTheme="minorHAnsi" w:hAnsiTheme="minorHAnsi" w:cstheme="minorHAnsi"/>
          <w:sz w:val="21"/>
          <w:szCs w:val="21"/>
        </w:rPr>
        <w:t>POVIndex</w:t>
      </w:r>
      <w:proofErr w:type="spellEnd"/>
      <w:r w:rsidRPr="00AD79CC">
        <w:rPr>
          <w:rFonts w:asciiTheme="minorHAnsi" w:hAnsiTheme="minorHAnsi" w:cstheme="minorHAnsi"/>
          <w:sz w:val="21"/>
          <w:szCs w:val="21"/>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AD79CC">
        <w:rPr>
          <w:rFonts w:asciiTheme="minorHAnsi" w:hAnsiTheme="minorHAnsi" w:cstheme="minorHAnsi"/>
          <w:sz w:val="21"/>
          <w:szCs w:val="21"/>
        </w:rPr>
        <w:t>POVIndexu</w:t>
      </w:r>
      <w:proofErr w:type="spellEnd"/>
      <w:r w:rsidRPr="00AD79CC">
        <w:rPr>
          <w:rFonts w:asciiTheme="minorHAnsi" w:hAnsiTheme="minorHAnsi" w:cstheme="minorHAnsi"/>
          <w:sz w:val="21"/>
          <w:szCs w:val="21"/>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7D8BE6BA" w:rsidR="00DE7CE1" w:rsidRPr="00AD79CC" w:rsidRDefault="00236B96" w:rsidP="00DE7CE1">
      <w:pPr>
        <w:pStyle w:val="Bezmezer"/>
        <w:rPr>
          <w:rFonts w:eastAsia="F015TEELig" w:cstheme="minorHAnsi"/>
          <w:sz w:val="21"/>
          <w:szCs w:val="21"/>
        </w:rPr>
      </w:pPr>
      <w:r w:rsidRPr="00AD79CC">
        <w:rPr>
          <w:rFonts w:eastAsia="F015TEELig" w:cstheme="minorHAnsi"/>
          <w:sz w:val="21"/>
          <w:szCs w:val="21"/>
        </w:rPr>
        <w:t>Michaela Sahulová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63340AFC" w:rsidR="004C7BB5" w:rsidRPr="00AD79CC" w:rsidRDefault="00236B96" w:rsidP="00A1017F">
      <w:pPr>
        <w:pStyle w:val="Bezmezer"/>
        <w:rPr>
          <w:rFonts w:eastAsia="F015TEELig" w:cstheme="minorHAnsi"/>
          <w:sz w:val="21"/>
          <w:szCs w:val="21"/>
        </w:rPr>
      </w:pPr>
      <w:r w:rsidRPr="00AD79CC">
        <w:rPr>
          <w:rFonts w:eastAsia="F015TEELig" w:cstheme="minorHAnsi"/>
          <w:sz w:val="21"/>
          <w:szCs w:val="21"/>
        </w:rPr>
        <w:t>Mobil: +420 731 538</w:t>
      </w:r>
      <w:r w:rsidR="005B3E4A" w:rsidRPr="00AD79CC">
        <w:rPr>
          <w:rFonts w:eastAsia="F015TEELig" w:cstheme="minorHAnsi"/>
          <w:sz w:val="21"/>
          <w:szCs w:val="21"/>
        </w:rPr>
        <w:t> </w:t>
      </w:r>
      <w:r w:rsidRPr="00AD79CC">
        <w:rPr>
          <w:rFonts w:eastAsia="F015TEELig" w:cstheme="minorHAnsi"/>
          <w:sz w:val="21"/>
          <w:szCs w:val="21"/>
        </w:rPr>
        <w:t>373</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7" w:history="1">
        <w:r w:rsidR="005B3DDD" w:rsidRPr="00AD79CC">
          <w:rPr>
            <w:rStyle w:val="Hypertextovodkaz"/>
            <w:rFonts w:eastAsia="Calibri" w:cstheme="minorHAnsi"/>
            <w:noProof/>
            <w:sz w:val="21"/>
            <w:szCs w:val="21"/>
          </w:rPr>
          <w:t>michaela.sahulova@bcas.cz</w:t>
        </w:r>
      </w:hyperlink>
    </w:p>
    <w:sectPr w:rsidR="004C7BB5" w:rsidRPr="00AD79CC" w:rsidSect="006B54C7">
      <w:headerReference w:type="default" r:id="rId18"/>
      <w:footerReference w:type="default" r:id="rId19"/>
      <w:headerReference w:type="first" r:id="rId20"/>
      <w:footerReference w:type="first" r:id="rId21"/>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F6699" w14:textId="77777777" w:rsidR="00C74B21" w:rsidRDefault="00C74B21">
      <w:r>
        <w:separator/>
      </w:r>
    </w:p>
  </w:endnote>
  <w:endnote w:type="continuationSeparator" w:id="0">
    <w:p w14:paraId="4AEC9094" w14:textId="77777777" w:rsidR="00C74B21" w:rsidRDefault="00C74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5AE4C745"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DF5CAA">
          <w:rPr>
            <w:rFonts w:asciiTheme="minorHAnsi" w:hAnsiTheme="minorHAnsi" w:cstheme="minorHAnsi"/>
            <w:noProof/>
            <w:sz w:val="20"/>
            <w:szCs w:val="20"/>
          </w:rPr>
          <w:t>4</w:t>
        </w:r>
        <w:r w:rsidRPr="006B54C7">
          <w:rPr>
            <w:rFonts w:asciiTheme="minorHAnsi" w:hAnsiTheme="minorHAnsi" w:cstheme="minorHAnsi"/>
            <w:sz w:val="20"/>
            <w:szCs w:val="20"/>
          </w:rPr>
          <w:fldChar w:fldCharType="end"/>
        </w:r>
        <w:r w:rsidRPr="006B54C7">
          <w:rPr>
            <w:rFonts w:asciiTheme="minorHAnsi" w:hAnsiTheme="minorHAnsi" w:cstheme="minorHAnsi"/>
            <w:sz w:val="20"/>
            <w:szCs w:val="20"/>
          </w:rPr>
          <w:t>/3</w:t>
        </w:r>
      </w:p>
      <w:p w14:paraId="5AF2E761" w14:textId="77777777" w:rsidR="006B54C7" w:rsidRDefault="006B54C7">
        <w:pPr>
          <w:pStyle w:val="Zpat"/>
          <w:jc w:val="center"/>
        </w:pPr>
      </w:p>
      <w:p w14:paraId="21AECC00" w14:textId="52E0DABD" w:rsidR="006B54C7" w:rsidRDefault="00C74B21">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E8695" w14:textId="77777777" w:rsidR="00C74B21" w:rsidRDefault="00C74B21">
      <w:r>
        <w:separator/>
      </w:r>
    </w:p>
  </w:footnote>
  <w:footnote w:type="continuationSeparator" w:id="0">
    <w:p w14:paraId="22B09975" w14:textId="77777777" w:rsidR="00C74B21" w:rsidRDefault="00C74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4"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5"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
  </w:num>
  <w:num w:numId="3">
    <w:abstractNumId w:val="20"/>
  </w:num>
  <w:num w:numId="4">
    <w:abstractNumId w:val="5"/>
  </w:num>
  <w:num w:numId="5">
    <w:abstractNumId w:val="0"/>
  </w:num>
  <w:num w:numId="6">
    <w:abstractNumId w:val="22"/>
  </w:num>
  <w:num w:numId="7">
    <w:abstractNumId w:val="12"/>
  </w:num>
  <w:num w:numId="8">
    <w:abstractNumId w:val="11"/>
  </w:num>
  <w:num w:numId="9">
    <w:abstractNumId w:val="8"/>
  </w:num>
  <w:num w:numId="10">
    <w:abstractNumId w:val="10"/>
  </w:num>
  <w:num w:numId="11">
    <w:abstractNumId w:val="6"/>
  </w:num>
  <w:num w:numId="12">
    <w:abstractNumId w:val="3"/>
  </w:num>
  <w:num w:numId="13">
    <w:abstractNumId w:val="16"/>
  </w:num>
  <w:num w:numId="14">
    <w:abstractNumId w:val="25"/>
  </w:num>
  <w:num w:numId="15">
    <w:abstractNumId w:val="1"/>
  </w:num>
  <w:num w:numId="16">
    <w:abstractNumId w:val="14"/>
  </w:num>
  <w:num w:numId="17">
    <w:abstractNumId w:val="4"/>
  </w:num>
  <w:num w:numId="18">
    <w:abstractNumId w:val="9"/>
  </w:num>
  <w:num w:numId="19">
    <w:abstractNumId w:val="19"/>
  </w:num>
  <w:num w:numId="20">
    <w:abstractNumId w:val="24"/>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3"/>
    <w:lvlOverride w:ilvl="0"/>
    <w:lvlOverride w:ilvl="1">
      <w:startOverride w:val="4"/>
    </w:lvlOverride>
    <w:lvlOverride w:ilvl="2"/>
    <w:lvlOverride w:ilvl="3"/>
    <w:lvlOverride w:ilvl="4"/>
    <w:lvlOverride w:ilvl="5"/>
    <w:lvlOverride w:ilvl="6"/>
    <w:lvlOverride w:ilvl="7"/>
    <w:lvlOverride w:ilvl="8"/>
  </w:num>
  <w:num w:numId="24">
    <w:abstractNumId w:val="21"/>
  </w:num>
  <w:num w:numId="25">
    <w:abstractNumId w:val="1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BB7"/>
    <w:rsid w:val="00056ECA"/>
    <w:rsid w:val="00062E18"/>
    <w:rsid w:val="00066A72"/>
    <w:rsid w:val="00067BA6"/>
    <w:rsid w:val="000705A5"/>
    <w:rsid w:val="00070D3C"/>
    <w:rsid w:val="0007198D"/>
    <w:rsid w:val="0007340D"/>
    <w:rsid w:val="00073462"/>
    <w:rsid w:val="00076845"/>
    <w:rsid w:val="00076C44"/>
    <w:rsid w:val="00077CC7"/>
    <w:rsid w:val="0008656E"/>
    <w:rsid w:val="000866C0"/>
    <w:rsid w:val="00086F8F"/>
    <w:rsid w:val="00087124"/>
    <w:rsid w:val="00087D87"/>
    <w:rsid w:val="00090C9C"/>
    <w:rsid w:val="00090F2A"/>
    <w:rsid w:val="00091509"/>
    <w:rsid w:val="00094F77"/>
    <w:rsid w:val="00096AE4"/>
    <w:rsid w:val="000A06EA"/>
    <w:rsid w:val="000A170E"/>
    <w:rsid w:val="000A51D0"/>
    <w:rsid w:val="000A6FB0"/>
    <w:rsid w:val="000A77CE"/>
    <w:rsid w:val="000B6053"/>
    <w:rsid w:val="000C1AB4"/>
    <w:rsid w:val="000C32B0"/>
    <w:rsid w:val="000C351D"/>
    <w:rsid w:val="000C38CB"/>
    <w:rsid w:val="000C3C4C"/>
    <w:rsid w:val="000C4DDE"/>
    <w:rsid w:val="000C53D6"/>
    <w:rsid w:val="000C5B38"/>
    <w:rsid w:val="000C7119"/>
    <w:rsid w:val="000C74BD"/>
    <w:rsid w:val="000C7FAE"/>
    <w:rsid w:val="000D11FB"/>
    <w:rsid w:val="000D133F"/>
    <w:rsid w:val="000D2044"/>
    <w:rsid w:val="000D2DDE"/>
    <w:rsid w:val="000D333C"/>
    <w:rsid w:val="000D6870"/>
    <w:rsid w:val="000E21D2"/>
    <w:rsid w:val="000E286C"/>
    <w:rsid w:val="000E36C6"/>
    <w:rsid w:val="000E4DDD"/>
    <w:rsid w:val="000F040D"/>
    <w:rsid w:val="000F1935"/>
    <w:rsid w:val="000F47AE"/>
    <w:rsid w:val="000F56EF"/>
    <w:rsid w:val="000F6249"/>
    <w:rsid w:val="00100869"/>
    <w:rsid w:val="00100CE7"/>
    <w:rsid w:val="0010426A"/>
    <w:rsid w:val="00104FCB"/>
    <w:rsid w:val="00106651"/>
    <w:rsid w:val="00107E00"/>
    <w:rsid w:val="00107E36"/>
    <w:rsid w:val="00112F65"/>
    <w:rsid w:val="00114392"/>
    <w:rsid w:val="00114D2B"/>
    <w:rsid w:val="00114D66"/>
    <w:rsid w:val="00114E09"/>
    <w:rsid w:val="00115CF8"/>
    <w:rsid w:val="00116173"/>
    <w:rsid w:val="00116A29"/>
    <w:rsid w:val="00117988"/>
    <w:rsid w:val="0012132F"/>
    <w:rsid w:val="0012713E"/>
    <w:rsid w:val="0013044E"/>
    <w:rsid w:val="00131F7B"/>
    <w:rsid w:val="00133BFD"/>
    <w:rsid w:val="0013512D"/>
    <w:rsid w:val="00136D21"/>
    <w:rsid w:val="00137003"/>
    <w:rsid w:val="00137E3C"/>
    <w:rsid w:val="00140DA4"/>
    <w:rsid w:val="00141303"/>
    <w:rsid w:val="001434CE"/>
    <w:rsid w:val="0014388A"/>
    <w:rsid w:val="001449CB"/>
    <w:rsid w:val="00146956"/>
    <w:rsid w:val="00150500"/>
    <w:rsid w:val="00152185"/>
    <w:rsid w:val="00152EDC"/>
    <w:rsid w:val="00153161"/>
    <w:rsid w:val="00155667"/>
    <w:rsid w:val="00160060"/>
    <w:rsid w:val="001603AF"/>
    <w:rsid w:val="00164219"/>
    <w:rsid w:val="001722EA"/>
    <w:rsid w:val="00173C9F"/>
    <w:rsid w:val="00174394"/>
    <w:rsid w:val="00176EF9"/>
    <w:rsid w:val="0017797E"/>
    <w:rsid w:val="00177E6B"/>
    <w:rsid w:val="0018139F"/>
    <w:rsid w:val="00181E9B"/>
    <w:rsid w:val="001844F8"/>
    <w:rsid w:val="0018541B"/>
    <w:rsid w:val="00186E95"/>
    <w:rsid w:val="00190C04"/>
    <w:rsid w:val="00193B5D"/>
    <w:rsid w:val="00194628"/>
    <w:rsid w:val="00194A47"/>
    <w:rsid w:val="00197408"/>
    <w:rsid w:val="00197AF4"/>
    <w:rsid w:val="00197DE5"/>
    <w:rsid w:val="001A210B"/>
    <w:rsid w:val="001A4DDB"/>
    <w:rsid w:val="001A54DD"/>
    <w:rsid w:val="001B195D"/>
    <w:rsid w:val="001B1C05"/>
    <w:rsid w:val="001B4EE4"/>
    <w:rsid w:val="001B5A35"/>
    <w:rsid w:val="001B5D34"/>
    <w:rsid w:val="001B79AC"/>
    <w:rsid w:val="001C4A67"/>
    <w:rsid w:val="001C4C44"/>
    <w:rsid w:val="001D2EF2"/>
    <w:rsid w:val="001D3C90"/>
    <w:rsid w:val="001E1593"/>
    <w:rsid w:val="001E265F"/>
    <w:rsid w:val="001E2B55"/>
    <w:rsid w:val="001E2DCC"/>
    <w:rsid w:val="001E4C14"/>
    <w:rsid w:val="001E4D1C"/>
    <w:rsid w:val="001E68DE"/>
    <w:rsid w:val="001F27AC"/>
    <w:rsid w:val="001F4AE1"/>
    <w:rsid w:val="001F7F2E"/>
    <w:rsid w:val="00200F89"/>
    <w:rsid w:val="002018E9"/>
    <w:rsid w:val="00202BE8"/>
    <w:rsid w:val="002108A4"/>
    <w:rsid w:val="00211C5C"/>
    <w:rsid w:val="00214949"/>
    <w:rsid w:val="00214E98"/>
    <w:rsid w:val="00215EF1"/>
    <w:rsid w:val="00215FFE"/>
    <w:rsid w:val="002174D5"/>
    <w:rsid w:val="0022642E"/>
    <w:rsid w:val="002333DA"/>
    <w:rsid w:val="0023472C"/>
    <w:rsid w:val="00235828"/>
    <w:rsid w:val="002365F3"/>
    <w:rsid w:val="00236B96"/>
    <w:rsid w:val="00237068"/>
    <w:rsid w:val="00237B09"/>
    <w:rsid w:val="00237D4E"/>
    <w:rsid w:val="00240BAE"/>
    <w:rsid w:val="00241313"/>
    <w:rsid w:val="00242251"/>
    <w:rsid w:val="002506AD"/>
    <w:rsid w:val="0025264B"/>
    <w:rsid w:val="0025408A"/>
    <w:rsid w:val="00254F1F"/>
    <w:rsid w:val="002555B1"/>
    <w:rsid w:val="00255E96"/>
    <w:rsid w:val="00255FAB"/>
    <w:rsid w:val="00256498"/>
    <w:rsid w:val="002609B2"/>
    <w:rsid w:val="00261C33"/>
    <w:rsid w:val="00261EE7"/>
    <w:rsid w:val="002636B1"/>
    <w:rsid w:val="002665EC"/>
    <w:rsid w:val="00267A14"/>
    <w:rsid w:val="00267AB1"/>
    <w:rsid w:val="00267F28"/>
    <w:rsid w:val="00270DB3"/>
    <w:rsid w:val="00275325"/>
    <w:rsid w:val="002805D4"/>
    <w:rsid w:val="0028080D"/>
    <w:rsid w:val="002812A1"/>
    <w:rsid w:val="00281378"/>
    <w:rsid w:val="0028211A"/>
    <w:rsid w:val="002912BF"/>
    <w:rsid w:val="002928FF"/>
    <w:rsid w:val="00293046"/>
    <w:rsid w:val="0029552F"/>
    <w:rsid w:val="00295CB7"/>
    <w:rsid w:val="00295DB6"/>
    <w:rsid w:val="0029614B"/>
    <w:rsid w:val="002A2FB9"/>
    <w:rsid w:val="002A7348"/>
    <w:rsid w:val="002A7AE9"/>
    <w:rsid w:val="002A7DB8"/>
    <w:rsid w:val="002B053B"/>
    <w:rsid w:val="002B3EE0"/>
    <w:rsid w:val="002B5B4B"/>
    <w:rsid w:val="002B6A48"/>
    <w:rsid w:val="002C0392"/>
    <w:rsid w:val="002C635D"/>
    <w:rsid w:val="002D5492"/>
    <w:rsid w:val="002E2785"/>
    <w:rsid w:val="002E27C5"/>
    <w:rsid w:val="002E2F8E"/>
    <w:rsid w:val="002F0335"/>
    <w:rsid w:val="002F0C79"/>
    <w:rsid w:val="002F2D65"/>
    <w:rsid w:val="002F5A42"/>
    <w:rsid w:val="002F5A56"/>
    <w:rsid w:val="002F6814"/>
    <w:rsid w:val="002F68D1"/>
    <w:rsid w:val="00301660"/>
    <w:rsid w:val="00302AE6"/>
    <w:rsid w:val="00303223"/>
    <w:rsid w:val="00303BCE"/>
    <w:rsid w:val="00303C85"/>
    <w:rsid w:val="0030477F"/>
    <w:rsid w:val="00305EA9"/>
    <w:rsid w:val="00307CEB"/>
    <w:rsid w:val="00307D0F"/>
    <w:rsid w:val="00312311"/>
    <w:rsid w:val="003128F8"/>
    <w:rsid w:val="003203FF"/>
    <w:rsid w:val="0032274C"/>
    <w:rsid w:val="00322757"/>
    <w:rsid w:val="00322BE1"/>
    <w:rsid w:val="00325CD8"/>
    <w:rsid w:val="00326268"/>
    <w:rsid w:val="00330918"/>
    <w:rsid w:val="0033104C"/>
    <w:rsid w:val="003404F4"/>
    <w:rsid w:val="00341A59"/>
    <w:rsid w:val="003428A4"/>
    <w:rsid w:val="003450E1"/>
    <w:rsid w:val="003473B3"/>
    <w:rsid w:val="00347557"/>
    <w:rsid w:val="003504FD"/>
    <w:rsid w:val="00352433"/>
    <w:rsid w:val="0035286E"/>
    <w:rsid w:val="00352D61"/>
    <w:rsid w:val="00354DBF"/>
    <w:rsid w:val="00356FFC"/>
    <w:rsid w:val="00363124"/>
    <w:rsid w:val="00374B71"/>
    <w:rsid w:val="00375451"/>
    <w:rsid w:val="00375CF7"/>
    <w:rsid w:val="00381F5F"/>
    <w:rsid w:val="003830B5"/>
    <w:rsid w:val="003863F0"/>
    <w:rsid w:val="00390304"/>
    <w:rsid w:val="0039102F"/>
    <w:rsid w:val="0039395A"/>
    <w:rsid w:val="00395524"/>
    <w:rsid w:val="00397D4B"/>
    <w:rsid w:val="003A4180"/>
    <w:rsid w:val="003A55CE"/>
    <w:rsid w:val="003A76E8"/>
    <w:rsid w:val="003A7C59"/>
    <w:rsid w:val="003A7C9A"/>
    <w:rsid w:val="003B08AC"/>
    <w:rsid w:val="003B4B9E"/>
    <w:rsid w:val="003B54D9"/>
    <w:rsid w:val="003B7BFE"/>
    <w:rsid w:val="003C0030"/>
    <w:rsid w:val="003C4D4B"/>
    <w:rsid w:val="003D03A6"/>
    <w:rsid w:val="003D07A2"/>
    <w:rsid w:val="003D2590"/>
    <w:rsid w:val="003D2CAC"/>
    <w:rsid w:val="003D386F"/>
    <w:rsid w:val="003D43DB"/>
    <w:rsid w:val="003D4C73"/>
    <w:rsid w:val="003D556B"/>
    <w:rsid w:val="003D653E"/>
    <w:rsid w:val="003E2280"/>
    <w:rsid w:val="003E2ADC"/>
    <w:rsid w:val="003E5948"/>
    <w:rsid w:val="003E601E"/>
    <w:rsid w:val="003F38E5"/>
    <w:rsid w:val="003F73C3"/>
    <w:rsid w:val="00401210"/>
    <w:rsid w:val="00404CDA"/>
    <w:rsid w:val="00406B06"/>
    <w:rsid w:val="00410BF5"/>
    <w:rsid w:val="0041222E"/>
    <w:rsid w:val="0041224F"/>
    <w:rsid w:val="004130A2"/>
    <w:rsid w:val="0041452A"/>
    <w:rsid w:val="004151E6"/>
    <w:rsid w:val="00415BA7"/>
    <w:rsid w:val="00416F40"/>
    <w:rsid w:val="00417A8F"/>
    <w:rsid w:val="00417E36"/>
    <w:rsid w:val="00422B4E"/>
    <w:rsid w:val="0042312B"/>
    <w:rsid w:val="004237DE"/>
    <w:rsid w:val="00423B16"/>
    <w:rsid w:val="00423F48"/>
    <w:rsid w:val="0042625B"/>
    <w:rsid w:val="0043207C"/>
    <w:rsid w:val="0043263D"/>
    <w:rsid w:val="004336FA"/>
    <w:rsid w:val="004349B6"/>
    <w:rsid w:val="00436FD5"/>
    <w:rsid w:val="00437639"/>
    <w:rsid w:val="004407C2"/>
    <w:rsid w:val="004413A6"/>
    <w:rsid w:val="00441D22"/>
    <w:rsid w:val="00444BB9"/>
    <w:rsid w:val="00445D0A"/>
    <w:rsid w:val="00447E56"/>
    <w:rsid w:val="00453482"/>
    <w:rsid w:val="00453762"/>
    <w:rsid w:val="00453CFE"/>
    <w:rsid w:val="00457E45"/>
    <w:rsid w:val="00463570"/>
    <w:rsid w:val="00467207"/>
    <w:rsid w:val="0047109D"/>
    <w:rsid w:val="00472B53"/>
    <w:rsid w:val="00474E92"/>
    <w:rsid w:val="00476C23"/>
    <w:rsid w:val="004809C7"/>
    <w:rsid w:val="00483A48"/>
    <w:rsid w:val="0048779A"/>
    <w:rsid w:val="00493430"/>
    <w:rsid w:val="00495519"/>
    <w:rsid w:val="00496EFA"/>
    <w:rsid w:val="004A245D"/>
    <w:rsid w:val="004A2E7A"/>
    <w:rsid w:val="004A3A91"/>
    <w:rsid w:val="004A557B"/>
    <w:rsid w:val="004A7461"/>
    <w:rsid w:val="004B2B01"/>
    <w:rsid w:val="004B4992"/>
    <w:rsid w:val="004B6687"/>
    <w:rsid w:val="004B73DC"/>
    <w:rsid w:val="004C3C0D"/>
    <w:rsid w:val="004C4033"/>
    <w:rsid w:val="004C5298"/>
    <w:rsid w:val="004C5C61"/>
    <w:rsid w:val="004C6594"/>
    <w:rsid w:val="004C7507"/>
    <w:rsid w:val="004C798D"/>
    <w:rsid w:val="004C7BB5"/>
    <w:rsid w:val="004D4111"/>
    <w:rsid w:val="004D52BD"/>
    <w:rsid w:val="004D69FB"/>
    <w:rsid w:val="004E1108"/>
    <w:rsid w:val="004E207F"/>
    <w:rsid w:val="004E3877"/>
    <w:rsid w:val="004E4203"/>
    <w:rsid w:val="004E42A8"/>
    <w:rsid w:val="004F07BC"/>
    <w:rsid w:val="004F0D7B"/>
    <w:rsid w:val="004F0DC0"/>
    <w:rsid w:val="004F2548"/>
    <w:rsid w:val="004F43C7"/>
    <w:rsid w:val="004F5CC5"/>
    <w:rsid w:val="004F63FD"/>
    <w:rsid w:val="00500534"/>
    <w:rsid w:val="0050130C"/>
    <w:rsid w:val="005039B0"/>
    <w:rsid w:val="005058FE"/>
    <w:rsid w:val="00507696"/>
    <w:rsid w:val="005154F9"/>
    <w:rsid w:val="00515C68"/>
    <w:rsid w:val="00520EA0"/>
    <w:rsid w:val="00523BD9"/>
    <w:rsid w:val="00524E33"/>
    <w:rsid w:val="0052644E"/>
    <w:rsid w:val="0052748B"/>
    <w:rsid w:val="005336E7"/>
    <w:rsid w:val="00543BFB"/>
    <w:rsid w:val="00543F98"/>
    <w:rsid w:val="00544F68"/>
    <w:rsid w:val="00547816"/>
    <w:rsid w:val="00552CC5"/>
    <w:rsid w:val="005546DD"/>
    <w:rsid w:val="005613E9"/>
    <w:rsid w:val="00561757"/>
    <w:rsid w:val="00561997"/>
    <w:rsid w:val="00562CA8"/>
    <w:rsid w:val="00562DBA"/>
    <w:rsid w:val="00567402"/>
    <w:rsid w:val="005733BD"/>
    <w:rsid w:val="0057359A"/>
    <w:rsid w:val="00576552"/>
    <w:rsid w:val="005773EE"/>
    <w:rsid w:val="00580B4C"/>
    <w:rsid w:val="00580D50"/>
    <w:rsid w:val="00582562"/>
    <w:rsid w:val="00582565"/>
    <w:rsid w:val="005837F8"/>
    <w:rsid w:val="005853C3"/>
    <w:rsid w:val="00587549"/>
    <w:rsid w:val="00587B4C"/>
    <w:rsid w:val="0059081F"/>
    <w:rsid w:val="00592002"/>
    <w:rsid w:val="00592071"/>
    <w:rsid w:val="00595E44"/>
    <w:rsid w:val="00596E22"/>
    <w:rsid w:val="005973B7"/>
    <w:rsid w:val="00597E85"/>
    <w:rsid w:val="005A5F89"/>
    <w:rsid w:val="005A61D5"/>
    <w:rsid w:val="005A6E1C"/>
    <w:rsid w:val="005A75AE"/>
    <w:rsid w:val="005B015E"/>
    <w:rsid w:val="005B13F7"/>
    <w:rsid w:val="005B32C5"/>
    <w:rsid w:val="005B35D6"/>
    <w:rsid w:val="005B360B"/>
    <w:rsid w:val="005B3DDD"/>
    <w:rsid w:val="005B3E4A"/>
    <w:rsid w:val="005C3043"/>
    <w:rsid w:val="005C42D9"/>
    <w:rsid w:val="005C5A6E"/>
    <w:rsid w:val="005D11F0"/>
    <w:rsid w:val="005D3281"/>
    <w:rsid w:val="005D41E6"/>
    <w:rsid w:val="005D4C94"/>
    <w:rsid w:val="005D5B42"/>
    <w:rsid w:val="005D74FB"/>
    <w:rsid w:val="005D7DFF"/>
    <w:rsid w:val="005E1F28"/>
    <w:rsid w:val="005E443E"/>
    <w:rsid w:val="005E4C96"/>
    <w:rsid w:val="005E60F6"/>
    <w:rsid w:val="005F31C1"/>
    <w:rsid w:val="00601F8F"/>
    <w:rsid w:val="006033BD"/>
    <w:rsid w:val="00605FAF"/>
    <w:rsid w:val="00606B19"/>
    <w:rsid w:val="00606FBC"/>
    <w:rsid w:val="00612B3B"/>
    <w:rsid w:val="006156DC"/>
    <w:rsid w:val="00623B26"/>
    <w:rsid w:val="00624C21"/>
    <w:rsid w:val="00625503"/>
    <w:rsid w:val="00630C55"/>
    <w:rsid w:val="00633924"/>
    <w:rsid w:val="00640494"/>
    <w:rsid w:val="00646D74"/>
    <w:rsid w:val="00650902"/>
    <w:rsid w:val="0065153C"/>
    <w:rsid w:val="00651D03"/>
    <w:rsid w:val="0065506F"/>
    <w:rsid w:val="006618CF"/>
    <w:rsid w:val="006620C8"/>
    <w:rsid w:val="006652BA"/>
    <w:rsid w:val="00667000"/>
    <w:rsid w:val="006676D9"/>
    <w:rsid w:val="00672555"/>
    <w:rsid w:val="00673898"/>
    <w:rsid w:val="00674094"/>
    <w:rsid w:val="0067482F"/>
    <w:rsid w:val="00675503"/>
    <w:rsid w:val="00681C83"/>
    <w:rsid w:val="00682B2C"/>
    <w:rsid w:val="006849F6"/>
    <w:rsid w:val="00684B75"/>
    <w:rsid w:val="00684BC2"/>
    <w:rsid w:val="00684D30"/>
    <w:rsid w:val="006856FF"/>
    <w:rsid w:val="006863D8"/>
    <w:rsid w:val="00686B26"/>
    <w:rsid w:val="00690AD8"/>
    <w:rsid w:val="00695734"/>
    <w:rsid w:val="00695EEC"/>
    <w:rsid w:val="006A20B3"/>
    <w:rsid w:val="006B0FE8"/>
    <w:rsid w:val="006B1609"/>
    <w:rsid w:val="006B2ABD"/>
    <w:rsid w:val="006B3946"/>
    <w:rsid w:val="006B54C7"/>
    <w:rsid w:val="006B7033"/>
    <w:rsid w:val="006B7FBE"/>
    <w:rsid w:val="006C2E50"/>
    <w:rsid w:val="006C53A7"/>
    <w:rsid w:val="006C6246"/>
    <w:rsid w:val="006C7AE7"/>
    <w:rsid w:val="006D5A9A"/>
    <w:rsid w:val="006E15E4"/>
    <w:rsid w:val="006E1F02"/>
    <w:rsid w:val="006E3397"/>
    <w:rsid w:val="006F11BD"/>
    <w:rsid w:val="006F3882"/>
    <w:rsid w:val="006F4BEB"/>
    <w:rsid w:val="006F6676"/>
    <w:rsid w:val="007001E0"/>
    <w:rsid w:val="007123C2"/>
    <w:rsid w:val="0071316F"/>
    <w:rsid w:val="007136E6"/>
    <w:rsid w:val="00720E37"/>
    <w:rsid w:val="00720F68"/>
    <w:rsid w:val="00720FC0"/>
    <w:rsid w:val="0072349E"/>
    <w:rsid w:val="007238DB"/>
    <w:rsid w:val="00724536"/>
    <w:rsid w:val="007253E3"/>
    <w:rsid w:val="007255CD"/>
    <w:rsid w:val="007318BA"/>
    <w:rsid w:val="007334EA"/>
    <w:rsid w:val="00735F36"/>
    <w:rsid w:val="00737025"/>
    <w:rsid w:val="00737A54"/>
    <w:rsid w:val="00737FB2"/>
    <w:rsid w:val="00741E4A"/>
    <w:rsid w:val="007437EE"/>
    <w:rsid w:val="00744F5A"/>
    <w:rsid w:val="007455AD"/>
    <w:rsid w:val="00746E66"/>
    <w:rsid w:val="00747F40"/>
    <w:rsid w:val="0075063F"/>
    <w:rsid w:val="007605C8"/>
    <w:rsid w:val="00763554"/>
    <w:rsid w:val="00764614"/>
    <w:rsid w:val="0076526B"/>
    <w:rsid w:val="007652AE"/>
    <w:rsid w:val="007677BE"/>
    <w:rsid w:val="00767FF2"/>
    <w:rsid w:val="007707AA"/>
    <w:rsid w:val="0077224E"/>
    <w:rsid w:val="00781039"/>
    <w:rsid w:val="007825E8"/>
    <w:rsid w:val="00790246"/>
    <w:rsid w:val="00792A34"/>
    <w:rsid w:val="00793C25"/>
    <w:rsid w:val="007A1136"/>
    <w:rsid w:val="007A5C4C"/>
    <w:rsid w:val="007B0579"/>
    <w:rsid w:val="007B41A6"/>
    <w:rsid w:val="007B6AD8"/>
    <w:rsid w:val="007B6D97"/>
    <w:rsid w:val="007B7906"/>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F2249"/>
    <w:rsid w:val="007F28B9"/>
    <w:rsid w:val="007F6C2A"/>
    <w:rsid w:val="008001D1"/>
    <w:rsid w:val="008008D4"/>
    <w:rsid w:val="008020D3"/>
    <w:rsid w:val="008043AE"/>
    <w:rsid w:val="00804869"/>
    <w:rsid w:val="00804908"/>
    <w:rsid w:val="0080704C"/>
    <w:rsid w:val="00807BBD"/>
    <w:rsid w:val="00811A5D"/>
    <w:rsid w:val="008120DB"/>
    <w:rsid w:val="00813665"/>
    <w:rsid w:val="00814698"/>
    <w:rsid w:val="0081479B"/>
    <w:rsid w:val="00815ECC"/>
    <w:rsid w:val="00823D56"/>
    <w:rsid w:val="00825B44"/>
    <w:rsid w:val="00825DEB"/>
    <w:rsid w:val="0083062A"/>
    <w:rsid w:val="00831D49"/>
    <w:rsid w:val="0083210B"/>
    <w:rsid w:val="0083386C"/>
    <w:rsid w:val="008355CE"/>
    <w:rsid w:val="00835736"/>
    <w:rsid w:val="00836DF0"/>
    <w:rsid w:val="00837AF9"/>
    <w:rsid w:val="00850F9B"/>
    <w:rsid w:val="00853260"/>
    <w:rsid w:val="00854470"/>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3E3B"/>
    <w:rsid w:val="008A4334"/>
    <w:rsid w:val="008A4374"/>
    <w:rsid w:val="008B0E70"/>
    <w:rsid w:val="008B3C30"/>
    <w:rsid w:val="008B5577"/>
    <w:rsid w:val="008C2161"/>
    <w:rsid w:val="008C3AC7"/>
    <w:rsid w:val="008C47FA"/>
    <w:rsid w:val="008C5342"/>
    <w:rsid w:val="008C692E"/>
    <w:rsid w:val="008C7230"/>
    <w:rsid w:val="008C7A52"/>
    <w:rsid w:val="008D26B6"/>
    <w:rsid w:val="008D26CF"/>
    <w:rsid w:val="008D368D"/>
    <w:rsid w:val="008D4344"/>
    <w:rsid w:val="008D4839"/>
    <w:rsid w:val="008E0C1C"/>
    <w:rsid w:val="008E45B5"/>
    <w:rsid w:val="008E4A71"/>
    <w:rsid w:val="008E5FF5"/>
    <w:rsid w:val="008F0075"/>
    <w:rsid w:val="008F2D3E"/>
    <w:rsid w:val="008F30F4"/>
    <w:rsid w:val="008F7F4E"/>
    <w:rsid w:val="00904B90"/>
    <w:rsid w:val="00906147"/>
    <w:rsid w:val="00907B68"/>
    <w:rsid w:val="009111C1"/>
    <w:rsid w:val="009130AC"/>
    <w:rsid w:val="0091561E"/>
    <w:rsid w:val="00915ADA"/>
    <w:rsid w:val="00917467"/>
    <w:rsid w:val="00922831"/>
    <w:rsid w:val="00922872"/>
    <w:rsid w:val="00924030"/>
    <w:rsid w:val="0093538A"/>
    <w:rsid w:val="009362DC"/>
    <w:rsid w:val="009365EB"/>
    <w:rsid w:val="00936F1B"/>
    <w:rsid w:val="00937D6D"/>
    <w:rsid w:val="00937EF5"/>
    <w:rsid w:val="00940EA3"/>
    <w:rsid w:val="00943C72"/>
    <w:rsid w:val="00947A3E"/>
    <w:rsid w:val="00947E0F"/>
    <w:rsid w:val="00950337"/>
    <w:rsid w:val="009509CC"/>
    <w:rsid w:val="00951DB8"/>
    <w:rsid w:val="0095216F"/>
    <w:rsid w:val="0095680F"/>
    <w:rsid w:val="00956932"/>
    <w:rsid w:val="00956A25"/>
    <w:rsid w:val="00960235"/>
    <w:rsid w:val="009607E3"/>
    <w:rsid w:val="009612EF"/>
    <w:rsid w:val="00961316"/>
    <w:rsid w:val="00962D05"/>
    <w:rsid w:val="00963043"/>
    <w:rsid w:val="009634C8"/>
    <w:rsid w:val="0096488C"/>
    <w:rsid w:val="00965007"/>
    <w:rsid w:val="0096518D"/>
    <w:rsid w:val="0096547A"/>
    <w:rsid w:val="00967EDE"/>
    <w:rsid w:val="009706CE"/>
    <w:rsid w:val="00974A2D"/>
    <w:rsid w:val="0097633B"/>
    <w:rsid w:val="00976A70"/>
    <w:rsid w:val="00977B31"/>
    <w:rsid w:val="00982774"/>
    <w:rsid w:val="00982991"/>
    <w:rsid w:val="00983C40"/>
    <w:rsid w:val="00984D4F"/>
    <w:rsid w:val="00986C46"/>
    <w:rsid w:val="009911D2"/>
    <w:rsid w:val="009925A1"/>
    <w:rsid w:val="009A1543"/>
    <w:rsid w:val="009A315A"/>
    <w:rsid w:val="009A36FD"/>
    <w:rsid w:val="009A3C36"/>
    <w:rsid w:val="009A40CA"/>
    <w:rsid w:val="009A6BB3"/>
    <w:rsid w:val="009B4FF9"/>
    <w:rsid w:val="009C0793"/>
    <w:rsid w:val="009C0ECA"/>
    <w:rsid w:val="009C138D"/>
    <w:rsid w:val="009C1B84"/>
    <w:rsid w:val="009C365B"/>
    <w:rsid w:val="009C535B"/>
    <w:rsid w:val="009C5C65"/>
    <w:rsid w:val="009C7478"/>
    <w:rsid w:val="009D23D9"/>
    <w:rsid w:val="009D2988"/>
    <w:rsid w:val="009D3BDF"/>
    <w:rsid w:val="009D556F"/>
    <w:rsid w:val="009D66DF"/>
    <w:rsid w:val="009D6FFC"/>
    <w:rsid w:val="009E3060"/>
    <w:rsid w:val="009E317D"/>
    <w:rsid w:val="009E4188"/>
    <w:rsid w:val="009E6ADA"/>
    <w:rsid w:val="009F0FAC"/>
    <w:rsid w:val="009F2CB2"/>
    <w:rsid w:val="009F42D5"/>
    <w:rsid w:val="009F59EE"/>
    <w:rsid w:val="00A00614"/>
    <w:rsid w:val="00A0626C"/>
    <w:rsid w:val="00A06687"/>
    <w:rsid w:val="00A0680F"/>
    <w:rsid w:val="00A07B57"/>
    <w:rsid w:val="00A1017F"/>
    <w:rsid w:val="00A11002"/>
    <w:rsid w:val="00A12D97"/>
    <w:rsid w:val="00A145E2"/>
    <w:rsid w:val="00A15C5F"/>
    <w:rsid w:val="00A1706A"/>
    <w:rsid w:val="00A17595"/>
    <w:rsid w:val="00A2129E"/>
    <w:rsid w:val="00A21AB7"/>
    <w:rsid w:val="00A22380"/>
    <w:rsid w:val="00A267CE"/>
    <w:rsid w:val="00A3119E"/>
    <w:rsid w:val="00A3163A"/>
    <w:rsid w:val="00A34404"/>
    <w:rsid w:val="00A345F7"/>
    <w:rsid w:val="00A351F4"/>
    <w:rsid w:val="00A35204"/>
    <w:rsid w:val="00A35900"/>
    <w:rsid w:val="00A36D79"/>
    <w:rsid w:val="00A371A8"/>
    <w:rsid w:val="00A401A3"/>
    <w:rsid w:val="00A4441D"/>
    <w:rsid w:val="00A51DB8"/>
    <w:rsid w:val="00A526C9"/>
    <w:rsid w:val="00A52E40"/>
    <w:rsid w:val="00A553F8"/>
    <w:rsid w:val="00A644DF"/>
    <w:rsid w:val="00A661EE"/>
    <w:rsid w:val="00A672EA"/>
    <w:rsid w:val="00A67865"/>
    <w:rsid w:val="00A706DB"/>
    <w:rsid w:val="00A75581"/>
    <w:rsid w:val="00A80A8B"/>
    <w:rsid w:val="00A82D27"/>
    <w:rsid w:val="00A85069"/>
    <w:rsid w:val="00A86EF2"/>
    <w:rsid w:val="00A902B4"/>
    <w:rsid w:val="00A93669"/>
    <w:rsid w:val="00A969E4"/>
    <w:rsid w:val="00A973F9"/>
    <w:rsid w:val="00AA0C1B"/>
    <w:rsid w:val="00AA104C"/>
    <w:rsid w:val="00AA13C3"/>
    <w:rsid w:val="00AA1D7A"/>
    <w:rsid w:val="00AA1EF9"/>
    <w:rsid w:val="00AA3C5C"/>
    <w:rsid w:val="00AA58B4"/>
    <w:rsid w:val="00AB5C28"/>
    <w:rsid w:val="00AC0B97"/>
    <w:rsid w:val="00AC0F4F"/>
    <w:rsid w:val="00AC14FC"/>
    <w:rsid w:val="00AC1B87"/>
    <w:rsid w:val="00AC1E03"/>
    <w:rsid w:val="00AC3155"/>
    <w:rsid w:val="00AC4CEE"/>
    <w:rsid w:val="00AD0B09"/>
    <w:rsid w:val="00AD2933"/>
    <w:rsid w:val="00AD3089"/>
    <w:rsid w:val="00AD79CC"/>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77AF"/>
    <w:rsid w:val="00B17AD8"/>
    <w:rsid w:val="00B20F7B"/>
    <w:rsid w:val="00B21A92"/>
    <w:rsid w:val="00B21D7F"/>
    <w:rsid w:val="00B2288F"/>
    <w:rsid w:val="00B244B9"/>
    <w:rsid w:val="00B24AB2"/>
    <w:rsid w:val="00B24DBE"/>
    <w:rsid w:val="00B26C1E"/>
    <w:rsid w:val="00B278D2"/>
    <w:rsid w:val="00B30195"/>
    <w:rsid w:val="00B3074F"/>
    <w:rsid w:val="00B3103A"/>
    <w:rsid w:val="00B3354F"/>
    <w:rsid w:val="00B34562"/>
    <w:rsid w:val="00B41012"/>
    <w:rsid w:val="00B41035"/>
    <w:rsid w:val="00B45ED0"/>
    <w:rsid w:val="00B45F71"/>
    <w:rsid w:val="00B46015"/>
    <w:rsid w:val="00B475E1"/>
    <w:rsid w:val="00B47AFD"/>
    <w:rsid w:val="00B51F3C"/>
    <w:rsid w:val="00B5230B"/>
    <w:rsid w:val="00B52B36"/>
    <w:rsid w:val="00B55F72"/>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80003"/>
    <w:rsid w:val="00B81F38"/>
    <w:rsid w:val="00B82BA4"/>
    <w:rsid w:val="00B84690"/>
    <w:rsid w:val="00B86D21"/>
    <w:rsid w:val="00B92DE5"/>
    <w:rsid w:val="00B95EBA"/>
    <w:rsid w:val="00BA29AE"/>
    <w:rsid w:val="00BA6059"/>
    <w:rsid w:val="00BA6DBC"/>
    <w:rsid w:val="00BA6DD7"/>
    <w:rsid w:val="00BA7E4C"/>
    <w:rsid w:val="00BB0801"/>
    <w:rsid w:val="00BB1BAE"/>
    <w:rsid w:val="00BB27FC"/>
    <w:rsid w:val="00BB5F03"/>
    <w:rsid w:val="00BC10FE"/>
    <w:rsid w:val="00BC1BA1"/>
    <w:rsid w:val="00BC30D1"/>
    <w:rsid w:val="00BC43C3"/>
    <w:rsid w:val="00BD0305"/>
    <w:rsid w:val="00BD18EA"/>
    <w:rsid w:val="00BD25BD"/>
    <w:rsid w:val="00BD26AB"/>
    <w:rsid w:val="00BD4FB4"/>
    <w:rsid w:val="00BD56CC"/>
    <w:rsid w:val="00BD6A7F"/>
    <w:rsid w:val="00BD7095"/>
    <w:rsid w:val="00BE127F"/>
    <w:rsid w:val="00BE34DD"/>
    <w:rsid w:val="00BE7D75"/>
    <w:rsid w:val="00BF02EE"/>
    <w:rsid w:val="00BF0F80"/>
    <w:rsid w:val="00BF1CB0"/>
    <w:rsid w:val="00BF3B93"/>
    <w:rsid w:val="00BF3C3D"/>
    <w:rsid w:val="00BF4FA6"/>
    <w:rsid w:val="00BF5DE1"/>
    <w:rsid w:val="00BF69D4"/>
    <w:rsid w:val="00C00860"/>
    <w:rsid w:val="00C0488B"/>
    <w:rsid w:val="00C05509"/>
    <w:rsid w:val="00C129F0"/>
    <w:rsid w:val="00C12B80"/>
    <w:rsid w:val="00C1553C"/>
    <w:rsid w:val="00C16738"/>
    <w:rsid w:val="00C16A07"/>
    <w:rsid w:val="00C213F3"/>
    <w:rsid w:val="00C2196C"/>
    <w:rsid w:val="00C25196"/>
    <w:rsid w:val="00C25A49"/>
    <w:rsid w:val="00C30103"/>
    <w:rsid w:val="00C306CA"/>
    <w:rsid w:val="00C35BFC"/>
    <w:rsid w:val="00C36244"/>
    <w:rsid w:val="00C362AF"/>
    <w:rsid w:val="00C36818"/>
    <w:rsid w:val="00C36AC8"/>
    <w:rsid w:val="00C36E73"/>
    <w:rsid w:val="00C40157"/>
    <w:rsid w:val="00C42096"/>
    <w:rsid w:val="00C45232"/>
    <w:rsid w:val="00C4735A"/>
    <w:rsid w:val="00C503A0"/>
    <w:rsid w:val="00C505D4"/>
    <w:rsid w:val="00C50A39"/>
    <w:rsid w:val="00C51E90"/>
    <w:rsid w:val="00C53ECE"/>
    <w:rsid w:val="00C55E4E"/>
    <w:rsid w:val="00C5726E"/>
    <w:rsid w:val="00C6048F"/>
    <w:rsid w:val="00C607F2"/>
    <w:rsid w:val="00C61777"/>
    <w:rsid w:val="00C639A8"/>
    <w:rsid w:val="00C63DF0"/>
    <w:rsid w:val="00C63E32"/>
    <w:rsid w:val="00C64B40"/>
    <w:rsid w:val="00C650DB"/>
    <w:rsid w:val="00C653C3"/>
    <w:rsid w:val="00C7180F"/>
    <w:rsid w:val="00C72C9B"/>
    <w:rsid w:val="00C73FC6"/>
    <w:rsid w:val="00C741D3"/>
    <w:rsid w:val="00C7462C"/>
    <w:rsid w:val="00C74B21"/>
    <w:rsid w:val="00C805AC"/>
    <w:rsid w:val="00C85300"/>
    <w:rsid w:val="00C8584A"/>
    <w:rsid w:val="00C85AB7"/>
    <w:rsid w:val="00C86EBC"/>
    <w:rsid w:val="00C91F7F"/>
    <w:rsid w:val="00CA3F3D"/>
    <w:rsid w:val="00CA3FE4"/>
    <w:rsid w:val="00CA5FC8"/>
    <w:rsid w:val="00CB1985"/>
    <w:rsid w:val="00CB40F4"/>
    <w:rsid w:val="00CB7416"/>
    <w:rsid w:val="00CC04E3"/>
    <w:rsid w:val="00CC32D9"/>
    <w:rsid w:val="00CC45E5"/>
    <w:rsid w:val="00CC5BEB"/>
    <w:rsid w:val="00CC60A9"/>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122"/>
    <w:rsid w:val="00D047B7"/>
    <w:rsid w:val="00D11870"/>
    <w:rsid w:val="00D132FF"/>
    <w:rsid w:val="00D15557"/>
    <w:rsid w:val="00D15686"/>
    <w:rsid w:val="00D16F9E"/>
    <w:rsid w:val="00D21B27"/>
    <w:rsid w:val="00D223BF"/>
    <w:rsid w:val="00D2253B"/>
    <w:rsid w:val="00D22A67"/>
    <w:rsid w:val="00D245D2"/>
    <w:rsid w:val="00D25B0B"/>
    <w:rsid w:val="00D31127"/>
    <w:rsid w:val="00D31386"/>
    <w:rsid w:val="00D31FA8"/>
    <w:rsid w:val="00D3396D"/>
    <w:rsid w:val="00D3397B"/>
    <w:rsid w:val="00D3569B"/>
    <w:rsid w:val="00D35A90"/>
    <w:rsid w:val="00D36065"/>
    <w:rsid w:val="00D40D11"/>
    <w:rsid w:val="00D423AD"/>
    <w:rsid w:val="00D46528"/>
    <w:rsid w:val="00D46587"/>
    <w:rsid w:val="00D46E13"/>
    <w:rsid w:val="00D4733D"/>
    <w:rsid w:val="00D53085"/>
    <w:rsid w:val="00D532C1"/>
    <w:rsid w:val="00D57146"/>
    <w:rsid w:val="00D618AD"/>
    <w:rsid w:val="00D63DD3"/>
    <w:rsid w:val="00D6464D"/>
    <w:rsid w:val="00D72895"/>
    <w:rsid w:val="00D76F6E"/>
    <w:rsid w:val="00D777C9"/>
    <w:rsid w:val="00D77E6E"/>
    <w:rsid w:val="00D80B6D"/>
    <w:rsid w:val="00D82E2D"/>
    <w:rsid w:val="00D8513A"/>
    <w:rsid w:val="00D87CCE"/>
    <w:rsid w:val="00D9306C"/>
    <w:rsid w:val="00DA087D"/>
    <w:rsid w:val="00DA1662"/>
    <w:rsid w:val="00DA327C"/>
    <w:rsid w:val="00DA576C"/>
    <w:rsid w:val="00DA6D6A"/>
    <w:rsid w:val="00DA7689"/>
    <w:rsid w:val="00DA78FC"/>
    <w:rsid w:val="00DB270B"/>
    <w:rsid w:val="00DB365A"/>
    <w:rsid w:val="00DB4335"/>
    <w:rsid w:val="00DB7664"/>
    <w:rsid w:val="00DC1FA8"/>
    <w:rsid w:val="00DC2A4B"/>
    <w:rsid w:val="00DC6476"/>
    <w:rsid w:val="00DC6AB6"/>
    <w:rsid w:val="00DD1EC1"/>
    <w:rsid w:val="00DD5E05"/>
    <w:rsid w:val="00DE17B0"/>
    <w:rsid w:val="00DE36DE"/>
    <w:rsid w:val="00DE448F"/>
    <w:rsid w:val="00DE75F4"/>
    <w:rsid w:val="00DE7686"/>
    <w:rsid w:val="00DE7CE1"/>
    <w:rsid w:val="00DF006F"/>
    <w:rsid w:val="00DF1F56"/>
    <w:rsid w:val="00DF296C"/>
    <w:rsid w:val="00DF2A53"/>
    <w:rsid w:val="00DF388B"/>
    <w:rsid w:val="00DF5CAA"/>
    <w:rsid w:val="00DF5E95"/>
    <w:rsid w:val="00E02125"/>
    <w:rsid w:val="00E0358E"/>
    <w:rsid w:val="00E04F24"/>
    <w:rsid w:val="00E04F7B"/>
    <w:rsid w:val="00E06CEA"/>
    <w:rsid w:val="00E11435"/>
    <w:rsid w:val="00E121F2"/>
    <w:rsid w:val="00E166F1"/>
    <w:rsid w:val="00E16928"/>
    <w:rsid w:val="00E16FE8"/>
    <w:rsid w:val="00E17539"/>
    <w:rsid w:val="00E23F1D"/>
    <w:rsid w:val="00E24FED"/>
    <w:rsid w:val="00E25085"/>
    <w:rsid w:val="00E343B0"/>
    <w:rsid w:val="00E364A9"/>
    <w:rsid w:val="00E36E36"/>
    <w:rsid w:val="00E400AA"/>
    <w:rsid w:val="00E40BF0"/>
    <w:rsid w:val="00E42149"/>
    <w:rsid w:val="00E4768E"/>
    <w:rsid w:val="00E47BA7"/>
    <w:rsid w:val="00E515C8"/>
    <w:rsid w:val="00E53945"/>
    <w:rsid w:val="00E55682"/>
    <w:rsid w:val="00E5639B"/>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56C2"/>
    <w:rsid w:val="00E90FB8"/>
    <w:rsid w:val="00E938B3"/>
    <w:rsid w:val="00E945C4"/>
    <w:rsid w:val="00E9495C"/>
    <w:rsid w:val="00EA29EC"/>
    <w:rsid w:val="00EA3186"/>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5EE0"/>
    <w:rsid w:val="00EF62F8"/>
    <w:rsid w:val="00F0275F"/>
    <w:rsid w:val="00F040CA"/>
    <w:rsid w:val="00F04FF5"/>
    <w:rsid w:val="00F06420"/>
    <w:rsid w:val="00F06844"/>
    <w:rsid w:val="00F0734C"/>
    <w:rsid w:val="00F10CFA"/>
    <w:rsid w:val="00F1214E"/>
    <w:rsid w:val="00F12CDD"/>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52462"/>
    <w:rsid w:val="00F53850"/>
    <w:rsid w:val="00F542F8"/>
    <w:rsid w:val="00F61061"/>
    <w:rsid w:val="00F63E7A"/>
    <w:rsid w:val="00F64A9E"/>
    <w:rsid w:val="00F6505F"/>
    <w:rsid w:val="00F655E3"/>
    <w:rsid w:val="00F65A7D"/>
    <w:rsid w:val="00F739AD"/>
    <w:rsid w:val="00F76B0E"/>
    <w:rsid w:val="00F7782E"/>
    <w:rsid w:val="00F77BD8"/>
    <w:rsid w:val="00F8482C"/>
    <w:rsid w:val="00F84DCA"/>
    <w:rsid w:val="00F93799"/>
    <w:rsid w:val="00F94B22"/>
    <w:rsid w:val="00F95B39"/>
    <w:rsid w:val="00F968E3"/>
    <w:rsid w:val="00F97A8C"/>
    <w:rsid w:val="00FA0F28"/>
    <w:rsid w:val="00FA1AF3"/>
    <w:rsid w:val="00FA255B"/>
    <w:rsid w:val="00FA6E14"/>
    <w:rsid w:val="00FB551F"/>
    <w:rsid w:val="00FB6C4F"/>
    <w:rsid w:val="00FB7593"/>
    <w:rsid w:val="00FC1254"/>
    <w:rsid w:val="00FC33AA"/>
    <w:rsid w:val="00FC5217"/>
    <w:rsid w:val="00FD08A6"/>
    <w:rsid w:val="00FD37BD"/>
    <w:rsid w:val="00FD5578"/>
    <w:rsid w:val="00FE189D"/>
    <w:rsid w:val="00FE28BC"/>
    <w:rsid w:val="00FE3A27"/>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71E4D-C69D-4E18-A9F4-3C786E7F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1264</Words>
  <Characters>7464</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20</cp:revision>
  <dcterms:created xsi:type="dcterms:W3CDTF">2023-12-04T09:42:00Z</dcterms:created>
  <dcterms:modified xsi:type="dcterms:W3CDTF">2023-12-19T10:16:00Z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