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08070DCC" w14:textId="2232FC82" w:rsidR="00792EE9" w:rsidRPr="00BC331D" w:rsidRDefault="00792EE9" w:rsidP="00792EE9">
          <w:pPr>
            <w:jc w:val="both"/>
            <w:rPr>
              <w:rStyle w:val="dn"/>
              <w:rFonts w:asciiTheme="minorHAnsi" w:hAnsiTheme="minorHAnsi" w:cstheme="minorHAnsi"/>
              <w:sz w:val="20"/>
              <w:szCs w:val="20"/>
            </w:rPr>
          </w:pPr>
          <w:r w:rsidRPr="00BC331D">
            <w:rPr>
              <w:rFonts w:asciiTheme="minorHAnsi" w:hAnsiTheme="minorHAnsi" w:cstheme="minorHAnsi"/>
              <w:sz w:val="20"/>
              <w:szCs w:val="20"/>
            </w:rPr>
            <w:t>Broker Consulting je jednou z největších společností na českém a slovenském trhu, která poskytuje služby v oblasti financí a realit. Od rok</w:t>
          </w:r>
          <w:r w:rsidR="008171F9">
            <w:rPr>
              <w:rFonts w:asciiTheme="minorHAnsi" w:hAnsiTheme="minorHAnsi" w:cstheme="minorHAnsi"/>
              <w:sz w:val="20"/>
              <w:szCs w:val="20"/>
            </w:rPr>
            <w:t>u 1998 získala důvěru více než 7</w:t>
          </w:r>
          <w:r w:rsidRPr="00BC331D">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w:t>
          </w:r>
          <w:r w:rsidR="00477DC5">
            <w:rPr>
              <w:rFonts w:asciiTheme="minorHAnsi" w:hAnsiTheme="minorHAnsi" w:cstheme="minorHAnsi"/>
              <w:sz w:val="20"/>
              <w:szCs w:val="20"/>
            </w:rPr>
            <w:t>cování v ČR i SR) ve více než 15</w:t>
          </w:r>
          <w:r w:rsidRPr="00BC331D">
            <w:rPr>
              <w:rFonts w:asciiTheme="minorHAnsi" w:hAnsiTheme="minorHAnsi" w:cstheme="minorHAnsi"/>
              <w:sz w:val="20"/>
              <w:szCs w:val="20"/>
            </w:rPr>
            <w:t xml:space="preserve">0 kancelářích a </w:t>
          </w:r>
          <w:r w:rsidR="00477DC5">
            <w:rPr>
              <w:rFonts w:asciiTheme="minorHAnsi" w:hAnsiTheme="minorHAnsi" w:cstheme="minorHAnsi"/>
              <w:sz w:val="20"/>
              <w:szCs w:val="20"/>
            </w:rPr>
            <w:t>několika desítek poboček</w:t>
          </w:r>
          <w:r w:rsidRPr="00BC331D">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A10BF9">
            <w:rPr>
              <w:rFonts w:asciiTheme="minorHAnsi" w:hAnsiTheme="minorHAnsi" w:cstheme="minorHAnsi"/>
              <w:sz w:val="20"/>
              <w:szCs w:val="20"/>
            </w:rPr>
            <w:t xml:space="preserve">jehož přináší společnost Broker Consulting, která za vedení franšízy a její podporu získala ocenění </w:t>
          </w:r>
          <w:proofErr w:type="spellStart"/>
          <w:r w:rsidR="00A10BF9" w:rsidRPr="00A0680F">
            <w:rPr>
              <w:rFonts w:asciiTheme="minorHAnsi" w:hAnsiTheme="minorHAnsi" w:cstheme="minorHAnsi"/>
              <w:b/>
              <w:color w:val="FF0000"/>
              <w:sz w:val="20"/>
              <w:szCs w:val="20"/>
            </w:rPr>
            <w:t>Franchisor</w:t>
          </w:r>
          <w:proofErr w:type="spellEnd"/>
          <w:r w:rsidR="00A10BF9" w:rsidRPr="00A0680F">
            <w:rPr>
              <w:rFonts w:asciiTheme="minorHAnsi" w:hAnsiTheme="minorHAnsi" w:cstheme="minorHAnsi"/>
              <w:b/>
              <w:color w:val="FF0000"/>
              <w:sz w:val="20"/>
              <w:szCs w:val="20"/>
            </w:rPr>
            <w:t xml:space="preserve"> roku 2022</w:t>
          </w:r>
          <w:r w:rsidR="00A10BF9" w:rsidRPr="00A0680F">
            <w:rPr>
              <w:rFonts w:asciiTheme="minorHAnsi" w:hAnsiTheme="minorHAnsi" w:cstheme="minorHAnsi"/>
              <w:color w:val="FF0000"/>
              <w:sz w:val="20"/>
              <w:szCs w:val="20"/>
            </w:rPr>
            <w:t xml:space="preserve"> </w:t>
          </w:r>
          <w:r w:rsidR="00A10BF9">
            <w:rPr>
              <w:rFonts w:asciiTheme="minorHAnsi" w:hAnsiTheme="minorHAnsi" w:cstheme="minorHAnsi"/>
              <w:sz w:val="20"/>
              <w:szCs w:val="20"/>
            </w:rPr>
            <w:t xml:space="preserve">od České asociace </w:t>
          </w:r>
          <w:proofErr w:type="spellStart"/>
          <w:r w:rsidR="00A10BF9">
            <w:rPr>
              <w:rFonts w:asciiTheme="minorHAnsi" w:hAnsiTheme="minorHAnsi" w:cstheme="minorHAnsi"/>
              <w:sz w:val="20"/>
              <w:szCs w:val="20"/>
            </w:rPr>
            <w:t>franchisingu</w:t>
          </w:r>
          <w:proofErr w:type="spellEnd"/>
          <w:r w:rsidRPr="00BC331D">
            <w:rPr>
              <w:rFonts w:asciiTheme="minorHAnsi" w:hAnsiTheme="minorHAnsi" w:cstheme="minorHAnsi"/>
              <w:sz w:val="20"/>
              <w:szCs w:val="20"/>
            </w:rPr>
            <w:t xml:space="preserve">. </w:t>
          </w:r>
          <w:r w:rsidRPr="00BC331D">
            <w:rPr>
              <w:rStyle w:val="dn"/>
              <w:rFonts w:asciiTheme="minorHAnsi" w:hAnsiTheme="minorHAnsi" w:cstheme="minorHAnsi"/>
              <w:sz w:val="20"/>
              <w:szCs w:val="20"/>
            </w:rPr>
            <w:t xml:space="preserve">Více na </w:t>
          </w:r>
          <w:hyperlink r:id="rId9" w:history="1">
            <w:r w:rsidRPr="00BC331D">
              <w:rPr>
                <w:rStyle w:val="Hypertextovodkaz"/>
                <w:rFonts w:asciiTheme="minorHAnsi" w:hAnsiTheme="minorHAnsi" w:cstheme="minorHAnsi"/>
                <w:color w:val="FF0000"/>
                <w:sz w:val="20"/>
                <w:szCs w:val="20"/>
              </w:rPr>
              <w:t>www.bcas.cz</w:t>
            </w:r>
          </w:hyperlink>
          <w:r w:rsidRPr="00BC331D">
            <w:rPr>
              <w:rStyle w:val="Hypertextovodkaz"/>
              <w:rFonts w:asciiTheme="minorHAnsi" w:hAnsiTheme="minorHAnsi" w:cstheme="minorHAnsi"/>
              <w:sz w:val="20"/>
              <w:szCs w:val="20"/>
            </w:rPr>
            <w:t xml:space="preserve">, </w:t>
          </w:r>
          <w:hyperlink r:id="rId10" w:history="1">
            <w:r w:rsidRPr="00BC331D">
              <w:rPr>
                <w:rStyle w:val="Hypertextovodkaz"/>
                <w:rFonts w:asciiTheme="minorHAnsi" w:hAnsiTheme="minorHAnsi" w:cstheme="minorHAnsi"/>
                <w:color w:val="FF0000"/>
                <w:sz w:val="20"/>
                <w:szCs w:val="20"/>
              </w:rPr>
              <w:t>www.okpointy.cz</w:t>
            </w:r>
          </w:hyperlink>
          <w:r w:rsidR="004F6195" w:rsidRPr="00BC331D">
            <w:rPr>
              <w:rStyle w:val="Hypertextovodkaz"/>
              <w:rFonts w:asciiTheme="minorHAnsi" w:hAnsiTheme="minorHAnsi" w:cstheme="minorHAnsi"/>
              <w:color w:val="FF0000"/>
              <w:sz w:val="20"/>
              <w:szCs w:val="20"/>
            </w:rPr>
            <w:t>, www.okpoint.tv</w:t>
          </w:r>
          <w:r w:rsidRPr="00BC331D">
            <w:rPr>
              <w:rStyle w:val="dn"/>
              <w:rFonts w:asciiTheme="minorHAnsi" w:hAnsiTheme="minorHAnsi" w:cstheme="minorHAnsi"/>
              <w:sz w:val="20"/>
              <w:szCs w:val="20"/>
            </w:rPr>
            <w:t xml:space="preserve"> a na </w:t>
          </w:r>
          <w:hyperlink r:id="rId11" w:history="1">
            <w:r w:rsidRPr="00BC331D">
              <w:rPr>
                <w:rStyle w:val="Hypertextovodkaz"/>
                <w:rFonts w:asciiTheme="minorHAnsi" w:hAnsiTheme="minorHAnsi" w:cstheme="minorHAnsi"/>
                <w:color w:val="FF0000"/>
                <w:sz w:val="20"/>
                <w:szCs w:val="20"/>
              </w:rPr>
              <w:t>www.realityspolu.cz</w:t>
            </w:r>
          </w:hyperlink>
          <w:r w:rsidRPr="00BC331D">
            <w:rPr>
              <w:rStyle w:val="dn"/>
              <w:rFonts w:asciiTheme="minorHAnsi" w:hAnsiTheme="minorHAnsi" w:cstheme="minorHAnsi"/>
              <w:sz w:val="20"/>
              <w:szCs w:val="20"/>
            </w:rPr>
            <w:t xml:space="preserve">. Navštivte také náš </w:t>
          </w:r>
          <w:hyperlink r:id="rId12"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3" w:history="1">
            <w:r w:rsidRPr="00BC331D">
              <w:rPr>
                <w:rStyle w:val="Hypertextovodkaz"/>
                <w:rFonts w:asciiTheme="minorHAnsi" w:hAnsiTheme="minorHAnsi" w:cstheme="minorHAnsi"/>
                <w:color w:val="FF0000"/>
                <w:sz w:val="20"/>
                <w:szCs w:val="20"/>
              </w:rPr>
              <w:t>LinkedIN</w:t>
            </w:r>
          </w:hyperlink>
          <w:r w:rsidRPr="00BC331D">
            <w:rPr>
              <w:rStyle w:val="dn"/>
              <w:rFonts w:asciiTheme="minorHAnsi" w:hAnsiTheme="minorHAnsi" w:cstheme="minorHAnsi"/>
              <w:sz w:val="20"/>
              <w:szCs w:val="20"/>
            </w:rPr>
            <w:t xml:space="preserve"> Broker Consulting a </w:t>
          </w:r>
          <w:hyperlink r:id="rId14"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5" w:history="1">
            <w:r w:rsidRPr="00BC331D">
              <w:rPr>
                <w:rStyle w:val="Hypertextovodkaz"/>
                <w:rFonts w:asciiTheme="minorHAnsi" w:hAnsiTheme="minorHAnsi" w:cstheme="minorHAnsi"/>
                <w:color w:val="FF0000"/>
                <w:sz w:val="20"/>
                <w:szCs w:val="20"/>
              </w:rPr>
              <w:t>LinkedI</w:t>
            </w:r>
          </w:hyperlink>
          <w:r w:rsidRPr="00BC331D">
            <w:rPr>
              <w:rStyle w:val="Hypertextovodkaz"/>
              <w:rFonts w:asciiTheme="minorHAnsi" w:hAnsiTheme="minorHAnsi" w:cstheme="minorHAnsi"/>
              <w:color w:val="FF0000"/>
              <w:sz w:val="20"/>
              <w:szCs w:val="20"/>
            </w:rPr>
            <w:t>N</w:t>
          </w:r>
          <w:r w:rsidRPr="00BC331D">
            <w:rPr>
              <w:rStyle w:val="dn"/>
              <w:rFonts w:asciiTheme="minorHAnsi" w:hAnsiTheme="minorHAnsi" w:cstheme="minorHAnsi"/>
              <w:color w:val="FF0000"/>
              <w:sz w:val="20"/>
              <w:szCs w:val="20"/>
            </w:rPr>
            <w:t xml:space="preserve"> </w:t>
          </w:r>
          <w:r w:rsidR="0022066E">
            <w:rPr>
              <w:rStyle w:val="dn"/>
              <w:rFonts w:asciiTheme="minorHAnsi" w:hAnsiTheme="minorHAnsi" w:cstheme="minorHAnsi"/>
              <w:sz w:val="20"/>
              <w:szCs w:val="20"/>
            </w:rPr>
            <w:t>OK POINTŮ</w:t>
          </w:r>
          <w:r w:rsidRPr="00BC331D">
            <w:rPr>
              <w:rStyle w:val="dn"/>
              <w:rFonts w:asciiTheme="minorHAnsi" w:hAnsiTheme="minorHAnsi" w:cstheme="minorHAnsi"/>
              <w:sz w:val="20"/>
              <w:szCs w:val="20"/>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EF6D8C" w:rsidRDefault="00A672BC" w:rsidP="0025264B">
          <w:pPr>
            <w:rPr>
              <w:rFonts w:asciiTheme="minorHAnsi" w:hAnsiTheme="minorHAnsi" w:cstheme="minorHAnsi"/>
              <w:b/>
              <w:sz w:val="20"/>
              <w:szCs w:val="20"/>
              <w:highlight w:val="yellow"/>
            </w:rPr>
            <w:sectPr w:rsidR="00D31127" w:rsidRPr="00EF6D8C"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77777777" w:rsidR="00AA5141" w:rsidRPr="00EF6D8C" w:rsidRDefault="00AA5141" w:rsidP="001B6A93">
      <w:pPr>
        <w:pStyle w:val="Odstavecseseznamem"/>
        <w:spacing w:after="200"/>
        <w:ind w:left="720" w:firstLine="0"/>
        <w:jc w:val="center"/>
        <w:rPr>
          <w:rFonts w:asciiTheme="minorHAnsi" w:hAnsiTheme="minorHAnsi" w:cstheme="minorHAnsi"/>
          <w:b/>
          <w:color w:val="000000" w:themeColor="text1"/>
          <w:sz w:val="28"/>
          <w:szCs w:val="28"/>
        </w:rPr>
      </w:pPr>
      <w:r w:rsidRPr="00EF6D8C">
        <w:rPr>
          <w:rFonts w:asciiTheme="minorHAnsi" w:hAnsiTheme="minorHAnsi" w:cstheme="minorHAnsi"/>
          <w:b/>
          <w:color w:val="000000" w:themeColor="text1"/>
          <w:sz w:val="28"/>
          <w:szCs w:val="28"/>
        </w:rPr>
        <w:t>INDEX: Vánoce se blíží, banky zvýhodňují nabídky spotřebitelských úvěrů pro klienty</w:t>
      </w:r>
    </w:p>
    <w:p w14:paraId="7985DD00" w14:textId="77777777" w:rsidR="00AA5141" w:rsidRPr="00EF6D8C" w:rsidRDefault="00AA5141" w:rsidP="00AA5141">
      <w:pPr>
        <w:pStyle w:val="Odstavecseseznamem"/>
        <w:numPr>
          <w:ilvl w:val="0"/>
          <w:numId w:val="4"/>
        </w:numPr>
        <w:ind w:left="357" w:right="40" w:hanging="357"/>
        <w:rPr>
          <w:rFonts w:asciiTheme="minorHAnsi" w:eastAsiaTheme="minorHAnsi" w:hAnsiTheme="minorHAnsi" w:cstheme="minorHAnsi"/>
          <w:b/>
          <w:color w:val="000000" w:themeColor="text1"/>
          <w:sz w:val="21"/>
          <w:szCs w:val="21"/>
          <w:lang w:bidi="ar-SA"/>
        </w:rPr>
      </w:pPr>
      <w:r w:rsidRPr="00EF6D8C">
        <w:rPr>
          <w:rFonts w:asciiTheme="minorHAnsi" w:eastAsiaTheme="minorHAnsi" w:hAnsiTheme="minorHAnsi" w:cstheme="minorHAnsi"/>
          <w:b/>
          <w:color w:val="000000" w:themeColor="text1"/>
          <w:sz w:val="21"/>
          <w:szCs w:val="21"/>
          <w:lang w:bidi="ar-SA"/>
        </w:rPr>
        <w:t>Listopadový Broker Consulting Index spotřebitelských úvěrů spadl na hodnotu 8,51 procenta.</w:t>
      </w:r>
    </w:p>
    <w:p w14:paraId="1F7C3559" w14:textId="77777777" w:rsidR="00AA5141" w:rsidRPr="00EF6D8C" w:rsidRDefault="00AA5141" w:rsidP="00AA5141">
      <w:pPr>
        <w:pStyle w:val="Odstavecseseznamem"/>
        <w:numPr>
          <w:ilvl w:val="0"/>
          <w:numId w:val="4"/>
        </w:numPr>
        <w:ind w:left="357" w:right="40" w:hanging="357"/>
        <w:rPr>
          <w:rFonts w:asciiTheme="minorHAnsi" w:eastAsiaTheme="minorHAnsi" w:hAnsiTheme="minorHAnsi" w:cstheme="minorHAnsi"/>
          <w:b/>
          <w:color w:val="000000" w:themeColor="text1"/>
          <w:sz w:val="21"/>
          <w:szCs w:val="21"/>
          <w:lang w:bidi="ar-SA"/>
        </w:rPr>
      </w:pPr>
      <w:r w:rsidRPr="00EF6D8C">
        <w:rPr>
          <w:rFonts w:asciiTheme="minorHAnsi" w:eastAsiaTheme="minorHAnsi" w:hAnsiTheme="minorHAnsi" w:cstheme="minorHAnsi"/>
          <w:b/>
          <w:color w:val="000000" w:themeColor="text1"/>
          <w:sz w:val="21"/>
          <w:szCs w:val="21"/>
          <w:lang w:bidi="ar-SA"/>
        </w:rPr>
        <w:t xml:space="preserve">V meziměsíčním porovnání se jedná o pokles o 0,85procentního bodu. </w:t>
      </w:r>
    </w:p>
    <w:p w14:paraId="7B1763FB" w14:textId="77777777" w:rsidR="00AA5141" w:rsidRPr="00EF6D8C" w:rsidRDefault="00AA5141" w:rsidP="00AA5141">
      <w:pPr>
        <w:pStyle w:val="Odstavecseseznamem"/>
        <w:numPr>
          <w:ilvl w:val="0"/>
          <w:numId w:val="4"/>
        </w:numPr>
        <w:ind w:left="357" w:right="40" w:hanging="357"/>
        <w:rPr>
          <w:rFonts w:asciiTheme="minorHAnsi" w:eastAsiaTheme="minorHAnsi" w:hAnsiTheme="minorHAnsi" w:cstheme="minorHAnsi"/>
          <w:b/>
          <w:color w:val="000000" w:themeColor="text1"/>
          <w:sz w:val="21"/>
          <w:szCs w:val="21"/>
          <w:lang w:bidi="ar-SA"/>
        </w:rPr>
      </w:pPr>
      <w:r w:rsidRPr="00EF6D8C">
        <w:rPr>
          <w:rFonts w:asciiTheme="minorHAnsi" w:eastAsiaTheme="minorHAnsi" w:hAnsiTheme="minorHAnsi" w:cstheme="minorHAnsi"/>
          <w:b/>
          <w:color w:val="000000" w:themeColor="text1"/>
          <w:sz w:val="21"/>
          <w:szCs w:val="21"/>
          <w:lang w:bidi="ar-SA"/>
        </w:rPr>
        <w:t>Podle analytiků stojí za tímto vývojem zvýhodněné předvánoční nabídky bankovních úvěrů.</w:t>
      </w:r>
    </w:p>
    <w:p w14:paraId="32E19872" w14:textId="7FB2F881" w:rsidR="007F3E94" w:rsidRPr="00EF6D8C" w:rsidRDefault="007F3E94" w:rsidP="007F3E94">
      <w:pPr>
        <w:ind w:right="40"/>
        <w:rPr>
          <w:rFonts w:asciiTheme="minorHAnsi" w:eastAsiaTheme="minorHAnsi" w:hAnsiTheme="minorHAnsi" w:cstheme="minorHAnsi"/>
          <w:b/>
          <w:sz w:val="21"/>
          <w:szCs w:val="21"/>
          <w:lang w:bidi="ar-SA"/>
        </w:rPr>
      </w:pPr>
    </w:p>
    <w:p w14:paraId="3F2D894F" w14:textId="5726C45D" w:rsidR="00082FDB" w:rsidRPr="00EF6D8C" w:rsidRDefault="008C3A59" w:rsidP="00082FDB">
      <w:pPr>
        <w:spacing w:after="200"/>
        <w:rPr>
          <w:rFonts w:asciiTheme="minorHAnsi" w:hAnsiTheme="minorHAnsi" w:cstheme="minorHAnsi"/>
          <w:b/>
          <w:color w:val="000000" w:themeColor="text1"/>
          <w:sz w:val="21"/>
          <w:szCs w:val="21"/>
        </w:rPr>
      </w:pPr>
      <w:r w:rsidRPr="000A5467">
        <w:rPr>
          <w:rFonts w:asciiTheme="minorHAnsi" w:hAnsiTheme="minorHAnsi" w:cstheme="minorHAnsi"/>
          <w:i/>
          <w:sz w:val="21"/>
          <w:szCs w:val="21"/>
        </w:rPr>
        <w:t>Praha,</w:t>
      </w:r>
      <w:r w:rsidR="000A5467" w:rsidRPr="000A5467">
        <w:rPr>
          <w:rFonts w:asciiTheme="minorHAnsi" w:hAnsiTheme="minorHAnsi" w:cstheme="minorHAnsi"/>
          <w:i/>
          <w:sz w:val="21"/>
          <w:szCs w:val="21"/>
        </w:rPr>
        <w:t xml:space="preserve"> 5</w:t>
      </w:r>
      <w:r w:rsidR="00AA5141" w:rsidRPr="000A5467">
        <w:rPr>
          <w:rFonts w:asciiTheme="minorHAnsi" w:hAnsiTheme="minorHAnsi" w:cstheme="minorHAnsi"/>
          <w:i/>
          <w:sz w:val="21"/>
          <w:szCs w:val="21"/>
        </w:rPr>
        <w:t>. prosince</w:t>
      </w:r>
      <w:r w:rsidR="00F21D05" w:rsidRPr="000A5467">
        <w:rPr>
          <w:rFonts w:asciiTheme="minorHAnsi" w:hAnsiTheme="minorHAnsi" w:cstheme="minorHAnsi"/>
          <w:i/>
          <w:sz w:val="21"/>
          <w:szCs w:val="21"/>
        </w:rPr>
        <w:t xml:space="preserve"> 2023</w:t>
      </w:r>
      <w:r w:rsidR="00F21D05" w:rsidRPr="00EF6D8C">
        <w:rPr>
          <w:rFonts w:asciiTheme="minorHAnsi" w:hAnsiTheme="minorHAnsi" w:cstheme="minorHAnsi"/>
          <w:b/>
          <w:sz w:val="21"/>
          <w:szCs w:val="21"/>
        </w:rPr>
        <w:t xml:space="preserve"> </w:t>
      </w:r>
      <w:r w:rsidR="00FA69C2" w:rsidRPr="00EF6D8C">
        <w:rPr>
          <w:rFonts w:asciiTheme="minorHAnsi" w:hAnsiTheme="minorHAnsi" w:cstheme="minorHAnsi"/>
          <w:b/>
          <w:sz w:val="21"/>
          <w:szCs w:val="21"/>
        </w:rPr>
        <w:t xml:space="preserve">– </w:t>
      </w:r>
      <w:r w:rsidR="00082FDB" w:rsidRPr="00EF6D8C">
        <w:rPr>
          <w:rFonts w:asciiTheme="minorHAnsi" w:hAnsiTheme="minorHAnsi" w:cstheme="minorHAnsi"/>
          <w:b/>
          <w:sz w:val="21"/>
          <w:szCs w:val="21"/>
        </w:rPr>
        <w:t xml:space="preserve">Hodnoty </w:t>
      </w:r>
      <w:r w:rsidR="00082FDB" w:rsidRPr="00EF6D8C">
        <w:rPr>
          <w:rFonts w:asciiTheme="minorHAnsi" w:hAnsiTheme="minorHAnsi" w:cstheme="minorHAnsi"/>
          <w:b/>
          <w:color w:val="000000" w:themeColor="text1"/>
          <w:sz w:val="21"/>
          <w:szCs w:val="21"/>
        </w:rPr>
        <w:t xml:space="preserve">Broker Consulting Indexu spotřebitelských úvěrů dosahovaly v listopadu 2023 </w:t>
      </w:r>
      <w:r w:rsidR="001B6A93" w:rsidRPr="00EF6D8C">
        <w:rPr>
          <w:rFonts w:asciiTheme="minorHAnsi" w:hAnsiTheme="minorHAnsi" w:cstheme="minorHAnsi"/>
          <w:b/>
          <w:color w:val="000000" w:themeColor="text1"/>
          <w:sz w:val="21"/>
          <w:szCs w:val="21"/>
        </w:rPr>
        <w:t>průměrné hodnoty 8,51 procenta</w:t>
      </w:r>
      <w:r w:rsidR="00082FDB" w:rsidRPr="00EF6D8C">
        <w:rPr>
          <w:rFonts w:asciiTheme="minorHAnsi" w:hAnsiTheme="minorHAnsi" w:cstheme="minorHAnsi"/>
          <w:b/>
          <w:color w:val="000000" w:themeColor="text1"/>
          <w:sz w:val="21"/>
          <w:szCs w:val="21"/>
        </w:rPr>
        <w:t>. V porovnání s předešlým měsíce</w:t>
      </w:r>
      <w:r w:rsidR="001B6A93" w:rsidRPr="00EF6D8C">
        <w:rPr>
          <w:rFonts w:asciiTheme="minorHAnsi" w:hAnsiTheme="minorHAnsi" w:cstheme="minorHAnsi"/>
          <w:b/>
          <w:color w:val="000000" w:themeColor="text1"/>
          <w:sz w:val="21"/>
          <w:szCs w:val="21"/>
        </w:rPr>
        <w:t>m</w:t>
      </w:r>
      <w:r w:rsidR="00082FDB" w:rsidRPr="00EF6D8C">
        <w:rPr>
          <w:rFonts w:asciiTheme="minorHAnsi" w:hAnsiTheme="minorHAnsi" w:cstheme="minorHAnsi"/>
          <w:b/>
          <w:color w:val="000000" w:themeColor="text1"/>
          <w:sz w:val="21"/>
          <w:szCs w:val="21"/>
        </w:rPr>
        <w:t xml:space="preserve"> se jedná o vyšší pokles, a to o 0,85procentního bodu. Aktuální hodnota je srovnatelná s hodnotami naměřenými v srpnu 2023. Podle analytiků stojí za těmito čísly zvýhodněné nabídky spotřebitelských úvěrů, které banky o prázdninách poskytují na úhradu dovolených nebo na nákupy spojené s návratem dětí do škol a aktuálně na nákupy vánočních dá</w:t>
      </w:r>
      <w:r w:rsidR="001B6A93" w:rsidRPr="00EF6D8C">
        <w:rPr>
          <w:rFonts w:asciiTheme="minorHAnsi" w:hAnsiTheme="minorHAnsi" w:cstheme="minorHAnsi"/>
          <w:b/>
          <w:color w:val="000000" w:themeColor="text1"/>
          <w:sz w:val="21"/>
          <w:szCs w:val="21"/>
        </w:rPr>
        <w:t>rků. S koncem roku si také část</w:t>
      </w:r>
      <w:r w:rsidR="00082FDB" w:rsidRPr="00EF6D8C">
        <w:rPr>
          <w:rFonts w:asciiTheme="minorHAnsi" w:hAnsiTheme="minorHAnsi" w:cstheme="minorHAnsi"/>
          <w:b/>
          <w:color w:val="000000" w:themeColor="text1"/>
          <w:sz w:val="21"/>
          <w:szCs w:val="21"/>
        </w:rPr>
        <w:t xml:space="preserve"> lidí dělá pořádek ve financích</w:t>
      </w:r>
      <w:r w:rsidR="003D2162">
        <w:rPr>
          <w:rFonts w:asciiTheme="minorHAnsi" w:hAnsiTheme="minorHAnsi" w:cstheme="minorHAnsi"/>
          <w:b/>
          <w:color w:val="000000" w:themeColor="text1"/>
          <w:sz w:val="21"/>
          <w:szCs w:val="21"/>
        </w:rPr>
        <w:t xml:space="preserve"> a pro lepší přehled konsoliduje</w:t>
      </w:r>
      <w:r w:rsidR="00082FDB" w:rsidRPr="00EF6D8C">
        <w:rPr>
          <w:rFonts w:asciiTheme="minorHAnsi" w:hAnsiTheme="minorHAnsi" w:cstheme="minorHAnsi"/>
          <w:b/>
          <w:color w:val="000000" w:themeColor="text1"/>
          <w:sz w:val="21"/>
          <w:szCs w:val="21"/>
        </w:rPr>
        <w:t xml:space="preserve"> všechny své úvěry. </w:t>
      </w:r>
    </w:p>
    <w:p w14:paraId="50F96188" w14:textId="591A67F1" w:rsidR="00082FDB" w:rsidRPr="00EF6D8C" w:rsidRDefault="00082FDB" w:rsidP="00082FDB">
      <w:pPr>
        <w:spacing w:after="200"/>
        <w:rPr>
          <w:rFonts w:asciiTheme="minorHAnsi" w:hAnsiTheme="minorHAnsi" w:cstheme="minorHAnsi"/>
          <w:bCs/>
          <w:color w:val="000000" w:themeColor="text1"/>
          <w:sz w:val="21"/>
          <w:szCs w:val="21"/>
        </w:rPr>
      </w:pPr>
      <w:r w:rsidRPr="00EF6D8C">
        <w:rPr>
          <w:rFonts w:asciiTheme="minorHAnsi" w:hAnsiTheme="minorHAnsi" w:cstheme="minorHAnsi"/>
          <w:bCs/>
          <w:color w:val="000000" w:themeColor="text1"/>
          <w:sz w:val="21"/>
          <w:szCs w:val="21"/>
        </w:rPr>
        <w:t xml:space="preserve">Broker Consulting Index spotřebitelských úvěrů zaznamenal </w:t>
      </w:r>
      <w:r w:rsidRPr="00EF6D8C">
        <w:rPr>
          <w:rFonts w:asciiTheme="minorHAnsi" w:hAnsiTheme="minorHAnsi" w:cstheme="minorHAnsi"/>
          <w:color w:val="000000" w:themeColor="text1"/>
          <w:sz w:val="21"/>
          <w:szCs w:val="21"/>
        </w:rPr>
        <w:t>v listopadu 2023</w:t>
      </w:r>
      <w:r w:rsidR="001B6A93" w:rsidRPr="00EF6D8C">
        <w:rPr>
          <w:rFonts w:asciiTheme="minorHAnsi" w:hAnsiTheme="minorHAnsi" w:cstheme="minorHAnsi"/>
          <w:bCs/>
          <w:color w:val="000000" w:themeColor="text1"/>
          <w:sz w:val="21"/>
          <w:szCs w:val="21"/>
        </w:rPr>
        <w:t xml:space="preserve"> pokles o 0,85 procentního bodu. Říjnová hodnota 9,36 procenta</w:t>
      </w:r>
      <w:r w:rsidRPr="00EF6D8C">
        <w:rPr>
          <w:rFonts w:asciiTheme="minorHAnsi" w:hAnsiTheme="minorHAnsi" w:cstheme="minorHAnsi"/>
          <w:bCs/>
          <w:color w:val="000000" w:themeColor="text1"/>
          <w:sz w:val="21"/>
          <w:szCs w:val="21"/>
        </w:rPr>
        <w:t xml:space="preserve"> se tak snížila </w:t>
      </w:r>
      <w:r w:rsidR="001B6A93" w:rsidRPr="00EF6D8C">
        <w:rPr>
          <w:rFonts w:asciiTheme="minorHAnsi" w:hAnsiTheme="minorHAnsi" w:cstheme="minorHAnsi"/>
          <w:color w:val="000000" w:themeColor="text1"/>
          <w:sz w:val="21"/>
          <w:szCs w:val="21"/>
        </w:rPr>
        <w:t>na aktuálních 8,51 procenta</w:t>
      </w:r>
      <w:r w:rsidRPr="00EF6D8C">
        <w:rPr>
          <w:rFonts w:asciiTheme="minorHAnsi" w:hAnsiTheme="minorHAnsi" w:cstheme="minorHAnsi"/>
          <w:b/>
          <w:color w:val="000000" w:themeColor="text1"/>
          <w:sz w:val="21"/>
          <w:szCs w:val="21"/>
        </w:rPr>
        <w:t>.</w:t>
      </w:r>
      <w:r w:rsidRPr="00EF6D8C">
        <w:rPr>
          <w:rFonts w:asciiTheme="minorHAnsi" w:hAnsiTheme="minorHAnsi" w:cstheme="minorHAnsi"/>
          <w:bCs/>
          <w:color w:val="000000" w:themeColor="text1"/>
          <w:sz w:val="21"/>
          <w:szCs w:val="21"/>
        </w:rPr>
        <w:t xml:space="preserve"> </w:t>
      </w:r>
      <w:r w:rsidRPr="00EF6D8C">
        <w:rPr>
          <w:rFonts w:asciiTheme="minorHAnsi" w:hAnsiTheme="minorHAnsi" w:cstheme="minorHAnsi"/>
          <w:bCs/>
          <w:i/>
          <w:iCs/>
          <w:color w:val="000000" w:themeColor="text1"/>
          <w:sz w:val="21"/>
          <w:szCs w:val="21"/>
        </w:rPr>
        <w:t>„Pravděpodobně se již projevilo zvýhodnění bankovních nabídek úvěrů pro klienty, kteří si berou spotřebitelské úvěry na nákup vánočních dárků,“</w:t>
      </w:r>
      <w:r w:rsidRPr="00EF6D8C">
        <w:rPr>
          <w:rFonts w:asciiTheme="minorHAnsi" w:hAnsiTheme="minorHAnsi" w:cstheme="minorHAnsi"/>
          <w:bCs/>
          <w:color w:val="000000" w:themeColor="text1"/>
          <w:sz w:val="21"/>
          <w:szCs w:val="21"/>
        </w:rPr>
        <w:t xml:space="preserve"> říká </w:t>
      </w:r>
      <w:r w:rsidRPr="00EF6D8C">
        <w:rPr>
          <w:rFonts w:asciiTheme="minorHAnsi" w:hAnsiTheme="minorHAnsi" w:cstheme="minorHAnsi"/>
          <w:b/>
          <w:color w:val="000000" w:themeColor="text1"/>
          <w:sz w:val="21"/>
          <w:szCs w:val="21"/>
        </w:rPr>
        <w:t xml:space="preserve">Michaela Pudilová, analytička hypotečních a spotřebitelských úvěrů ze společnosti Broker Consulting. </w:t>
      </w:r>
    </w:p>
    <w:p w14:paraId="0A1F8357" w14:textId="1E53706F" w:rsidR="00082FDB" w:rsidRPr="00EF6D8C" w:rsidRDefault="00082FDB" w:rsidP="00424406">
      <w:pPr>
        <w:spacing w:after="360"/>
        <w:rPr>
          <w:rFonts w:asciiTheme="minorHAnsi" w:hAnsiTheme="minorHAnsi" w:cstheme="minorHAnsi"/>
          <w:bCs/>
          <w:color w:val="000000" w:themeColor="text1"/>
          <w:sz w:val="21"/>
          <w:szCs w:val="21"/>
        </w:rPr>
      </w:pPr>
      <w:r w:rsidRPr="00EF6D8C">
        <w:rPr>
          <w:rFonts w:asciiTheme="minorHAnsi" w:hAnsiTheme="minorHAnsi" w:cstheme="minorHAnsi"/>
          <w:bCs/>
          <w:color w:val="000000" w:themeColor="text1"/>
          <w:sz w:val="21"/>
          <w:szCs w:val="21"/>
        </w:rPr>
        <w:t>Oproti minulým měsícům sice hodnota Broker Consulting Indexu zaznamenala vyšší pokles, ale čísla jso</w:t>
      </w:r>
      <w:r w:rsidR="00A008B8">
        <w:rPr>
          <w:rFonts w:asciiTheme="minorHAnsi" w:hAnsiTheme="minorHAnsi" w:cstheme="minorHAnsi"/>
          <w:bCs/>
          <w:color w:val="000000" w:themeColor="text1"/>
          <w:sz w:val="21"/>
          <w:szCs w:val="21"/>
        </w:rPr>
        <w:t>u aktuálně na úrovni těch, kterých</w:t>
      </w:r>
      <w:r w:rsidRPr="00EF6D8C">
        <w:rPr>
          <w:rFonts w:asciiTheme="minorHAnsi" w:hAnsiTheme="minorHAnsi" w:cstheme="minorHAnsi"/>
          <w:bCs/>
          <w:color w:val="000000" w:themeColor="text1"/>
          <w:sz w:val="21"/>
          <w:szCs w:val="21"/>
        </w:rPr>
        <w:t xml:space="preserve"> dosahovala v srpnu 2023. </w:t>
      </w:r>
      <w:r w:rsidRPr="00EF6D8C">
        <w:rPr>
          <w:rFonts w:asciiTheme="minorHAnsi" w:hAnsiTheme="minorHAnsi" w:cstheme="minorHAnsi"/>
          <w:bCs/>
          <w:i/>
          <w:iCs/>
          <w:color w:val="000000" w:themeColor="text1"/>
          <w:sz w:val="21"/>
          <w:szCs w:val="21"/>
        </w:rPr>
        <w:t>„Prázdniny jsou totiž dalším důležitým obdobím, kdy jsou spotřebitelské úvěry poskytován</w:t>
      </w:r>
      <w:r w:rsidR="00543DD3">
        <w:rPr>
          <w:rFonts w:asciiTheme="minorHAnsi" w:hAnsiTheme="minorHAnsi" w:cstheme="minorHAnsi"/>
          <w:bCs/>
          <w:i/>
          <w:iCs/>
          <w:color w:val="000000" w:themeColor="text1"/>
          <w:sz w:val="21"/>
          <w:szCs w:val="21"/>
        </w:rPr>
        <w:t>y buď na úhradu dovolených, nebo na</w:t>
      </w:r>
      <w:r w:rsidRPr="00EF6D8C">
        <w:rPr>
          <w:rFonts w:asciiTheme="minorHAnsi" w:hAnsiTheme="minorHAnsi" w:cstheme="minorHAnsi"/>
          <w:bCs/>
          <w:i/>
          <w:iCs/>
          <w:color w:val="000000" w:themeColor="text1"/>
          <w:sz w:val="21"/>
          <w:szCs w:val="21"/>
        </w:rPr>
        <w:t xml:space="preserve"> zvýšené náklady, které </w:t>
      </w:r>
      <w:r w:rsidR="00543DD3">
        <w:rPr>
          <w:rFonts w:asciiTheme="minorHAnsi" w:hAnsiTheme="minorHAnsi" w:cstheme="minorHAnsi"/>
          <w:bCs/>
          <w:i/>
          <w:iCs/>
          <w:color w:val="000000" w:themeColor="text1"/>
          <w:sz w:val="21"/>
          <w:szCs w:val="21"/>
        </w:rPr>
        <w:t>s sebou nese návrat</w:t>
      </w:r>
      <w:r w:rsidRPr="00EF6D8C">
        <w:rPr>
          <w:rFonts w:asciiTheme="minorHAnsi" w:hAnsiTheme="minorHAnsi" w:cstheme="minorHAnsi"/>
          <w:bCs/>
          <w:i/>
          <w:iCs/>
          <w:color w:val="000000" w:themeColor="text1"/>
          <w:sz w:val="21"/>
          <w:szCs w:val="21"/>
        </w:rPr>
        <w:t xml:space="preserve"> dětí do škol,“ </w:t>
      </w:r>
      <w:r w:rsidRPr="00EF6D8C">
        <w:rPr>
          <w:rFonts w:asciiTheme="minorHAnsi" w:hAnsiTheme="minorHAnsi" w:cstheme="minorHAnsi"/>
          <w:bCs/>
          <w:color w:val="000000" w:themeColor="text1"/>
          <w:sz w:val="21"/>
          <w:szCs w:val="21"/>
        </w:rPr>
        <w:t xml:space="preserve">vysvětluje </w:t>
      </w:r>
      <w:r w:rsidR="007F2512">
        <w:rPr>
          <w:rFonts w:asciiTheme="minorHAnsi" w:hAnsiTheme="minorHAnsi" w:cstheme="minorHAnsi"/>
          <w:bCs/>
          <w:color w:val="000000" w:themeColor="text1"/>
          <w:sz w:val="21"/>
          <w:szCs w:val="21"/>
        </w:rPr>
        <w:t xml:space="preserve">Michaela </w:t>
      </w:r>
      <w:r w:rsidRPr="00EF6D8C">
        <w:rPr>
          <w:rFonts w:asciiTheme="minorHAnsi" w:hAnsiTheme="minorHAnsi" w:cstheme="minorHAnsi"/>
          <w:bCs/>
          <w:color w:val="000000" w:themeColor="text1"/>
          <w:sz w:val="21"/>
          <w:szCs w:val="21"/>
        </w:rPr>
        <w:t xml:space="preserve">Pudilová. </w:t>
      </w:r>
    </w:p>
    <w:p w14:paraId="68468882" w14:textId="1EF33ACC" w:rsidR="004D6DB4" w:rsidRPr="00EF6D8C" w:rsidRDefault="00424406" w:rsidP="00320E0F">
      <w:pPr>
        <w:spacing w:after="200"/>
        <w:rPr>
          <w:rFonts w:asciiTheme="minorHAnsi" w:hAnsiTheme="minorHAnsi" w:cstheme="minorHAnsi"/>
          <w:b/>
          <w:sz w:val="21"/>
          <w:szCs w:val="21"/>
        </w:rPr>
      </w:pPr>
      <w:r w:rsidRPr="00EF6D8C">
        <w:rPr>
          <w:rFonts w:asciiTheme="minorHAnsi" w:hAnsiTheme="minorHAnsi" w:cstheme="minorHAnsi"/>
          <w:b/>
          <w:noProof/>
          <w:sz w:val="21"/>
          <w:szCs w:val="21"/>
          <w:lang w:bidi="ar-SA"/>
        </w:rPr>
        <w:drawing>
          <wp:inline distT="0" distB="0" distL="0" distR="0" wp14:anchorId="742368BE" wp14:editId="0924C8B0">
            <wp:extent cx="6559550" cy="29591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 BC Index spotřebitelských úvěrů - listopad 2023.jpg"/>
                    <pic:cNvPicPr/>
                  </pic:nvPicPr>
                  <pic:blipFill>
                    <a:blip r:embed="rId24">
                      <a:extLst>
                        <a:ext uri="{28A0092B-C50C-407E-A947-70E740481C1C}">
                          <a14:useLocalDpi xmlns:a14="http://schemas.microsoft.com/office/drawing/2010/main" val="0"/>
                        </a:ext>
                      </a:extLst>
                    </a:blip>
                    <a:stretch>
                      <a:fillRect/>
                    </a:stretch>
                  </pic:blipFill>
                  <pic:spPr>
                    <a:xfrm>
                      <a:off x="0" y="0"/>
                      <a:ext cx="6559550" cy="2959100"/>
                    </a:xfrm>
                    <a:prstGeom prst="rect">
                      <a:avLst/>
                    </a:prstGeom>
                  </pic:spPr>
                </pic:pic>
              </a:graphicData>
            </a:graphic>
          </wp:inline>
        </w:drawing>
      </w:r>
    </w:p>
    <w:p w14:paraId="3B69C6A8" w14:textId="6333BFD5" w:rsidR="00082FDB" w:rsidRPr="00EF6D8C" w:rsidRDefault="00082FDB" w:rsidP="00424406">
      <w:pPr>
        <w:spacing w:before="360" w:after="200"/>
        <w:rPr>
          <w:rFonts w:asciiTheme="minorHAnsi" w:hAnsiTheme="minorHAnsi" w:cstheme="minorHAnsi"/>
          <w:b/>
          <w:color w:val="000000" w:themeColor="text1"/>
          <w:sz w:val="21"/>
          <w:szCs w:val="21"/>
        </w:rPr>
      </w:pPr>
      <w:r w:rsidRPr="00EF6D8C">
        <w:rPr>
          <w:rFonts w:asciiTheme="minorHAnsi" w:hAnsiTheme="minorHAnsi" w:cstheme="minorHAnsi"/>
          <w:b/>
          <w:color w:val="000000" w:themeColor="text1"/>
          <w:sz w:val="21"/>
          <w:szCs w:val="21"/>
        </w:rPr>
        <w:t>Konec roku je obdobím konsolidací</w:t>
      </w:r>
    </w:p>
    <w:p w14:paraId="63F6F1DF" w14:textId="5650BCF0" w:rsidR="00082FDB" w:rsidRPr="00EF6D8C" w:rsidRDefault="00082FDB" w:rsidP="00082FDB">
      <w:pPr>
        <w:spacing w:after="200"/>
        <w:rPr>
          <w:rFonts w:asciiTheme="minorHAnsi" w:hAnsiTheme="minorHAnsi" w:cstheme="minorHAnsi"/>
          <w:b/>
          <w:color w:val="000000" w:themeColor="text1"/>
          <w:sz w:val="21"/>
          <w:szCs w:val="21"/>
        </w:rPr>
      </w:pPr>
      <w:r w:rsidRPr="00EF6D8C">
        <w:rPr>
          <w:rFonts w:asciiTheme="minorHAnsi" w:hAnsiTheme="minorHAnsi" w:cstheme="minorHAnsi"/>
          <w:bCs/>
          <w:color w:val="000000" w:themeColor="text1"/>
          <w:sz w:val="21"/>
          <w:szCs w:val="21"/>
        </w:rPr>
        <w:t>Kromě vánočních půjček, které by si měli lidé brát pouze po důkladném zvážení, je konec roku také obdobím, kdy</w:t>
      </w:r>
      <w:r w:rsidR="00EB4746">
        <w:rPr>
          <w:rFonts w:asciiTheme="minorHAnsi" w:hAnsiTheme="minorHAnsi" w:cstheme="minorHAnsi"/>
          <w:bCs/>
          <w:color w:val="000000" w:themeColor="text1"/>
          <w:sz w:val="21"/>
          <w:szCs w:val="21"/>
        </w:rPr>
        <w:t xml:space="preserve"> lidé</w:t>
      </w:r>
      <w:r w:rsidRPr="00EF6D8C">
        <w:rPr>
          <w:rFonts w:asciiTheme="minorHAnsi" w:hAnsiTheme="minorHAnsi" w:cstheme="minorHAnsi"/>
          <w:bCs/>
          <w:color w:val="000000" w:themeColor="text1"/>
          <w:sz w:val="21"/>
          <w:szCs w:val="21"/>
        </w:rPr>
        <w:t xml:space="preserve">, kteří už nějaké spotřebitelské úvěry mají, zvažují jejich konsolidaci. </w:t>
      </w:r>
      <w:r w:rsidRPr="00EF6D8C">
        <w:rPr>
          <w:rFonts w:asciiTheme="minorHAnsi" w:hAnsiTheme="minorHAnsi" w:cstheme="minorHAnsi"/>
          <w:bCs/>
          <w:i/>
          <w:iCs/>
          <w:color w:val="000000" w:themeColor="text1"/>
          <w:sz w:val="21"/>
          <w:szCs w:val="21"/>
        </w:rPr>
        <w:t>„Jedním produktem se doplatí úvěry, které již klient vlastní</w:t>
      </w:r>
      <w:r w:rsidR="00EB4746">
        <w:rPr>
          <w:rFonts w:asciiTheme="minorHAnsi" w:hAnsiTheme="minorHAnsi" w:cstheme="minorHAnsi"/>
          <w:bCs/>
          <w:i/>
          <w:iCs/>
          <w:color w:val="000000" w:themeColor="text1"/>
          <w:sz w:val="21"/>
          <w:szCs w:val="21"/>
        </w:rPr>
        <w:t>,</w:t>
      </w:r>
      <w:r w:rsidRPr="00EF6D8C">
        <w:rPr>
          <w:rFonts w:asciiTheme="minorHAnsi" w:hAnsiTheme="minorHAnsi" w:cstheme="minorHAnsi"/>
          <w:bCs/>
          <w:i/>
          <w:iCs/>
          <w:color w:val="000000" w:themeColor="text1"/>
          <w:sz w:val="21"/>
          <w:szCs w:val="21"/>
        </w:rPr>
        <w:t xml:space="preserve"> a zároveň je možné vzít si i peníze navíc, tedy neúčelově</w:t>
      </w:r>
      <w:r w:rsidR="00EB4746">
        <w:rPr>
          <w:rFonts w:asciiTheme="minorHAnsi" w:hAnsiTheme="minorHAnsi" w:cstheme="minorHAnsi"/>
          <w:bCs/>
          <w:i/>
          <w:iCs/>
          <w:color w:val="000000" w:themeColor="text1"/>
          <w:sz w:val="21"/>
          <w:szCs w:val="21"/>
        </w:rPr>
        <w:t>. Pro tyto produkty banky nabízejí</w:t>
      </w:r>
      <w:r w:rsidRPr="00EF6D8C">
        <w:rPr>
          <w:rFonts w:asciiTheme="minorHAnsi" w:hAnsiTheme="minorHAnsi" w:cstheme="minorHAnsi"/>
          <w:bCs/>
          <w:i/>
          <w:iCs/>
          <w:color w:val="000000" w:themeColor="text1"/>
          <w:sz w:val="21"/>
          <w:szCs w:val="21"/>
        </w:rPr>
        <w:t xml:space="preserve"> sníženou úr</w:t>
      </w:r>
      <w:r w:rsidR="00EB4746">
        <w:rPr>
          <w:rFonts w:asciiTheme="minorHAnsi" w:hAnsiTheme="minorHAnsi" w:cstheme="minorHAnsi"/>
          <w:bCs/>
          <w:i/>
          <w:iCs/>
          <w:color w:val="000000" w:themeColor="text1"/>
          <w:sz w:val="21"/>
          <w:szCs w:val="21"/>
        </w:rPr>
        <w:t xml:space="preserve">okovou sazbu a delší splatnost </w:t>
      </w:r>
      <w:r w:rsidRPr="00EF6D8C">
        <w:rPr>
          <w:rFonts w:asciiTheme="minorHAnsi" w:hAnsiTheme="minorHAnsi" w:cstheme="minorHAnsi"/>
          <w:bCs/>
          <w:i/>
          <w:iCs/>
          <w:color w:val="000000" w:themeColor="text1"/>
          <w:sz w:val="21"/>
          <w:szCs w:val="21"/>
        </w:rPr>
        <w:t>tak</w:t>
      </w:r>
      <w:r w:rsidR="00EB4746">
        <w:rPr>
          <w:rFonts w:asciiTheme="minorHAnsi" w:hAnsiTheme="minorHAnsi" w:cstheme="minorHAnsi"/>
          <w:bCs/>
          <w:i/>
          <w:iCs/>
          <w:color w:val="000000" w:themeColor="text1"/>
          <w:sz w:val="21"/>
          <w:szCs w:val="21"/>
        </w:rPr>
        <w:t>,</w:t>
      </w:r>
      <w:r w:rsidRPr="00EF6D8C">
        <w:rPr>
          <w:rFonts w:asciiTheme="minorHAnsi" w:hAnsiTheme="minorHAnsi" w:cstheme="minorHAnsi"/>
          <w:bCs/>
          <w:i/>
          <w:iCs/>
          <w:color w:val="000000" w:themeColor="text1"/>
          <w:sz w:val="21"/>
          <w:szCs w:val="21"/>
        </w:rPr>
        <w:t xml:space="preserve"> aby pro rodinné peněženky nebyla splátka takovou zátěží, “</w:t>
      </w:r>
      <w:r w:rsidRPr="00EF6D8C">
        <w:rPr>
          <w:rFonts w:asciiTheme="minorHAnsi" w:hAnsiTheme="minorHAnsi" w:cstheme="minorHAnsi"/>
          <w:bCs/>
          <w:color w:val="000000" w:themeColor="text1"/>
          <w:sz w:val="21"/>
          <w:szCs w:val="21"/>
        </w:rPr>
        <w:t xml:space="preserve"> popisuje základní principy konsolidace úvěrů </w:t>
      </w:r>
      <w:r w:rsidR="00EB4746">
        <w:rPr>
          <w:rFonts w:asciiTheme="minorHAnsi" w:hAnsiTheme="minorHAnsi" w:cstheme="minorHAnsi"/>
          <w:b/>
          <w:color w:val="000000" w:themeColor="text1"/>
          <w:sz w:val="21"/>
          <w:szCs w:val="21"/>
        </w:rPr>
        <w:t>Michaela Pudilová.</w:t>
      </w:r>
    </w:p>
    <w:p w14:paraId="13A9E5DC" w14:textId="503FB1A7" w:rsidR="00082FDB" w:rsidRPr="00EF6D8C" w:rsidRDefault="00C7063D" w:rsidP="00082FDB">
      <w:pPr>
        <w:spacing w:after="20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Dodává také</w:t>
      </w:r>
      <w:r w:rsidR="00082FDB" w:rsidRPr="00EF6D8C">
        <w:rPr>
          <w:rFonts w:asciiTheme="minorHAnsi" w:hAnsiTheme="minorHAnsi" w:cstheme="minorHAnsi"/>
          <w:bCs/>
          <w:color w:val="000000" w:themeColor="text1"/>
          <w:sz w:val="21"/>
          <w:szCs w:val="21"/>
        </w:rPr>
        <w:t xml:space="preserve">, že konsolidace úvěrů </w:t>
      </w:r>
      <w:r>
        <w:rPr>
          <w:rFonts w:asciiTheme="minorHAnsi" w:hAnsiTheme="minorHAnsi" w:cstheme="minorHAnsi"/>
          <w:bCs/>
          <w:color w:val="000000" w:themeColor="text1"/>
          <w:sz w:val="21"/>
          <w:szCs w:val="21"/>
        </w:rPr>
        <w:t>zpřehlední finance</w:t>
      </w:r>
      <w:r w:rsidR="00082FDB" w:rsidRPr="00EF6D8C">
        <w:rPr>
          <w:rFonts w:asciiTheme="minorHAnsi" w:hAnsiTheme="minorHAnsi" w:cstheme="minorHAnsi"/>
          <w:bCs/>
          <w:color w:val="000000" w:themeColor="text1"/>
          <w:sz w:val="21"/>
          <w:szCs w:val="21"/>
        </w:rPr>
        <w:t>, které budou nově jen v jedné splátce. Podm</w:t>
      </w:r>
      <w:r>
        <w:rPr>
          <w:rFonts w:asciiTheme="minorHAnsi" w:hAnsiTheme="minorHAnsi" w:cstheme="minorHAnsi"/>
          <w:bCs/>
          <w:color w:val="000000" w:themeColor="text1"/>
          <w:sz w:val="21"/>
          <w:szCs w:val="21"/>
        </w:rPr>
        <w:t>ínkou pro konsolidaci úvěrů je</w:t>
      </w:r>
      <w:r w:rsidR="00082FDB" w:rsidRPr="00EF6D8C">
        <w:rPr>
          <w:rFonts w:asciiTheme="minorHAnsi" w:hAnsiTheme="minorHAnsi" w:cstheme="minorHAnsi"/>
          <w:bCs/>
          <w:color w:val="000000" w:themeColor="text1"/>
          <w:sz w:val="21"/>
          <w:szCs w:val="21"/>
        </w:rPr>
        <w:t xml:space="preserve"> jako u jiných bankovních produktů d</w:t>
      </w:r>
      <w:r>
        <w:rPr>
          <w:rFonts w:asciiTheme="minorHAnsi" w:hAnsiTheme="minorHAnsi" w:cstheme="minorHAnsi"/>
          <w:bCs/>
          <w:color w:val="000000" w:themeColor="text1"/>
          <w:sz w:val="21"/>
          <w:szCs w:val="21"/>
        </w:rPr>
        <w:t>ostatek financí</w:t>
      </w:r>
      <w:r w:rsidR="00082FDB" w:rsidRPr="00EF6D8C">
        <w:rPr>
          <w:rFonts w:asciiTheme="minorHAnsi" w:hAnsiTheme="minorHAnsi" w:cstheme="minorHAnsi"/>
          <w:bCs/>
          <w:color w:val="000000" w:themeColor="text1"/>
          <w:sz w:val="21"/>
          <w:szCs w:val="21"/>
        </w:rPr>
        <w:t xml:space="preserve"> na splácení. V případě potřeby je možné sčítat finance celé domácnosti, tedy příjmy obou manželů či partnerů. </w:t>
      </w:r>
    </w:p>
    <w:p w14:paraId="77E3E756" w14:textId="77777777" w:rsidR="00082FDB" w:rsidRPr="00EF6D8C" w:rsidRDefault="00082FDB" w:rsidP="00082FDB">
      <w:pPr>
        <w:spacing w:after="200"/>
        <w:rPr>
          <w:rFonts w:asciiTheme="minorHAnsi" w:hAnsiTheme="minorHAnsi" w:cstheme="minorHAnsi"/>
          <w:b/>
          <w:color w:val="000000" w:themeColor="text1"/>
          <w:sz w:val="21"/>
          <w:szCs w:val="21"/>
        </w:rPr>
      </w:pPr>
      <w:r w:rsidRPr="00EF6D8C">
        <w:rPr>
          <w:rFonts w:asciiTheme="minorHAnsi" w:hAnsiTheme="minorHAnsi" w:cstheme="minorHAnsi"/>
          <w:b/>
          <w:color w:val="000000" w:themeColor="text1"/>
          <w:sz w:val="21"/>
          <w:szCs w:val="21"/>
        </w:rPr>
        <w:lastRenderedPageBreak/>
        <w:t>Půjčování na dárky musí být promyšlené</w:t>
      </w:r>
    </w:p>
    <w:p w14:paraId="7D2EB3D7" w14:textId="5F3F6788" w:rsidR="00082FDB" w:rsidRPr="00EF6D8C" w:rsidRDefault="00082FDB" w:rsidP="00082FDB">
      <w:pPr>
        <w:spacing w:after="200"/>
        <w:rPr>
          <w:rFonts w:asciiTheme="minorHAnsi" w:hAnsiTheme="minorHAnsi" w:cstheme="minorHAnsi"/>
          <w:bCs/>
          <w:color w:val="000000" w:themeColor="text1"/>
          <w:sz w:val="21"/>
          <w:szCs w:val="21"/>
        </w:rPr>
      </w:pPr>
      <w:r w:rsidRPr="00EF6D8C">
        <w:rPr>
          <w:rFonts w:asciiTheme="minorHAnsi" w:hAnsiTheme="minorHAnsi" w:cstheme="minorHAnsi"/>
          <w:bCs/>
          <w:color w:val="000000" w:themeColor="text1"/>
          <w:sz w:val="21"/>
          <w:szCs w:val="21"/>
        </w:rPr>
        <w:t>Půjčky na vánoční dárky a na zvýšené náklady domácnosti v tomto období nejsou ničím neobvyklým. Tak jako každý rok, i letos odborníci varují před neuváženými nákupy na úvěr. Důležité je</w:t>
      </w:r>
      <w:r w:rsidR="00944E57">
        <w:rPr>
          <w:rFonts w:asciiTheme="minorHAnsi" w:hAnsiTheme="minorHAnsi" w:cstheme="minorHAnsi"/>
          <w:bCs/>
          <w:color w:val="000000" w:themeColor="text1"/>
          <w:sz w:val="21"/>
          <w:szCs w:val="21"/>
        </w:rPr>
        <w:t xml:space="preserve"> držet se základního pravidla: </w:t>
      </w:r>
      <w:r w:rsidRPr="00EF6D8C">
        <w:rPr>
          <w:rFonts w:asciiTheme="minorHAnsi" w:hAnsiTheme="minorHAnsi" w:cstheme="minorHAnsi"/>
          <w:bCs/>
          <w:color w:val="000000" w:themeColor="text1"/>
          <w:sz w:val="21"/>
          <w:szCs w:val="21"/>
        </w:rPr>
        <w:t>Doba splácení by nikdy neměla překr</w:t>
      </w:r>
      <w:r w:rsidR="00944E57">
        <w:rPr>
          <w:rFonts w:asciiTheme="minorHAnsi" w:hAnsiTheme="minorHAnsi" w:cstheme="minorHAnsi"/>
          <w:bCs/>
          <w:color w:val="000000" w:themeColor="text1"/>
          <w:sz w:val="21"/>
          <w:szCs w:val="21"/>
        </w:rPr>
        <w:t>očit dobu životnosti věci, která je půjčkou financovaná.</w:t>
      </w:r>
      <w:r w:rsidRPr="00EF6D8C">
        <w:rPr>
          <w:rFonts w:asciiTheme="minorHAnsi" w:hAnsiTheme="minorHAnsi" w:cstheme="minorHAnsi"/>
          <w:bCs/>
          <w:color w:val="000000" w:themeColor="text1"/>
          <w:sz w:val="21"/>
          <w:szCs w:val="21"/>
        </w:rPr>
        <w:t xml:space="preserve"> Počítat je nutné i s částkou, </w:t>
      </w:r>
      <w:r w:rsidR="00944E57">
        <w:rPr>
          <w:rFonts w:asciiTheme="minorHAnsi" w:hAnsiTheme="minorHAnsi" w:cstheme="minorHAnsi"/>
          <w:bCs/>
          <w:color w:val="000000" w:themeColor="text1"/>
          <w:sz w:val="21"/>
          <w:szCs w:val="21"/>
        </w:rPr>
        <w:t>jíž za dárek</w:t>
      </w:r>
      <w:r w:rsidRPr="00EF6D8C">
        <w:rPr>
          <w:rFonts w:asciiTheme="minorHAnsi" w:hAnsiTheme="minorHAnsi" w:cstheme="minorHAnsi"/>
          <w:bCs/>
          <w:color w:val="000000" w:themeColor="text1"/>
          <w:sz w:val="21"/>
          <w:szCs w:val="21"/>
        </w:rPr>
        <w:t xml:space="preserve"> </w:t>
      </w:r>
      <w:r w:rsidR="00944E57">
        <w:rPr>
          <w:rFonts w:asciiTheme="minorHAnsi" w:hAnsiTheme="minorHAnsi" w:cstheme="minorHAnsi"/>
          <w:bCs/>
          <w:color w:val="000000" w:themeColor="text1"/>
          <w:sz w:val="21"/>
          <w:szCs w:val="21"/>
        </w:rPr>
        <w:t>zaplatíte navíc.</w:t>
      </w:r>
    </w:p>
    <w:p w14:paraId="03B64B00"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Výpočet: Spotřebitelský úvěr na vánoční dárek: nákup kuchyňských spotřebičů za 80 tisíc korun.</w:t>
      </w:r>
    </w:p>
    <w:tbl>
      <w:tblPr>
        <w:tblStyle w:val="Mkatabulky"/>
        <w:tblW w:w="0" w:type="auto"/>
        <w:tblLook w:val="04A0" w:firstRow="1" w:lastRow="0" w:firstColumn="1" w:lastColumn="0" w:noHBand="0" w:noVBand="1"/>
      </w:tblPr>
      <w:tblGrid>
        <w:gridCol w:w="5220"/>
        <w:gridCol w:w="5220"/>
      </w:tblGrid>
      <w:tr w:rsidR="00082FDB" w:rsidRPr="00EF6D8C" w14:paraId="1D1679AB" w14:textId="77777777" w:rsidTr="00AE3522">
        <w:tc>
          <w:tcPr>
            <w:tcW w:w="5220" w:type="dxa"/>
          </w:tcPr>
          <w:p w14:paraId="0367F746"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Výše úvěru</w:t>
            </w:r>
          </w:p>
        </w:tc>
        <w:tc>
          <w:tcPr>
            <w:tcW w:w="5220" w:type="dxa"/>
          </w:tcPr>
          <w:p w14:paraId="4685FBB7"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80 000 Kč</w:t>
            </w:r>
          </w:p>
        </w:tc>
      </w:tr>
      <w:tr w:rsidR="00082FDB" w:rsidRPr="00EF6D8C" w14:paraId="3D25C1F7" w14:textId="77777777" w:rsidTr="00AE3522">
        <w:tc>
          <w:tcPr>
            <w:tcW w:w="5220" w:type="dxa"/>
          </w:tcPr>
          <w:p w14:paraId="024654F7"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Délka splácení</w:t>
            </w:r>
          </w:p>
        </w:tc>
        <w:tc>
          <w:tcPr>
            <w:tcW w:w="5220" w:type="dxa"/>
          </w:tcPr>
          <w:p w14:paraId="5F3631EA"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5 let (60 měsíců)</w:t>
            </w:r>
          </w:p>
        </w:tc>
      </w:tr>
      <w:tr w:rsidR="00082FDB" w:rsidRPr="00EF6D8C" w14:paraId="2F15A2B9" w14:textId="77777777" w:rsidTr="00AE3522">
        <w:tc>
          <w:tcPr>
            <w:tcW w:w="5220" w:type="dxa"/>
          </w:tcPr>
          <w:p w14:paraId="6C8EF70C"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Úroková sazba</w:t>
            </w:r>
          </w:p>
        </w:tc>
        <w:tc>
          <w:tcPr>
            <w:tcW w:w="5220" w:type="dxa"/>
          </w:tcPr>
          <w:p w14:paraId="43A86ACA"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8,51 %</w:t>
            </w:r>
          </w:p>
        </w:tc>
      </w:tr>
      <w:tr w:rsidR="00082FDB" w:rsidRPr="00EF6D8C" w14:paraId="777F2DD7" w14:textId="77777777" w:rsidTr="00AE3522">
        <w:tc>
          <w:tcPr>
            <w:tcW w:w="5220" w:type="dxa"/>
          </w:tcPr>
          <w:p w14:paraId="6C1056CA"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Výše měsíční splátky</w:t>
            </w:r>
          </w:p>
        </w:tc>
        <w:tc>
          <w:tcPr>
            <w:tcW w:w="5220" w:type="dxa"/>
          </w:tcPr>
          <w:p w14:paraId="49DE7D71"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1 642 Kč</w:t>
            </w:r>
          </w:p>
        </w:tc>
      </w:tr>
      <w:tr w:rsidR="00082FDB" w:rsidRPr="00EF6D8C" w14:paraId="27766A1B" w14:textId="77777777" w:rsidTr="00AE3522">
        <w:tc>
          <w:tcPr>
            <w:tcW w:w="5220" w:type="dxa"/>
          </w:tcPr>
          <w:p w14:paraId="650E907B"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Celkem nutno splatit</w:t>
            </w:r>
          </w:p>
        </w:tc>
        <w:tc>
          <w:tcPr>
            <w:tcW w:w="5220" w:type="dxa"/>
          </w:tcPr>
          <w:p w14:paraId="7AC9B6CA"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98 520 Kč</w:t>
            </w:r>
          </w:p>
        </w:tc>
      </w:tr>
      <w:tr w:rsidR="00082FDB" w:rsidRPr="00EF6D8C" w14:paraId="316872F4" w14:textId="77777777" w:rsidTr="00AE3522">
        <w:tc>
          <w:tcPr>
            <w:tcW w:w="5220" w:type="dxa"/>
          </w:tcPr>
          <w:p w14:paraId="04D15811"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Částka, která bude přeplacena za celou dobu splácení</w:t>
            </w:r>
          </w:p>
        </w:tc>
        <w:tc>
          <w:tcPr>
            <w:tcW w:w="5220" w:type="dxa"/>
          </w:tcPr>
          <w:p w14:paraId="6E2C37E0" w14:textId="77777777" w:rsidR="00082FDB" w:rsidRPr="00EF6D8C" w:rsidRDefault="00082FDB" w:rsidP="00EF6D8C">
            <w:pPr>
              <w:spacing w:after="120"/>
              <w:rPr>
                <w:rFonts w:asciiTheme="minorHAnsi" w:hAnsiTheme="minorHAnsi" w:cstheme="minorHAnsi"/>
                <w:b/>
                <w:color w:val="000000" w:themeColor="text1"/>
                <w:sz w:val="20"/>
                <w:szCs w:val="20"/>
              </w:rPr>
            </w:pPr>
            <w:r w:rsidRPr="00EF6D8C">
              <w:rPr>
                <w:rFonts w:asciiTheme="minorHAnsi" w:hAnsiTheme="minorHAnsi" w:cstheme="minorHAnsi"/>
                <w:b/>
                <w:color w:val="000000" w:themeColor="text1"/>
                <w:sz w:val="20"/>
                <w:szCs w:val="20"/>
              </w:rPr>
              <w:t>18 520 Kč</w:t>
            </w:r>
          </w:p>
        </w:tc>
      </w:tr>
    </w:tbl>
    <w:p w14:paraId="0F0EC7BF" w14:textId="77777777" w:rsidR="00082FDB" w:rsidRPr="00A12900" w:rsidRDefault="00082FDB" w:rsidP="00EF6D8C">
      <w:pPr>
        <w:spacing w:after="120"/>
        <w:rPr>
          <w:rFonts w:asciiTheme="minorHAnsi" w:hAnsiTheme="minorHAnsi" w:cstheme="minorHAnsi"/>
          <w:sz w:val="20"/>
          <w:szCs w:val="20"/>
        </w:rPr>
      </w:pPr>
      <w:bookmarkStart w:id="0" w:name="_GoBack"/>
      <w:r w:rsidRPr="00A12900">
        <w:rPr>
          <w:rFonts w:asciiTheme="minorHAnsi" w:hAnsiTheme="minorHAnsi" w:cstheme="minorHAnsi"/>
          <w:sz w:val="20"/>
          <w:szCs w:val="20"/>
        </w:rPr>
        <w:t xml:space="preserve">Zdroj: splátková kalkulačka Broker </w:t>
      </w:r>
      <w:proofErr w:type="spellStart"/>
      <w:r w:rsidRPr="00A12900">
        <w:rPr>
          <w:rFonts w:asciiTheme="minorHAnsi" w:hAnsiTheme="minorHAnsi" w:cstheme="minorHAnsi"/>
          <w:sz w:val="20"/>
          <w:szCs w:val="20"/>
        </w:rPr>
        <w:t>Friend</w:t>
      </w:r>
      <w:proofErr w:type="spellEnd"/>
      <w:r w:rsidRPr="00A12900">
        <w:rPr>
          <w:rFonts w:asciiTheme="minorHAnsi" w:hAnsiTheme="minorHAnsi" w:cstheme="minorHAnsi"/>
          <w:sz w:val="20"/>
          <w:szCs w:val="20"/>
        </w:rPr>
        <w:t xml:space="preserve"> (</w:t>
      </w:r>
      <w:hyperlink r:id="rId25" w:anchor="/calculatorList" w:history="1">
        <w:r w:rsidRPr="00A12900">
          <w:rPr>
            <w:rStyle w:val="Hypertextovodkaz"/>
            <w:rFonts w:asciiTheme="minorHAnsi" w:hAnsiTheme="minorHAnsi" w:cstheme="minorHAnsi"/>
            <w:sz w:val="20"/>
            <w:szCs w:val="20"/>
          </w:rPr>
          <w:t>https://brokerfriend.bcas.cz/#/calculatorList</w:t>
        </w:r>
      </w:hyperlink>
      <w:r w:rsidRPr="00A12900">
        <w:rPr>
          <w:rFonts w:asciiTheme="minorHAnsi" w:hAnsiTheme="minorHAnsi" w:cstheme="minorHAnsi"/>
          <w:sz w:val="20"/>
          <w:szCs w:val="20"/>
        </w:rPr>
        <w:t>)</w:t>
      </w:r>
    </w:p>
    <w:bookmarkEnd w:id="0"/>
    <w:p w14:paraId="5C325780" w14:textId="77777777" w:rsidR="00DF7709" w:rsidRPr="00EF6D8C" w:rsidRDefault="00DF7709" w:rsidP="00DF7709">
      <w:pPr>
        <w:pBdr>
          <w:bottom w:val="single" w:sz="4" w:space="1" w:color="auto"/>
        </w:pBdr>
        <w:jc w:val="both"/>
        <w:rPr>
          <w:rFonts w:asciiTheme="minorHAnsi" w:hAnsiTheme="minorHAnsi" w:cstheme="minorHAnsi"/>
          <w:bCs/>
          <w:sz w:val="2"/>
          <w:szCs w:val="2"/>
        </w:rPr>
      </w:pPr>
    </w:p>
    <w:p w14:paraId="4CF17F9A" w14:textId="31E6AE10"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16BB5E7E" w14:textId="2F1E51F1" w:rsidR="0053079B" w:rsidRPr="00EF6D8C" w:rsidRDefault="0053079B" w:rsidP="00EF6D8C">
      <w:pPr>
        <w:rPr>
          <w:rFonts w:asciiTheme="minorHAnsi" w:eastAsia="Calibri" w:hAnsiTheme="minorHAnsi" w:cstheme="minorHAnsi"/>
          <w:b/>
          <w:bCs/>
          <w:noProof/>
          <w:sz w:val="21"/>
          <w:szCs w:val="21"/>
        </w:rPr>
      </w:pPr>
      <w:r w:rsidRPr="00EF6D8C">
        <w:rPr>
          <w:rFonts w:asciiTheme="minorHAnsi" w:eastAsia="Calibri" w:hAnsiTheme="minorHAnsi" w:cstheme="minorHAnsi"/>
          <w:bCs/>
          <w:noProof/>
          <w:sz w:val="21"/>
          <w:szCs w:val="21"/>
        </w:rPr>
        <w:t>Michaela Sahulová</w:t>
      </w:r>
      <w:r w:rsidR="00EF6D8C" w:rsidRPr="00EF6D8C">
        <w:rPr>
          <w:rFonts w:asciiTheme="minorHAnsi" w:eastAsia="Calibri" w:hAnsiTheme="minorHAnsi" w:cstheme="minorHAnsi"/>
          <w:bCs/>
          <w:noProof/>
          <w:sz w:val="21"/>
          <w:szCs w:val="21"/>
        </w:rPr>
        <w:t xml:space="preserve">, </w:t>
      </w:r>
      <w:r w:rsidRPr="00EF6D8C">
        <w:rPr>
          <w:rFonts w:asciiTheme="minorHAnsi" w:eastAsia="Calibri" w:hAnsiTheme="minorHAnsi" w:cstheme="minorHAnsi"/>
          <w:noProof/>
          <w:sz w:val="21"/>
          <w:szCs w:val="21"/>
        </w:rPr>
        <w:t>Specialistka PR a externí komunikace</w:t>
      </w:r>
    </w:p>
    <w:p w14:paraId="12134AC2" w14:textId="72493835" w:rsidR="008F3C6D" w:rsidRPr="00EF6D8C" w:rsidRDefault="0053079B" w:rsidP="00EF6D8C">
      <w:pPr>
        <w:rPr>
          <w:rFonts w:asciiTheme="minorHAnsi" w:eastAsiaTheme="minorEastAsia" w:hAnsiTheme="minorHAnsi" w:cstheme="minorHAnsi"/>
          <w:noProof/>
          <w:color w:val="000000" w:themeColor="text1"/>
          <w:sz w:val="21"/>
          <w:szCs w:val="21"/>
          <w:lang w:bidi="ar-SA"/>
        </w:rPr>
      </w:pPr>
      <w:r w:rsidRPr="00EF6D8C">
        <w:rPr>
          <w:rFonts w:asciiTheme="minorHAnsi" w:eastAsiaTheme="minorEastAsia" w:hAnsiTheme="minorHAnsi" w:cstheme="minorHAnsi"/>
          <w:noProof/>
          <w:color w:val="000000" w:themeColor="text1"/>
          <w:sz w:val="21"/>
          <w:szCs w:val="21"/>
        </w:rPr>
        <w:t>tel.: +420 731 538</w:t>
      </w:r>
      <w:r w:rsidR="00EF6D8C" w:rsidRPr="00EF6D8C">
        <w:rPr>
          <w:rFonts w:asciiTheme="minorHAnsi" w:eastAsiaTheme="minorEastAsia" w:hAnsiTheme="minorHAnsi" w:cstheme="minorHAnsi"/>
          <w:noProof/>
          <w:color w:val="000000" w:themeColor="text1"/>
          <w:sz w:val="21"/>
          <w:szCs w:val="21"/>
        </w:rPr>
        <w:t> </w:t>
      </w:r>
      <w:r w:rsidRPr="00EF6D8C">
        <w:rPr>
          <w:rFonts w:asciiTheme="minorHAnsi" w:eastAsiaTheme="minorEastAsia" w:hAnsiTheme="minorHAnsi" w:cstheme="minorHAnsi"/>
          <w:noProof/>
          <w:color w:val="000000" w:themeColor="text1"/>
          <w:sz w:val="21"/>
          <w:szCs w:val="21"/>
        </w:rPr>
        <w:t>373</w:t>
      </w:r>
      <w:r w:rsidR="00EF6D8C" w:rsidRPr="00EF6D8C">
        <w:rPr>
          <w:rFonts w:asciiTheme="minorHAnsi" w:eastAsiaTheme="minorEastAsia" w:hAnsiTheme="minorHAnsi" w:cstheme="minorHAnsi"/>
          <w:noProof/>
          <w:color w:val="000000" w:themeColor="text1"/>
          <w:sz w:val="21"/>
          <w:szCs w:val="21"/>
          <w:lang w:bidi="ar-SA"/>
        </w:rPr>
        <w:t xml:space="preserve">, </w:t>
      </w:r>
      <w:r w:rsidR="00EF6D8C" w:rsidRPr="00EF6D8C">
        <w:rPr>
          <w:rFonts w:asciiTheme="minorHAnsi" w:eastAsia="Calibri" w:hAnsiTheme="minorHAnsi" w:cstheme="minorHAnsi"/>
          <w:noProof/>
          <w:sz w:val="21"/>
          <w:szCs w:val="21"/>
        </w:rPr>
        <w:t>e</w:t>
      </w:r>
      <w:r w:rsidRPr="00EF6D8C">
        <w:rPr>
          <w:rFonts w:asciiTheme="minorHAnsi" w:eastAsia="Calibri" w:hAnsiTheme="minorHAnsi" w:cstheme="minorHAnsi"/>
          <w:noProof/>
          <w:sz w:val="21"/>
          <w:szCs w:val="21"/>
        </w:rPr>
        <w:t xml:space="preserve">-mail: </w:t>
      </w:r>
      <w:r w:rsidR="00EF6D8C" w:rsidRPr="00EF6D8C">
        <w:rPr>
          <w:rFonts w:asciiTheme="minorHAnsi" w:eastAsia="Calibri" w:hAnsiTheme="minorHAnsi" w:cstheme="minorHAnsi"/>
          <w:noProof/>
          <w:sz w:val="21"/>
          <w:szCs w:val="21"/>
        </w:rPr>
        <w:t>michaela.sahulova@bcas.c</w:t>
      </w:r>
      <w:r w:rsidR="00EF6D8C" w:rsidRPr="00EF6D8C">
        <w:rPr>
          <w:rFonts w:asciiTheme="minorHAnsi" w:eastAsiaTheme="minorEastAsia" w:hAnsiTheme="minorHAnsi" w:cstheme="minorHAnsi"/>
          <w:noProof/>
          <w:color w:val="000000" w:themeColor="text1"/>
          <w:sz w:val="21"/>
          <w:szCs w:val="21"/>
          <w:lang w:bidi="ar-SA"/>
        </w:rPr>
        <w:t>z</w:t>
      </w: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4DA53" w14:textId="77777777" w:rsidR="00A672BC" w:rsidRDefault="00A672BC">
      <w:r>
        <w:separator/>
      </w:r>
    </w:p>
  </w:endnote>
  <w:endnote w:type="continuationSeparator" w:id="0">
    <w:p w14:paraId="379002FB" w14:textId="77777777" w:rsidR="00A672BC" w:rsidRDefault="00A67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A672BC"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66D1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A672BC"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66D1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A672BC"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66D1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CBF96" w14:textId="77777777" w:rsidR="00A672BC" w:rsidRDefault="00A672BC">
      <w:r>
        <w:separator/>
      </w:r>
    </w:p>
  </w:footnote>
  <w:footnote w:type="continuationSeparator" w:id="0">
    <w:p w14:paraId="0E8EF3D4" w14:textId="77777777" w:rsidR="00A672BC" w:rsidRDefault="00A67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611E3"/>
    <w:rsid w:val="000618FE"/>
    <w:rsid w:val="00061ABB"/>
    <w:rsid w:val="00070675"/>
    <w:rsid w:val="000766E7"/>
    <w:rsid w:val="00076D0E"/>
    <w:rsid w:val="00080552"/>
    <w:rsid w:val="00080ADE"/>
    <w:rsid w:val="00081616"/>
    <w:rsid w:val="00082FDB"/>
    <w:rsid w:val="000853D4"/>
    <w:rsid w:val="00087263"/>
    <w:rsid w:val="0009776B"/>
    <w:rsid w:val="000A5467"/>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7ECB"/>
    <w:rsid w:val="001901D0"/>
    <w:rsid w:val="00191B34"/>
    <w:rsid w:val="001925C8"/>
    <w:rsid w:val="00192716"/>
    <w:rsid w:val="00192C2A"/>
    <w:rsid w:val="00193550"/>
    <w:rsid w:val="00194C95"/>
    <w:rsid w:val="001A54DD"/>
    <w:rsid w:val="001B296D"/>
    <w:rsid w:val="001B29C7"/>
    <w:rsid w:val="001B501B"/>
    <w:rsid w:val="001B6A93"/>
    <w:rsid w:val="001B745F"/>
    <w:rsid w:val="001D015A"/>
    <w:rsid w:val="001D3DFC"/>
    <w:rsid w:val="001D4EA8"/>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71F07"/>
    <w:rsid w:val="0027623E"/>
    <w:rsid w:val="00281834"/>
    <w:rsid w:val="0028590C"/>
    <w:rsid w:val="00287D46"/>
    <w:rsid w:val="002A0285"/>
    <w:rsid w:val="002A3F19"/>
    <w:rsid w:val="002A6FA3"/>
    <w:rsid w:val="002A7325"/>
    <w:rsid w:val="002B0728"/>
    <w:rsid w:val="002B1317"/>
    <w:rsid w:val="002B7DA9"/>
    <w:rsid w:val="002B7F6D"/>
    <w:rsid w:val="002C0240"/>
    <w:rsid w:val="002C4A25"/>
    <w:rsid w:val="002C4BCE"/>
    <w:rsid w:val="002C7224"/>
    <w:rsid w:val="002D161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1518"/>
    <w:rsid w:val="00321E19"/>
    <w:rsid w:val="003226EB"/>
    <w:rsid w:val="003247B0"/>
    <w:rsid w:val="00330918"/>
    <w:rsid w:val="003358BA"/>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83942"/>
    <w:rsid w:val="00383DC5"/>
    <w:rsid w:val="00385325"/>
    <w:rsid w:val="00385EED"/>
    <w:rsid w:val="00386B09"/>
    <w:rsid w:val="00390B58"/>
    <w:rsid w:val="00392024"/>
    <w:rsid w:val="003948A1"/>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2162"/>
    <w:rsid w:val="003D47CB"/>
    <w:rsid w:val="003E0649"/>
    <w:rsid w:val="003E6537"/>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4406"/>
    <w:rsid w:val="00432DAE"/>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4C76"/>
    <w:rsid w:val="00477DC5"/>
    <w:rsid w:val="00480982"/>
    <w:rsid w:val="00483C09"/>
    <w:rsid w:val="00486655"/>
    <w:rsid w:val="0049280D"/>
    <w:rsid w:val="00492BA9"/>
    <w:rsid w:val="004935C2"/>
    <w:rsid w:val="004A59C1"/>
    <w:rsid w:val="004A7830"/>
    <w:rsid w:val="004B2DF6"/>
    <w:rsid w:val="004B2FF6"/>
    <w:rsid w:val="004B4E91"/>
    <w:rsid w:val="004B5797"/>
    <w:rsid w:val="004B7412"/>
    <w:rsid w:val="004C222D"/>
    <w:rsid w:val="004C3DD1"/>
    <w:rsid w:val="004C3F71"/>
    <w:rsid w:val="004D5CC6"/>
    <w:rsid w:val="004D6DB4"/>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501A"/>
    <w:rsid w:val="00571AD4"/>
    <w:rsid w:val="00573886"/>
    <w:rsid w:val="00573EE2"/>
    <w:rsid w:val="00577D19"/>
    <w:rsid w:val="005907CD"/>
    <w:rsid w:val="005A2139"/>
    <w:rsid w:val="005A37E5"/>
    <w:rsid w:val="005A4EB8"/>
    <w:rsid w:val="005A50EB"/>
    <w:rsid w:val="005A5BBA"/>
    <w:rsid w:val="005A5F08"/>
    <w:rsid w:val="005B3143"/>
    <w:rsid w:val="005B31D7"/>
    <w:rsid w:val="005B460E"/>
    <w:rsid w:val="005C150C"/>
    <w:rsid w:val="005C318A"/>
    <w:rsid w:val="005D52F3"/>
    <w:rsid w:val="005E1193"/>
    <w:rsid w:val="005E5A67"/>
    <w:rsid w:val="005E7865"/>
    <w:rsid w:val="005F2D95"/>
    <w:rsid w:val="005F6BD8"/>
    <w:rsid w:val="005F7E72"/>
    <w:rsid w:val="005F7EAE"/>
    <w:rsid w:val="0060397A"/>
    <w:rsid w:val="0060554F"/>
    <w:rsid w:val="006135FD"/>
    <w:rsid w:val="0061438C"/>
    <w:rsid w:val="006166CE"/>
    <w:rsid w:val="0062060D"/>
    <w:rsid w:val="006218E4"/>
    <w:rsid w:val="00623C47"/>
    <w:rsid w:val="0062747C"/>
    <w:rsid w:val="0062786E"/>
    <w:rsid w:val="00636142"/>
    <w:rsid w:val="006365D5"/>
    <w:rsid w:val="0064160C"/>
    <w:rsid w:val="00643131"/>
    <w:rsid w:val="00646E6F"/>
    <w:rsid w:val="00650123"/>
    <w:rsid w:val="006509E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10AF5"/>
    <w:rsid w:val="00710E0C"/>
    <w:rsid w:val="007131CE"/>
    <w:rsid w:val="00716355"/>
    <w:rsid w:val="0072112F"/>
    <w:rsid w:val="00724267"/>
    <w:rsid w:val="00725BF5"/>
    <w:rsid w:val="007320FB"/>
    <w:rsid w:val="007362E3"/>
    <w:rsid w:val="007408D1"/>
    <w:rsid w:val="00741E71"/>
    <w:rsid w:val="00743390"/>
    <w:rsid w:val="00743627"/>
    <w:rsid w:val="00743E6A"/>
    <w:rsid w:val="0074636A"/>
    <w:rsid w:val="00753B64"/>
    <w:rsid w:val="007563D8"/>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13CC"/>
    <w:rsid w:val="007F2512"/>
    <w:rsid w:val="007F2DE8"/>
    <w:rsid w:val="007F3E94"/>
    <w:rsid w:val="007F4493"/>
    <w:rsid w:val="007F4C72"/>
    <w:rsid w:val="007F71F9"/>
    <w:rsid w:val="008011E7"/>
    <w:rsid w:val="0080323F"/>
    <w:rsid w:val="00805BDB"/>
    <w:rsid w:val="008063BB"/>
    <w:rsid w:val="00812394"/>
    <w:rsid w:val="008123FF"/>
    <w:rsid w:val="0081387C"/>
    <w:rsid w:val="0081474E"/>
    <w:rsid w:val="008171F9"/>
    <w:rsid w:val="0083053E"/>
    <w:rsid w:val="00831B5E"/>
    <w:rsid w:val="00832F5B"/>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579E"/>
    <w:rsid w:val="00885B2F"/>
    <w:rsid w:val="008875C1"/>
    <w:rsid w:val="00891E25"/>
    <w:rsid w:val="008926E5"/>
    <w:rsid w:val="008926F3"/>
    <w:rsid w:val="008A04D3"/>
    <w:rsid w:val="008B3925"/>
    <w:rsid w:val="008B4F0F"/>
    <w:rsid w:val="008C000E"/>
    <w:rsid w:val="008C1795"/>
    <w:rsid w:val="008C2254"/>
    <w:rsid w:val="008C3938"/>
    <w:rsid w:val="008C3A59"/>
    <w:rsid w:val="008C4B0D"/>
    <w:rsid w:val="008E1286"/>
    <w:rsid w:val="008E19F3"/>
    <w:rsid w:val="008E1F4A"/>
    <w:rsid w:val="008F2AEC"/>
    <w:rsid w:val="008F36CB"/>
    <w:rsid w:val="008F3C6D"/>
    <w:rsid w:val="008F6AAF"/>
    <w:rsid w:val="00901DB4"/>
    <w:rsid w:val="00901E1F"/>
    <w:rsid w:val="0090292E"/>
    <w:rsid w:val="009066E9"/>
    <w:rsid w:val="00906E67"/>
    <w:rsid w:val="009144B1"/>
    <w:rsid w:val="00915ADA"/>
    <w:rsid w:val="00916B03"/>
    <w:rsid w:val="0092097A"/>
    <w:rsid w:val="009222C9"/>
    <w:rsid w:val="009228CF"/>
    <w:rsid w:val="00925499"/>
    <w:rsid w:val="00930569"/>
    <w:rsid w:val="00931F18"/>
    <w:rsid w:val="00932625"/>
    <w:rsid w:val="009343CC"/>
    <w:rsid w:val="009344C2"/>
    <w:rsid w:val="00934CD7"/>
    <w:rsid w:val="009412B0"/>
    <w:rsid w:val="00944E57"/>
    <w:rsid w:val="0094645B"/>
    <w:rsid w:val="0094705C"/>
    <w:rsid w:val="00957739"/>
    <w:rsid w:val="00957B41"/>
    <w:rsid w:val="009631E0"/>
    <w:rsid w:val="009649D2"/>
    <w:rsid w:val="009660BD"/>
    <w:rsid w:val="009674F1"/>
    <w:rsid w:val="009750FA"/>
    <w:rsid w:val="009771E2"/>
    <w:rsid w:val="00977540"/>
    <w:rsid w:val="009834E2"/>
    <w:rsid w:val="00985DC8"/>
    <w:rsid w:val="009A4FC0"/>
    <w:rsid w:val="009A52BA"/>
    <w:rsid w:val="009A69B1"/>
    <w:rsid w:val="009A700C"/>
    <w:rsid w:val="009B1D25"/>
    <w:rsid w:val="009C0ECA"/>
    <w:rsid w:val="009C16D4"/>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08B8"/>
    <w:rsid w:val="00A04BAE"/>
    <w:rsid w:val="00A069E2"/>
    <w:rsid w:val="00A07639"/>
    <w:rsid w:val="00A10289"/>
    <w:rsid w:val="00A106F8"/>
    <w:rsid w:val="00A10BF9"/>
    <w:rsid w:val="00A11C90"/>
    <w:rsid w:val="00A12900"/>
    <w:rsid w:val="00A1395B"/>
    <w:rsid w:val="00A13D4D"/>
    <w:rsid w:val="00A14701"/>
    <w:rsid w:val="00A16A29"/>
    <w:rsid w:val="00A16E82"/>
    <w:rsid w:val="00A2244B"/>
    <w:rsid w:val="00A22B56"/>
    <w:rsid w:val="00A252BA"/>
    <w:rsid w:val="00A26285"/>
    <w:rsid w:val="00A27A7B"/>
    <w:rsid w:val="00A36CBA"/>
    <w:rsid w:val="00A36D79"/>
    <w:rsid w:val="00A41EA4"/>
    <w:rsid w:val="00A44FE0"/>
    <w:rsid w:val="00A4618A"/>
    <w:rsid w:val="00A50D03"/>
    <w:rsid w:val="00A522F5"/>
    <w:rsid w:val="00A566B1"/>
    <w:rsid w:val="00A61269"/>
    <w:rsid w:val="00A624BA"/>
    <w:rsid w:val="00A672BC"/>
    <w:rsid w:val="00A712B2"/>
    <w:rsid w:val="00A720B2"/>
    <w:rsid w:val="00A74214"/>
    <w:rsid w:val="00A7796E"/>
    <w:rsid w:val="00A86544"/>
    <w:rsid w:val="00A9085F"/>
    <w:rsid w:val="00A92C95"/>
    <w:rsid w:val="00A93A25"/>
    <w:rsid w:val="00AA0920"/>
    <w:rsid w:val="00AA3055"/>
    <w:rsid w:val="00AA469A"/>
    <w:rsid w:val="00AA5141"/>
    <w:rsid w:val="00AA6E6D"/>
    <w:rsid w:val="00AA715C"/>
    <w:rsid w:val="00AA7977"/>
    <w:rsid w:val="00AA79D9"/>
    <w:rsid w:val="00AB50FF"/>
    <w:rsid w:val="00AC4BEC"/>
    <w:rsid w:val="00AC57BB"/>
    <w:rsid w:val="00AC614D"/>
    <w:rsid w:val="00AD1F39"/>
    <w:rsid w:val="00AD4BC3"/>
    <w:rsid w:val="00AD647D"/>
    <w:rsid w:val="00AE2698"/>
    <w:rsid w:val="00AE313F"/>
    <w:rsid w:val="00AE34F4"/>
    <w:rsid w:val="00AF042F"/>
    <w:rsid w:val="00B00C49"/>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A786D"/>
    <w:rsid w:val="00BB4D49"/>
    <w:rsid w:val="00BB6439"/>
    <w:rsid w:val="00BB675F"/>
    <w:rsid w:val="00BC331B"/>
    <w:rsid w:val="00BC331D"/>
    <w:rsid w:val="00BC3E08"/>
    <w:rsid w:val="00BD17B0"/>
    <w:rsid w:val="00BD3E59"/>
    <w:rsid w:val="00BD56B7"/>
    <w:rsid w:val="00BD5A47"/>
    <w:rsid w:val="00BD5FB6"/>
    <w:rsid w:val="00BE2BCC"/>
    <w:rsid w:val="00BE3896"/>
    <w:rsid w:val="00BE424D"/>
    <w:rsid w:val="00BE7068"/>
    <w:rsid w:val="00BE768F"/>
    <w:rsid w:val="00C03192"/>
    <w:rsid w:val="00C10C80"/>
    <w:rsid w:val="00C11CD5"/>
    <w:rsid w:val="00C23E32"/>
    <w:rsid w:val="00C251C4"/>
    <w:rsid w:val="00C266F9"/>
    <w:rsid w:val="00C314C1"/>
    <w:rsid w:val="00C31917"/>
    <w:rsid w:val="00C37B8E"/>
    <w:rsid w:val="00C40571"/>
    <w:rsid w:val="00C40D7F"/>
    <w:rsid w:val="00C41741"/>
    <w:rsid w:val="00C41DD9"/>
    <w:rsid w:val="00C427DA"/>
    <w:rsid w:val="00C42C49"/>
    <w:rsid w:val="00C42FAF"/>
    <w:rsid w:val="00C521D9"/>
    <w:rsid w:val="00C568FB"/>
    <w:rsid w:val="00C56D0A"/>
    <w:rsid w:val="00C7063D"/>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5FBC"/>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66D12"/>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244F"/>
    <w:rsid w:val="00DA50BA"/>
    <w:rsid w:val="00DA55A8"/>
    <w:rsid w:val="00DA7B87"/>
    <w:rsid w:val="00DB0266"/>
    <w:rsid w:val="00DB0F40"/>
    <w:rsid w:val="00DB63D9"/>
    <w:rsid w:val="00DB7514"/>
    <w:rsid w:val="00DB795C"/>
    <w:rsid w:val="00DB7E77"/>
    <w:rsid w:val="00DC0B27"/>
    <w:rsid w:val="00DC1667"/>
    <w:rsid w:val="00DC2FCA"/>
    <w:rsid w:val="00DC30D0"/>
    <w:rsid w:val="00DC7E88"/>
    <w:rsid w:val="00DD3AB0"/>
    <w:rsid w:val="00DD68B5"/>
    <w:rsid w:val="00DD7FC1"/>
    <w:rsid w:val="00DF0000"/>
    <w:rsid w:val="00DF020C"/>
    <w:rsid w:val="00DF05CC"/>
    <w:rsid w:val="00DF5A2C"/>
    <w:rsid w:val="00DF7709"/>
    <w:rsid w:val="00DF7D1B"/>
    <w:rsid w:val="00E00DC6"/>
    <w:rsid w:val="00E01A0A"/>
    <w:rsid w:val="00E02B4A"/>
    <w:rsid w:val="00E058A3"/>
    <w:rsid w:val="00E06422"/>
    <w:rsid w:val="00E11439"/>
    <w:rsid w:val="00E151F3"/>
    <w:rsid w:val="00E161C6"/>
    <w:rsid w:val="00E17539"/>
    <w:rsid w:val="00E21CDE"/>
    <w:rsid w:val="00E225BA"/>
    <w:rsid w:val="00E2483C"/>
    <w:rsid w:val="00E26CF0"/>
    <w:rsid w:val="00E31346"/>
    <w:rsid w:val="00E33BF5"/>
    <w:rsid w:val="00E36C23"/>
    <w:rsid w:val="00E376F8"/>
    <w:rsid w:val="00E40550"/>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372E"/>
    <w:rsid w:val="00E84B41"/>
    <w:rsid w:val="00E852A3"/>
    <w:rsid w:val="00E93958"/>
    <w:rsid w:val="00EA01CC"/>
    <w:rsid w:val="00EA0C1C"/>
    <w:rsid w:val="00EA3819"/>
    <w:rsid w:val="00EA477A"/>
    <w:rsid w:val="00EA4F68"/>
    <w:rsid w:val="00EB1036"/>
    <w:rsid w:val="00EB474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771B"/>
    <w:rsid w:val="00F90003"/>
    <w:rsid w:val="00F9173C"/>
    <w:rsid w:val="00F94180"/>
    <w:rsid w:val="00FA1C73"/>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D43E4"/>
    <w:rsid w:val="00FD4B12"/>
    <w:rsid w:val="00FD7195"/>
    <w:rsid w:val="00FD747A"/>
    <w:rsid w:val="00FE10BB"/>
    <w:rsid w:val="00FE3038"/>
    <w:rsid w:val="00FE4313"/>
    <w:rsid w:val="00FE619E"/>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brokerfriend.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640C9-24B4-4721-9FF3-5B12AFDD6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1085</Words>
  <Characters>6407</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18</cp:revision>
  <dcterms:created xsi:type="dcterms:W3CDTF">2023-11-29T09:00:00Z</dcterms:created>
  <dcterms:modified xsi:type="dcterms:W3CDTF">2023-12-04T09:36:00Z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