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3BA188B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1B2C03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POINTŮ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252DB1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16780204" w14:textId="185A68DE" w:rsidR="00241DC1" w:rsidRPr="00C20789" w:rsidRDefault="00241DC1" w:rsidP="00241DC1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20789">
        <w:rPr>
          <w:rFonts w:asciiTheme="minorHAnsi" w:hAnsiTheme="minorHAnsi" w:cstheme="minorHAnsi"/>
          <w:b/>
          <w:sz w:val="26"/>
          <w:szCs w:val="26"/>
        </w:rPr>
        <w:t>Průměrné úrokové sazby u hypoték se celý r</w:t>
      </w:r>
      <w:r>
        <w:rPr>
          <w:rFonts w:asciiTheme="minorHAnsi" w:hAnsiTheme="minorHAnsi" w:cstheme="minorHAnsi"/>
          <w:b/>
          <w:sz w:val="26"/>
          <w:szCs w:val="26"/>
        </w:rPr>
        <w:t>ok 2023 pohybují pod hranicí 6 procent</w:t>
      </w:r>
    </w:p>
    <w:p w14:paraId="34F26723" w14:textId="77777777" w:rsidR="00241DC1" w:rsidRPr="00C0398D" w:rsidRDefault="00241DC1" w:rsidP="00241DC1">
      <w:pPr>
        <w:pStyle w:val="Odstavecseseznamem"/>
        <w:numPr>
          <w:ilvl w:val="0"/>
          <w:numId w:val="9"/>
        </w:numPr>
        <w:ind w:right="40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C0398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V listopadu 2023 dosáhl Broker Consulting Index hypotečních úvěrů hodnoty 5,70 procenta.</w:t>
      </w:r>
    </w:p>
    <w:p w14:paraId="526B8A72" w14:textId="77777777" w:rsidR="00241DC1" w:rsidRDefault="00241DC1" w:rsidP="00241DC1">
      <w:pPr>
        <w:pStyle w:val="Odstavecseseznamem"/>
        <w:numPr>
          <w:ilvl w:val="0"/>
          <w:numId w:val="9"/>
        </w:numPr>
        <w:ind w:right="40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C0398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Broker Consulting index hypotečních úvěrů je stabilní již několik měsíců.</w:t>
      </w: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Výraznější změny se v blízké budoucnosti neočekávají.</w:t>
      </w:r>
    </w:p>
    <w:p w14:paraId="02AB245D" w14:textId="77777777" w:rsidR="00241DC1" w:rsidRDefault="00241DC1" w:rsidP="00241DC1">
      <w:pPr>
        <w:pStyle w:val="Odstavecseseznamem"/>
        <w:numPr>
          <w:ilvl w:val="0"/>
          <w:numId w:val="9"/>
        </w:numPr>
        <w:ind w:right="40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Hodnota předstihového ukazatel pro byla vypočítána na 5,85 procenta. </w:t>
      </w:r>
    </w:p>
    <w:p w14:paraId="18525D95" w14:textId="06F31D23" w:rsidR="00A803EF" w:rsidRDefault="002B4265" w:rsidP="00D15619">
      <w:pPr>
        <w:spacing w:before="200" w:after="200"/>
        <w:ind w:right="40"/>
        <w:rPr>
          <w:rFonts w:asciiTheme="minorHAnsi" w:hAnsiTheme="minorHAnsi" w:cstheme="minorHAnsi"/>
          <w:b/>
          <w:sz w:val="21"/>
          <w:szCs w:val="21"/>
        </w:rPr>
      </w:pPr>
      <w:r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Praha, </w:t>
      </w:r>
      <w:r w:rsidR="00241DC1">
        <w:rPr>
          <w:rFonts w:asciiTheme="minorHAnsi" w:hAnsiTheme="minorHAnsi" w:cstheme="minorHAnsi"/>
          <w:b/>
          <w:i/>
          <w:sz w:val="21"/>
          <w:szCs w:val="21"/>
        </w:rPr>
        <w:t xml:space="preserve">6. prosince - </w:t>
      </w:r>
      <w:r w:rsidR="00176E93"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>Monitorované hodnoty Broker Consulting Indexu hypotečních úvěrů zaznamenaly v listo</w:t>
      </w:r>
      <w:r w:rsidR="00BF1811">
        <w:rPr>
          <w:rFonts w:asciiTheme="minorHAnsi" w:hAnsiTheme="minorHAnsi" w:cstheme="minorHAnsi"/>
          <w:b/>
          <w:sz w:val="21"/>
          <w:szCs w:val="21"/>
        </w:rPr>
        <w:t>padu 2023 mírný pokles na 5,70 procenta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>. Průměrná úroková sazba hypotečního úvěru b</w:t>
      </w:r>
      <w:r w:rsidR="00BF1811">
        <w:rPr>
          <w:rFonts w:asciiTheme="minorHAnsi" w:hAnsiTheme="minorHAnsi" w:cstheme="minorHAnsi"/>
          <w:b/>
          <w:sz w:val="21"/>
          <w:szCs w:val="21"/>
        </w:rPr>
        <w:t xml:space="preserve">yla tedy oproti předcházejícímu 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měsíci </w:t>
      </w:r>
      <w:r w:rsidR="00241DC1">
        <w:rPr>
          <w:rFonts w:asciiTheme="minorHAnsi" w:hAnsiTheme="minorHAnsi" w:cstheme="minorHAnsi"/>
          <w:b/>
          <w:sz w:val="21"/>
          <w:szCs w:val="21"/>
        </w:rPr>
        <w:t xml:space="preserve">o 0,08 procentního bodu nižší. 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Tento vývoj naprosto odpovídá trendu pro rok 2023, kdy je Broker Consulting index hypotečních úvěrů stabilní. Ani pro následující měsíce neočekávají analytici výrazné výkyvy hodnot ani jedním směrem. </w:t>
      </w:r>
      <w:r w:rsidR="00241DC1">
        <w:rPr>
          <w:rFonts w:asciiTheme="minorHAnsi" w:hAnsiTheme="minorHAnsi" w:cstheme="minorHAnsi"/>
          <w:b/>
          <w:sz w:val="21"/>
          <w:szCs w:val="21"/>
        </w:rPr>
        <w:t>Předstihový ukazatel pro prosinec dosahuje h</w:t>
      </w:r>
      <w:r w:rsidR="00BF1811">
        <w:rPr>
          <w:rFonts w:asciiTheme="minorHAnsi" w:hAnsiTheme="minorHAnsi" w:cstheme="minorHAnsi"/>
          <w:b/>
          <w:sz w:val="21"/>
          <w:szCs w:val="21"/>
        </w:rPr>
        <w:t>odnoty 5,85 procenta</w:t>
      </w:r>
      <w:r w:rsidR="00241DC1">
        <w:rPr>
          <w:rFonts w:asciiTheme="minorHAnsi" w:hAnsiTheme="minorHAnsi" w:cstheme="minorHAnsi"/>
          <w:b/>
          <w:sz w:val="21"/>
          <w:szCs w:val="21"/>
        </w:rPr>
        <w:t>. O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dborníci </w:t>
      </w:r>
      <w:r w:rsidR="00241DC1">
        <w:rPr>
          <w:rFonts w:asciiTheme="minorHAnsi" w:hAnsiTheme="minorHAnsi" w:cstheme="minorHAnsi"/>
          <w:b/>
          <w:sz w:val="21"/>
          <w:szCs w:val="21"/>
        </w:rPr>
        <w:t xml:space="preserve">proto aktuálně 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>doporučují volit kratší dobu fixace</w:t>
      </w:r>
      <w:r w:rsidR="00241DC1">
        <w:rPr>
          <w:rFonts w:asciiTheme="minorHAnsi" w:hAnsiTheme="minorHAnsi" w:cstheme="minorHAnsi"/>
          <w:b/>
          <w:sz w:val="21"/>
          <w:szCs w:val="21"/>
        </w:rPr>
        <w:t xml:space="preserve">, 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jak u nově sjednávaných hypoték, tak i u </w:t>
      </w:r>
      <w:proofErr w:type="spellStart"/>
      <w:r w:rsidR="00241DC1" w:rsidRPr="00C0398D">
        <w:rPr>
          <w:rFonts w:asciiTheme="minorHAnsi" w:hAnsiTheme="minorHAnsi" w:cstheme="minorHAnsi"/>
          <w:b/>
          <w:sz w:val="21"/>
          <w:szCs w:val="21"/>
        </w:rPr>
        <w:t>refixace</w:t>
      </w:r>
      <w:proofErr w:type="spellEnd"/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 j</w:t>
      </w:r>
      <w:r w:rsidR="00241DC1">
        <w:rPr>
          <w:rFonts w:asciiTheme="minorHAnsi" w:hAnsiTheme="minorHAnsi" w:cstheme="minorHAnsi"/>
          <w:b/>
          <w:sz w:val="21"/>
          <w:szCs w:val="21"/>
        </w:rPr>
        <w:t>i</w:t>
      </w:r>
      <w:r w:rsidR="00241DC1" w:rsidRPr="00C0398D">
        <w:rPr>
          <w:rFonts w:asciiTheme="minorHAnsi" w:hAnsiTheme="minorHAnsi" w:cstheme="minorHAnsi"/>
          <w:b/>
          <w:sz w:val="21"/>
          <w:szCs w:val="21"/>
        </w:rPr>
        <w:t xml:space="preserve">ž stávajících úvěrů. </w:t>
      </w:r>
    </w:p>
    <w:p w14:paraId="4769B6DC" w14:textId="6CE05866" w:rsidR="00241DC1" w:rsidRDefault="00241DC1" w:rsidP="00D15619">
      <w:p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Listopadový Broker Consulting index hypotečn</w:t>
      </w:r>
      <w:r w:rsidR="0016556A">
        <w:rPr>
          <w:rFonts w:asciiTheme="minorHAnsi" w:hAnsiTheme="minorHAnsi" w:cstheme="minorHAnsi"/>
          <w:bCs/>
          <w:sz w:val="21"/>
          <w:szCs w:val="21"/>
        </w:rPr>
        <w:t>ích úvěrů dosáhla hodnoty 5,70 procenta</w:t>
      </w:r>
      <w:r>
        <w:rPr>
          <w:rFonts w:asciiTheme="minorHAnsi" w:hAnsiTheme="minorHAnsi" w:cstheme="minorHAnsi"/>
          <w:bCs/>
          <w:sz w:val="21"/>
          <w:szCs w:val="21"/>
        </w:rPr>
        <w:t>, což je oproti říjnové ho</w:t>
      </w:r>
      <w:r w:rsidR="0016556A">
        <w:rPr>
          <w:rFonts w:asciiTheme="minorHAnsi" w:hAnsiTheme="minorHAnsi" w:cstheme="minorHAnsi"/>
          <w:bCs/>
          <w:sz w:val="21"/>
          <w:szCs w:val="21"/>
        </w:rPr>
        <w:t xml:space="preserve">dnotě </w:t>
      </w:r>
      <w:r w:rsidR="00D15619">
        <w:rPr>
          <w:rFonts w:asciiTheme="minorHAnsi" w:hAnsiTheme="minorHAnsi" w:cstheme="minorHAnsi"/>
          <w:bCs/>
          <w:sz w:val="21"/>
          <w:szCs w:val="21"/>
        </w:rPr>
        <w:t>jen velmi mírný pokles o osm</w:t>
      </w:r>
      <w:r>
        <w:rPr>
          <w:rFonts w:asciiTheme="minorHAnsi" w:hAnsiTheme="minorHAnsi" w:cstheme="minorHAnsi"/>
          <w:bCs/>
          <w:sz w:val="21"/>
          <w:szCs w:val="21"/>
        </w:rPr>
        <w:t xml:space="preserve"> bazických bodů. Po celý rok 2023 se průměrné úrokové sazby hypotečníc</w:t>
      </w:r>
      <w:r w:rsidR="00D15619">
        <w:rPr>
          <w:rFonts w:asciiTheme="minorHAnsi" w:hAnsiTheme="minorHAnsi" w:cstheme="minorHAnsi"/>
          <w:bCs/>
          <w:sz w:val="21"/>
          <w:szCs w:val="21"/>
        </w:rPr>
        <w:t>h úvěrů pohybují pod hranicí šesti</w:t>
      </w:r>
      <w:r w:rsidR="0016556A">
        <w:rPr>
          <w:rFonts w:asciiTheme="minorHAnsi" w:hAnsiTheme="minorHAnsi" w:cstheme="minorHAnsi"/>
          <w:bCs/>
          <w:sz w:val="21"/>
          <w:szCs w:val="21"/>
        </w:rPr>
        <w:t xml:space="preserve"> procent</w:t>
      </w:r>
      <w:r>
        <w:rPr>
          <w:rFonts w:asciiTheme="minorHAnsi" w:hAnsiTheme="minorHAnsi" w:cstheme="minorHAnsi"/>
          <w:bCs/>
          <w:sz w:val="21"/>
          <w:szCs w:val="21"/>
        </w:rPr>
        <w:t xml:space="preserve"> a zároveň od ledna nikdy neklesly o více než 0,5procentího bodu. „</w:t>
      </w:r>
      <w:r w:rsidRPr="00C0398D">
        <w:rPr>
          <w:rFonts w:asciiTheme="minorHAnsi" w:hAnsiTheme="minorHAnsi" w:cstheme="minorHAnsi"/>
          <w:bCs/>
          <w:i/>
          <w:iCs/>
          <w:sz w:val="21"/>
          <w:szCs w:val="21"/>
        </w:rPr>
        <w:t xml:space="preserve">Jedním z důvodů takového vývoje je také rozhodnutí bankovní rady České národní banky, která na listopadovém zasedání ponechala dle očekávání úrokové sazby na stávající úrovni. Dvoutýdenní </w:t>
      </w:r>
      <w:proofErr w:type="spellStart"/>
      <w:r w:rsidRPr="00C0398D">
        <w:rPr>
          <w:rFonts w:asciiTheme="minorHAnsi" w:hAnsiTheme="minorHAnsi" w:cstheme="minorHAnsi"/>
          <w:bCs/>
          <w:i/>
          <w:iCs/>
          <w:sz w:val="21"/>
          <w:szCs w:val="21"/>
        </w:rPr>
        <w:t>repo</w:t>
      </w:r>
      <w:proofErr w:type="spellEnd"/>
      <w:r w:rsidRPr="00C0398D">
        <w:rPr>
          <w:rFonts w:asciiTheme="minorHAnsi" w:hAnsiTheme="minorHAnsi" w:cstheme="minorHAnsi"/>
          <w:bCs/>
          <w:i/>
          <w:iCs/>
          <w:sz w:val="21"/>
          <w:szCs w:val="21"/>
        </w:rPr>
        <w:t xml:space="preserve"> sazba tedy zůstává již od června 2022 na sedmi procentech,“</w:t>
      </w:r>
      <w:r>
        <w:rPr>
          <w:rFonts w:asciiTheme="minorHAnsi" w:hAnsiTheme="minorHAnsi" w:cstheme="minorHAnsi"/>
          <w:bCs/>
          <w:sz w:val="21"/>
          <w:szCs w:val="21"/>
        </w:rPr>
        <w:t xml:space="preserve"> komentuje situaci </w:t>
      </w:r>
      <w:r w:rsidRPr="00C0398D">
        <w:rPr>
          <w:rFonts w:asciiTheme="minorHAnsi" w:hAnsiTheme="minorHAnsi" w:cstheme="minorHAnsi"/>
          <w:b/>
          <w:sz w:val="21"/>
          <w:szCs w:val="21"/>
        </w:rPr>
        <w:t>Michaela Pudilová, analytička hypotečních a spotřebitelských úvěrů ze společnosti Broker Consulting.</w:t>
      </w:r>
      <w:r>
        <w:rPr>
          <w:rFonts w:asciiTheme="minorHAnsi" w:hAnsiTheme="minorHAnsi" w:cstheme="minorHAnsi"/>
          <w:bCs/>
          <w:sz w:val="21"/>
          <w:szCs w:val="21"/>
        </w:rPr>
        <w:t xml:space="preserve"> </w:t>
      </w:r>
    </w:p>
    <w:p w14:paraId="3D98E499" w14:textId="77777777" w:rsidR="00241DC1" w:rsidRPr="00C0398D" w:rsidRDefault="00241DC1" w:rsidP="00241DC1">
      <w:pPr>
        <w:spacing w:before="200" w:after="200"/>
        <w:ind w:right="40"/>
        <w:rPr>
          <w:rFonts w:asciiTheme="minorHAnsi" w:hAnsiTheme="minorHAnsi" w:cstheme="minorHAnsi"/>
          <w:b/>
          <w:sz w:val="21"/>
          <w:szCs w:val="21"/>
        </w:rPr>
      </w:pPr>
      <w:r w:rsidRPr="00C0398D">
        <w:rPr>
          <w:rFonts w:asciiTheme="minorHAnsi" w:hAnsiTheme="minorHAnsi" w:cstheme="minorHAnsi"/>
          <w:b/>
          <w:sz w:val="21"/>
          <w:szCs w:val="21"/>
        </w:rPr>
        <w:t>Kroky ČNB ovlivní vývoj</w:t>
      </w:r>
    </w:p>
    <w:p w14:paraId="2D869C3F" w14:textId="18D7338B" w:rsidR="00241DC1" w:rsidRDefault="00241DC1" w:rsidP="00241DC1">
      <w:p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Výraznější výkyvy hodnot Broker Consulting indexu hypotečních úvěrů analytici společnosti v nejbližších měsících rozhodně neočekávají. I v případě, že by již na prosincovém zasedání přikročila ČNB ke snížení sazeb, projevilo by se toto rozhodnutí v sazbách bank jen velmi opatrně. </w:t>
      </w:r>
      <w:r w:rsidRPr="00C0398D">
        <w:rPr>
          <w:rFonts w:asciiTheme="minorHAnsi" w:hAnsiTheme="minorHAnsi" w:cstheme="minorHAnsi"/>
          <w:bCs/>
          <w:i/>
          <w:iCs/>
          <w:sz w:val="21"/>
          <w:szCs w:val="21"/>
        </w:rPr>
        <w:t>„V tomto případě bychom mohli mluvit jen o velmi pozvolném snižování průměrných sazeb,“</w:t>
      </w:r>
      <w:r>
        <w:rPr>
          <w:rFonts w:asciiTheme="minorHAnsi" w:hAnsiTheme="minorHAnsi" w:cstheme="minorHAnsi"/>
          <w:bCs/>
          <w:sz w:val="21"/>
          <w:szCs w:val="21"/>
        </w:rPr>
        <w:t xml:space="preserve"> vysvětluje </w:t>
      </w:r>
      <w:r w:rsidR="0001597B">
        <w:rPr>
          <w:rFonts w:asciiTheme="minorHAnsi" w:hAnsiTheme="minorHAnsi" w:cstheme="minorHAnsi"/>
          <w:bCs/>
          <w:sz w:val="21"/>
          <w:szCs w:val="21"/>
        </w:rPr>
        <w:t xml:space="preserve">Michaela </w:t>
      </w:r>
      <w:r>
        <w:rPr>
          <w:rFonts w:asciiTheme="minorHAnsi" w:hAnsiTheme="minorHAnsi" w:cstheme="minorHAnsi"/>
          <w:bCs/>
          <w:sz w:val="21"/>
          <w:szCs w:val="21"/>
        </w:rPr>
        <w:t>Pudilová z </w:t>
      </w:r>
      <w:proofErr w:type="gramStart"/>
      <w:r>
        <w:rPr>
          <w:rFonts w:asciiTheme="minorHAnsi" w:hAnsiTheme="minorHAnsi" w:cstheme="minorHAnsi"/>
          <w:bCs/>
          <w:sz w:val="21"/>
          <w:szCs w:val="21"/>
        </w:rPr>
        <w:t>Broker</w:t>
      </w:r>
      <w:proofErr w:type="gramEnd"/>
      <w:r>
        <w:rPr>
          <w:rFonts w:asciiTheme="minorHAnsi" w:hAnsiTheme="minorHAnsi" w:cstheme="minorHAnsi"/>
          <w:bCs/>
          <w:sz w:val="21"/>
          <w:szCs w:val="21"/>
        </w:rPr>
        <w:t xml:space="preserve"> Consulting. Tuto stabilitu p</w:t>
      </w:r>
      <w:r w:rsidR="0001597B">
        <w:rPr>
          <w:rFonts w:asciiTheme="minorHAnsi" w:hAnsiTheme="minorHAnsi" w:cstheme="minorHAnsi"/>
          <w:bCs/>
          <w:sz w:val="21"/>
          <w:szCs w:val="21"/>
        </w:rPr>
        <w:t>otvrzuje i vypočítaná</w:t>
      </w:r>
      <w:r>
        <w:rPr>
          <w:rFonts w:asciiTheme="minorHAnsi" w:hAnsiTheme="minorHAnsi" w:cstheme="minorHAnsi"/>
          <w:bCs/>
          <w:sz w:val="21"/>
          <w:szCs w:val="21"/>
        </w:rPr>
        <w:t xml:space="preserve"> hodnota předstihového ukazatele Broker Consulting indexu hypotečních úvěrů pro prosinec. Ta zaznamenala pokles o devět </w:t>
      </w:r>
      <w:r w:rsidR="0016556A">
        <w:rPr>
          <w:rFonts w:asciiTheme="minorHAnsi" w:hAnsiTheme="minorHAnsi" w:cstheme="minorHAnsi"/>
          <w:bCs/>
          <w:sz w:val="21"/>
          <w:szCs w:val="21"/>
        </w:rPr>
        <w:t>bazických bodů na hodnotu 5,85 procenta</w:t>
      </w:r>
      <w:r>
        <w:rPr>
          <w:rFonts w:asciiTheme="minorHAnsi" w:hAnsiTheme="minorHAnsi" w:cstheme="minorHAnsi"/>
          <w:bCs/>
          <w:sz w:val="21"/>
          <w:szCs w:val="21"/>
        </w:rPr>
        <w:t xml:space="preserve">. </w:t>
      </w:r>
    </w:p>
    <w:p w14:paraId="01843173" w14:textId="3E9FBE4C" w:rsidR="00241DC1" w:rsidRPr="00241DC1" w:rsidRDefault="00D15619" w:rsidP="00122208">
      <w:pPr>
        <w:spacing w:before="200" w:after="200"/>
        <w:ind w:right="40"/>
        <w:rPr>
          <w:rFonts w:asciiTheme="minorHAnsi" w:hAnsiTheme="minorHAnsi" w:cstheme="minorHAnsi"/>
          <w:b/>
          <w:i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i/>
          <w:noProof/>
          <w:color w:val="FF0000"/>
          <w:sz w:val="21"/>
          <w:szCs w:val="21"/>
          <w:lang w:bidi="ar-SA"/>
        </w:rPr>
        <w:drawing>
          <wp:inline distT="0" distB="0" distL="0" distR="0" wp14:anchorId="11544147" wp14:editId="5CEA3EE2">
            <wp:extent cx="6635750" cy="29870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BC Index hypotečních úvěrů - listopad 20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9A65" w14:textId="77777777" w:rsidR="00132E53" w:rsidRDefault="00132E53" w:rsidP="00132E53">
      <w:pPr>
        <w:spacing w:before="200" w:after="200"/>
        <w:ind w:right="40"/>
        <w:rPr>
          <w:rFonts w:asciiTheme="minorHAnsi" w:hAnsiTheme="minorHAnsi" w:cstheme="minorHAnsi"/>
          <w:b/>
          <w:sz w:val="21"/>
          <w:szCs w:val="21"/>
        </w:rPr>
      </w:pPr>
      <w:r w:rsidRPr="00C20789">
        <w:rPr>
          <w:rFonts w:asciiTheme="minorHAnsi" w:hAnsiTheme="minorHAnsi" w:cstheme="minorHAnsi"/>
          <w:b/>
          <w:sz w:val="21"/>
          <w:szCs w:val="21"/>
        </w:rPr>
        <w:t>Objem sjednaných hypoték stoupá</w:t>
      </w:r>
    </w:p>
    <w:p w14:paraId="541E0DED" w14:textId="5ED4955B" w:rsidR="00132E53" w:rsidRPr="00C20789" w:rsidRDefault="00132E53" w:rsidP="00132E53">
      <w:p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Vzhledem k faktu, že úrokové sazby u hypotečních úvěrů jsou po celý rok 2023 na podobné úrovni, což dokazuje i to</w:t>
      </w:r>
      <w:r w:rsidR="0001597B">
        <w:rPr>
          <w:rFonts w:asciiTheme="minorHAnsi" w:hAnsiTheme="minorHAnsi" w:cstheme="minorHAnsi"/>
          <w:bCs/>
          <w:sz w:val="21"/>
          <w:szCs w:val="21"/>
        </w:rPr>
        <w:t>, že hodnoty Broker Consulting i</w:t>
      </w:r>
      <w:r>
        <w:rPr>
          <w:rFonts w:asciiTheme="minorHAnsi" w:hAnsiTheme="minorHAnsi" w:cstheme="minorHAnsi"/>
          <w:bCs/>
          <w:sz w:val="21"/>
          <w:szCs w:val="21"/>
        </w:rPr>
        <w:t>ndexu jsou již několik měsíců stabilní, narostl od ledna 2023 objem sjednaných hypoték o více než dvojnásobek. „</w:t>
      </w:r>
      <w:r w:rsidRPr="00C20789">
        <w:rPr>
          <w:rFonts w:asciiTheme="minorHAnsi" w:hAnsiTheme="minorHAnsi" w:cstheme="minorHAnsi"/>
          <w:bCs/>
          <w:i/>
          <w:iCs/>
          <w:sz w:val="21"/>
          <w:szCs w:val="21"/>
        </w:rPr>
        <w:t>Tento trend je logickým vyústěním aktuální situace. Úrokové sazby se dlouhodobě drží na podobné úrovni, bez větších výkyvů jedním či druhým směrem a nijak rychle ani klesat nebudou, tudíž není na co čekat,“</w:t>
      </w:r>
      <w:r>
        <w:rPr>
          <w:rFonts w:asciiTheme="minorHAnsi" w:hAnsiTheme="minorHAnsi" w:cstheme="minorHAnsi"/>
          <w:bCs/>
          <w:sz w:val="21"/>
          <w:szCs w:val="21"/>
        </w:rPr>
        <w:t xml:space="preserve"> dodává </w:t>
      </w:r>
      <w:r w:rsidRPr="00C20789">
        <w:rPr>
          <w:rFonts w:asciiTheme="minorHAnsi" w:hAnsiTheme="minorHAnsi" w:cstheme="minorHAnsi"/>
          <w:b/>
          <w:sz w:val="21"/>
          <w:szCs w:val="21"/>
        </w:rPr>
        <w:t>Michaela Pudilová z </w:t>
      </w:r>
      <w:proofErr w:type="gramStart"/>
      <w:r w:rsidRPr="00C20789">
        <w:rPr>
          <w:rFonts w:asciiTheme="minorHAnsi" w:hAnsiTheme="minorHAnsi" w:cstheme="minorHAnsi"/>
          <w:b/>
          <w:sz w:val="21"/>
          <w:szCs w:val="21"/>
        </w:rPr>
        <w:t>Broker</w:t>
      </w:r>
      <w:proofErr w:type="gramEnd"/>
      <w:r w:rsidRPr="00C20789">
        <w:rPr>
          <w:rFonts w:asciiTheme="minorHAnsi" w:hAnsiTheme="minorHAnsi" w:cstheme="minorHAnsi"/>
          <w:b/>
          <w:sz w:val="21"/>
          <w:szCs w:val="21"/>
        </w:rPr>
        <w:t xml:space="preserve"> Consulting</w:t>
      </w:r>
      <w:r>
        <w:rPr>
          <w:rFonts w:asciiTheme="minorHAnsi" w:hAnsiTheme="minorHAnsi" w:cstheme="minorHAnsi"/>
          <w:bCs/>
          <w:sz w:val="21"/>
          <w:szCs w:val="21"/>
        </w:rPr>
        <w:t xml:space="preserve">. </w:t>
      </w:r>
    </w:p>
    <w:p w14:paraId="2009130B" w14:textId="1C729EB9" w:rsidR="00132E53" w:rsidRDefault="00132E53" w:rsidP="00132E53">
      <w:p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lastRenderedPageBreak/>
        <w:t xml:space="preserve">V tomto období je podle odborníků vhodné zvolit u nově sjednávaných hypoték, ale také v případě </w:t>
      </w:r>
      <w:proofErr w:type="spellStart"/>
      <w:r>
        <w:rPr>
          <w:rFonts w:asciiTheme="minorHAnsi" w:hAnsiTheme="minorHAnsi" w:cstheme="minorHAnsi"/>
          <w:bCs/>
          <w:sz w:val="21"/>
          <w:szCs w:val="21"/>
        </w:rPr>
        <w:t>refixace</w:t>
      </w:r>
      <w:proofErr w:type="spellEnd"/>
      <w:r>
        <w:rPr>
          <w:rFonts w:asciiTheme="minorHAnsi" w:hAnsiTheme="minorHAnsi" w:cstheme="minorHAnsi"/>
          <w:bCs/>
          <w:sz w:val="21"/>
          <w:szCs w:val="21"/>
        </w:rPr>
        <w:t xml:space="preserve"> již stávajících hypotečních úvěrů </w:t>
      </w:r>
      <w:bookmarkStart w:id="0" w:name="_GoBack"/>
      <w:bookmarkEnd w:id="0"/>
      <w:r>
        <w:rPr>
          <w:rFonts w:asciiTheme="minorHAnsi" w:hAnsiTheme="minorHAnsi" w:cstheme="minorHAnsi"/>
          <w:bCs/>
          <w:sz w:val="21"/>
          <w:szCs w:val="21"/>
        </w:rPr>
        <w:t xml:space="preserve">kratší dobu fixace. Aktuální situace na hypotečním trhu, kdy jsou sazby hypotečních úvěrů stále na poměrně vysoké úrovni, ale také </w:t>
      </w:r>
      <w:hyperlink r:id="rId30" w:history="1">
        <w:r w:rsidRPr="00C20789">
          <w:rPr>
            <w:rStyle w:val="Hypertextovodkaz"/>
            <w:rFonts w:asciiTheme="minorHAnsi" w:hAnsiTheme="minorHAnsi" w:cstheme="minorHAnsi"/>
            <w:bCs/>
            <w:sz w:val="21"/>
            <w:szCs w:val="21"/>
          </w:rPr>
          <w:t>predikce ČNB</w:t>
        </w:r>
      </w:hyperlink>
      <w:r>
        <w:rPr>
          <w:rFonts w:asciiTheme="minorHAnsi" w:hAnsiTheme="minorHAnsi" w:cstheme="minorHAnsi"/>
          <w:bCs/>
          <w:sz w:val="21"/>
          <w:szCs w:val="21"/>
        </w:rPr>
        <w:t xml:space="preserve"> naznačují, že se </w:t>
      </w:r>
      <w:r w:rsidR="005D4DA7">
        <w:rPr>
          <w:rFonts w:asciiTheme="minorHAnsi" w:hAnsiTheme="minorHAnsi" w:cstheme="minorHAnsi"/>
          <w:bCs/>
          <w:sz w:val="21"/>
          <w:szCs w:val="21"/>
        </w:rPr>
        <w:t>ú</w:t>
      </w:r>
      <w:r>
        <w:rPr>
          <w:rFonts w:asciiTheme="minorHAnsi" w:hAnsiTheme="minorHAnsi" w:cstheme="minorHAnsi"/>
          <w:bCs/>
          <w:sz w:val="21"/>
          <w:szCs w:val="21"/>
        </w:rPr>
        <w:t xml:space="preserve">rokové sazky budou v několika následujících letech snižovat. Díky volbě kratší doby fixace, například tříleté, je pak možné klesající trend sazeb následovat. </w:t>
      </w:r>
    </w:p>
    <w:p w14:paraId="323AD7A8" w14:textId="77777777" w:rsidR="00132E53" w:rsidRPr="00C20789" w:rsidRDefault="00132E53" w:rsidP="00132E53">
      <w:pPr>
        <w:spacing w:before="200" w:after="200"/>
        <w:ind w:right="40"/>
        <w:rPr>
          <w:rFonts w:asciiTheme="minorHAnsi" w:hAnsiTheme="minorHAnsi" w:cstheme="minorHAnsi"/>
          <w:b/>
          <w:sz w:val="21"/>
          <w:szCs w:val="21"/>
        </w:rPr>
      </w:pPr>
      <w:r w:rsidRPr="00132E53">
        <w:rPr>
          <w:rFonts w:asciiTheme="minorHAnsi" w:hAnsiTheme="minorHAnsi" w:cstheme="minorHAnsi"/>
          <w:b/>
          <w:sz w:val="21"/>
          <w:szCs w:val="21"/>
        </w:rPr>
        <w:t>BOX: Co je fixace hypotéky?</w:t>
      </w:r>
      <w:r w:rsidRPr="00C20789">
        <w:rPr>
          <w:rFonts w:asciiTheme="minorHAnsi" w:hAnsiTheme="minorHAnsi" w:cstheme="minorHAnsi"/>
          <w:b/>
          <w:sz w:val="21"/>
          <w:szCs w:val="21"/>
        </w:rPr>
        <w:t xml:space="preserve"> </w:t>
      </w:r>
    </w:p>
    <w:p w14:paraId="16701FA0" w14:textId="77777777" w:rsidR="00132E53" w:rsidRDefault="00132E53" w:rsidP="00132E53">
      <w:pPr>
        <w:pStyle w:val="Odstavecseseznamem"/>
        <w:numPr>
          <w:ilvl w:val="0"/>
          <w:numId w:val="11"/>
        </w:num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 w:rsidRPr="00C20789">
        <w:rPr>
          <w:rFonts w:asciiTheme="minorHAnsi" w:hAnsiTheme="minorHAnsi" w:cstheme="minorHAnsi"/>
          <w:bCs/>
          <w:sz w:val="21"/>
          <w:szCs w:val="21"/>
        </w:rPr>
        <w:t>období, po které je pevně stanovená úroková sazba a další podmínky hypotečního úvěru</w:t>
      </w:r>
    </w:p>
    <w:p w14:paraId="6679FD90" w14:textId="77777777" w:rsidR="00132E53" w:rsidRDefault="00132E53" w:rsidP="00132E53">
      <w:pPr>
        <w:pStyle w:val="Odstavecseseznamem"/>
        <w:numPr>
          <w:ilvl w:val="0"/>
          <w:numId w:val="11"/>
        </w:num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 w:rsidRPr="00C20789">
        <w:rPr>
          <w:rFonts w:asciiTheme="minorHAnsi" w:hAnsiTheme="minorHAnsi" w:cstheme="minorHAnsi"/>
          <w:bCs/>
          <w:sz w:val="21"/>
          <w:szCs w:val="21"/>
        </w:rPr>
        <w:t xml:space="preserve">obvykle </w:t>
      </w:r>
      <w:r>
        <w:rPr>
          <w:rFonts w:asciiTheme="minorHAnsi" w:hAnsiTheme="minorHAnsi" w:cstheme="minorHAnsi"/>
          <w:bCs/>
          <w:sz w:val="21"/>
          <w:szCs w:val="21"/>
        </w:rPr>
        <w:t xml:space="preserve">bývá </w:t>
      </w:r>
      <w:r w:rsidRPr="00C20789">
        <w:rPr>
          <w:rFonts w:asciiTheme="minorHAnsi" w:hAnsiTheme="minorHAnsi" w:cstheme="minorHAnsi"/>
          <w:bCs/>
          <w:sz w:val="21"/>
          <w:szCs w:val="21"/>
        </w:rPr>
        <w:t>1, 3, 5 nebo 7 až 10 let</w:t>
      </w:r>
    </w:p>
    <w:p w14:paraId="71015F3E" w14:textId="77777777" w:rsidR="00132E53" w:rsidRDefault="00132E53" w:rsidP="00132E53">
      <w:pPr>
        <w:pStyle w:val="Odstavecseseznamem"/>
        <w:numPr>
          <w:ilvl w:val="0"/>
          <w:numId w:val="11"/>
        </w:num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 w:rsidRPr="00C20789">
        <w:rPr>
          <w:rFonts w:asciiTheme="minorHAnsi" w:hAnsiTheme="minorHAnsi" w:cstheme="minorHAnsi"/>
          <w:bCs/>
          <w:sz w:val="21"/>
          <w:szCs w:val="21"/>
        </w:rPr>
        <w:t>za dobu trvání hypotéky se většinou tyto parametry několikrát přenastaví</w:t>
      </w:r>
    </w:p>
    <w:p w14:paraId="7199BED5" w14:textId="2D8AE398" w:rsidR="00132E53" w:rsidRPr="0016556A" w:rsidRDefault="00132E53" w:rsidP="00132E53">
      <w:pPr>
        <w:pStyle w:val="Odstavecseseznamem"/>
        <w:numPr>
          <w:ilvl w:val="0"/>
          <w:numId w:val="11"/>
        </w:numPr>
        <w:spacing w:before="200" w:after="200"/>
        <w:ind w:right="4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při volbě</w:t>
      </w:r>
      <w:r w:rsidRPr="00C20789">
        <w:rPr>
          <w:rFonts w:asciiTheme="minorHAnsi" w:hAnsiTheme="minorHAnsi" w:cstheme="minorHAnsi"/>
          <w:bCs/>
          <w:sz w:val="21"/>
          <w:szCs w:val="21"/>
        </w:rPr>
        <w:t xml:space="preserve"> mezi kratšími a delšími fixacemi </w:t>
      </w:r>
      <w:r>
        <w:rPr>
          <w:rFonts w:asciiTheme="minorHAnsi" w:hAnsiTheme="minorHAnsi" w:cstheme="minorHAnsi"/>
          <w:bCs/>
          <w:sz w:val="21"/>
          <w:szCs w:val="21"/>
        </w:rPr>
        <w:t>je dobré zohlednit aktuální ekonomickou situaci</w:t>
      </w:r>
    </w:p>
    <w:p w14:paraId="23BF35CB" w14:textId="77777777" w:rsidR="00362BFF" w:rsidRPr="00D8120C" w:rsidRDefault="00362BFF" w:rsidP="007B1851">
      <w:pPr>
        <w:pBdr>
          <w:bottom w:val="single" w:sz="4" w:space="1" w:color="auto"/>
        </w:pBdr>
        <w:rPr>
          <w:rFonts w:ascii="Arial" w:hAnsi="Arial" w:cs="Arial"/>
          <w:sz w:val="21"/>
          <w:szCs w:val="21"/>
        </w:rPr>
      </w:pPr>
    </w:p>
    <w:p w14:paraId="06153168" w14:textId="4F792E9D" w:rsidR="00236A37" w:rsidRPr="00D8120C" w:rsidRDefault="00182E22" w:rsidP="007B1851">
      <w:pPr>
        <w:spacing w:before="240" w:after="12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br/>
      </w:r>
      <w:r w:rsidR="00C42CA5" w:rsidRPr="00D8120C">
        <w:rPr>
          <w:rFonts w:asciiTheme="minorHAnsi" w:hAnsiTheme="minorHAnsi" w:cstheme="minorHAnsi"/>
          <w:sz w:val="21"/>
          <w:szCs w:val="21"/>
        </w:rPr>
        <w:t>Broker Consulting Index hypotečních úvěrů je analytický nástroj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="00C42CA5" w:rsidRPr="00D8120C">
        <w:rPr>
          <w:rFonts w:asciiTheme="minorHAnsi" w:hAnsiTheme="minorHAnsi" w:cstheme="minorHAnsi"/>
          <w:sz w:val="21"/>
          <w:szCs w:val="21"/>
        </w:rPr>
        <w:t xml:space="preserve"> průměrnou úrokovou sazbu u hypotečních úvěrů, </w:t>
      </w:r>
      <w:r w:rsidR="00113603" w:rsidRPr="00D8120C">
        <w:rPr>
          <w:rFonts w:asciiTheme="minorHAnsi" w:hAnsiTheme="minorHAnsi" w:cstheme="minorHAnsi"/>
          <w:sz w:val="21"/>
          <w:szCs w:val="21"/>
        </w:rPr>
        <w:t>které</w:t>
      </w:r>
      <w:r w:rsidR="00C42CA5" w:rsidRPr="00D8120C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vstupuje </w:t>
      </w:r>
      <w:r w:rsidR="00C42CA5" w:rsidRPr="00D8120C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="00C42CA5" w:rsidRPr="00D8120C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D8120C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="00C42CA5" w:rsidRPr="00D8120C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="00C42CA5" w:rsidRPr="00D8120C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D8120C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D8120C">
        <w:rPr>
          <w:rFonts w:asciiTheme="minorHAnsi" w:hAnsiTheme="minorHAnsi" w:cstheme="minorHAnsi"/>
          <w:sz w:val="21"/>
          <w:szCs w:val="21"/>
        </w:rPr>
        <w:t>,</w:t>
      </w:r>
      <w:r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D8120C">
        <w:rPr>
          <w:rFonts w:asciiTheme="minorHAnsi" w:hAnsiTheme="minorHAnsi" w:cstheme="minorHAnsi"/>
          <w:sz w:val="21"/>
          <w:szCs w:val="21"/>
        </w:rPr>
        <w:t>a</w:t>
      </w:r>
      <w:r w:rsidRPr="00D8120C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18A0CCB4" w:rsidR="009345C9" w:rsidRPr="00D8120C" w:rsidRDefault="002E6DB6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D8120C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691D3A33" w14:textId="77777777" w:rsidR="00C42CA5" w:rsidRPr="00D8120C" w:rsidRDefault="00C42CA5" w:rsidP="007B1851">
      <w:pPr>
        <w:pBdr>
          <w:bottom w:val="single" w:sz="4" w:space="1" w:color="auto"/>
        </w:pBdr>
        <w:rPr>
          <w:rFonts w:asciiTheme="minorHAnsi" w:hAnsiTheme="minorHAnsi" w:cstheme="minorHAnsi"/>
          <w:sz w:val="21"/>
          <w:szCs w:val="21"/>
        </w:rPr>
      </w:pPr>
    </w:p>
    <w:p w14:paraId="4A4E372E" w14:textId="214E9ADC" w:rsidR="00CA1806" w:rsidRPr="000C6D26" w:rsidRDefault="00CA1806" w:rsidP="007B1851">
      <w:pPr>
        <w:rPr>
          <w:rFonts w:asciiTheme="minorHAnsi" w:hAnsiTheme="minorHAnsi" w:cstheme="minorHAnsi"/>
          <w:b/>
          <w:sz w:val="21"/>
          <w:szCs w:val="21"/>
        </w:rPr>
      </w:pPr>
    </w:p>
    <w:p w14:paraId="5FCF3C96" w14:textId="79E57602" w:rsidR="00B01F39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</w:t>
      </w:r>
      <w:r w:rsidR="00B37F41" w:rsidRPr="000C6D26">
        <w:rPr>
          <w:rFonts w:asciiTheme="minorHAnsi" w:hAnsiTheme="minorHAnsi" w:cstheme="minorHAnsi"/>
          <w:b/>
          <w:sz w:val="21"/>
          <w:szCs w:val="21"/>
        </w:rPr>
        <w:t>oznámka pro média:</w:t>
      </w:r>
      <w:r w:rsidR="00B37F41"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="00B37F41"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index hypot</w:t>
      </w:r>
      <w:r w:rsidR="00830CE8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e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čních úvěrů). Více informací najdete též na webu </w:t>
      </w:r>
      <w:r w:rsidR="00B37F41"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0BBC87EC" w14:textId="77777777" w:rsidR="001C22FE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</w:pPr>
    </w:p>
    <w:p w14:paraId="72ED1D97" w14:textId="126A9B30" w:rsidR="001C22FE" w:rsidRPr="007B5E2F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49280D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49280D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49280D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31" w:history="1">
        <w:r w:rsidRPr="00BB397E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https://www.bcas.cz/o-nas/broker-consulting-index-hypotecnich-uveru/</w:t>
        </w:r>
      </w:hyperlink>
      <w: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7DE80F01" w14:textId="5F0A8380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0C6D26" w:rsidRDefault="00D60D98" w:rsidP="00D60D98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459105C8" w14:textId="1ED04440" w:rsidR="00692610" w:rsidRPr="000C6D26" w:rsidRDefault="003529EF" w:rsidP="00C07D5F">
      <w:pPr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1DBDA364" w14:textId="77777777" w:rsidR="005F2383" w:rsidRDefault="00692610" w:rsidP="00C07D5F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</w:p>
    <w:p w14:paraId="2B335B50" w14:textId="598C8DDA" w:rsidR="005F2383" w:rsidRDefault="004928CB" w:rsidP="00C07D5F">
      <w:pPr>
        <w:pStyle w:val="Bezmezer"/>
        <w:rPr>
          <w:rFonts w:cstheme="minorHAnsi"/>
          <w:noProof/>
          <w:color w:val="000000" w:themeColor="text1"/>
          <w:sz w:val="21"/>
          <w:szCs w:val="21"/>
        </w:rPr>
      </w:pPr>
      <w:r w:rsidRPr="000C6D26">
        <w:rPr>
          <w:rFonts w:cstheme="minorHAnsi"/>
          <w:noProof/>
          <w:color w:val="000000" w:themeColor="text1"/>
          <w:sz w:val="21"/>
          <w:szCs w:val="21"/>
        </w:rPr>
        <w:t>tel.: +420 731 538</w:t>
      </w:r>
      <w:r w:rsidR="005F2383">
        <w:rPr>
          <w:rFonts w:cstheme="minorHAnsi"/>
          <w:noProof/>
          <w:color w:val="000000" w:themeColor="text1"/>
          <w:sz w:val="21"/>
          <w:szCs w:val="21"/>
        </w:rPr>
        <w:t> </w:t>
      </w:r>
      <w:r w:rsidRPr="000C6D26">
        <w:rPr>
          <w:rFonts w:cstheme="minorHAnsi"/>
          <w:noProof/>
          <w:color w:val="000000" w:themeColor="text1"/>
          <w:sz w:val="21"/>
          <w:szCs w:val="21"/>
        </w:rPr>
        <w:t>373</w:t>
      </w:r>
    </w:p>
    <w:p w14:paraId="025F1B2F" w14:textId="7B529BE3" w:rsidR="00D60D98" w:rsidRPr="00C07D5F" w:rsidRDefault="00C07D5F" w:rsidP="00C07D5F">
      <w:pPr>
        <w:pStyle w:val="Bezmezer"/>
        <w:rPr>
          <w:rFonts w:eastAsia="Calibri" w:cstheme="minorHAnsi"/>
          <w:noProof/>
          <w:sz w:val="21"/>
          <w:szCs w:val="21"/>
        </w:rPr>
      </w:pPr>
      <w:r>
        <w:rPr>
          <w:rFonts w:cstheme="minorHAnsi"/>
          <w:noProof/>
          <w:color w:val="000000" w:themeColor="text1"/>
          <w:sz w:val="21"/>
          <w:szCs w:val="21"/>
        </w:rPr>
        <w:t>e</w:t>
      </w:r>
      <w:r w:rsidR="00692610" w:rsidRPr="000C6D26">
        <w:rPr>
          <w:rFonts w:eastAsia="Calibri" w:cstheme="minorHAnsi"/>
          <w:noProof/>
          <w:sz w:val="21"/>
          <w:szCs w:val="21"/>
        </w:rPr>
        <w:t xml:space="preserve">-mail: </w:t>
      </w:r>
      <w:hyperlink r:id="rId32" w:history="1">
        <w:r w:rsidR="003529EF" w:rsidRPr="000C6D26">
          <w:rPr>
            <w:rStyle w:val="Hypertextovodkaz"/>
            <w:rFonts w:eastAsia="Calibri" w:cstheme="minorHAnsi"/>
            <w:noProof/>
            <w:sz w:val="21"/>
            <w:szCs w:val="21"/>
          </w:rPr>
          <w:t>michaela.sahulova@bcas.cz</w:t>
        </w:r>
      </w:hyperlink>
      <w:r w:rsidR="00692610" w:rsidRPr="000C6D26">
        <w:rPr>
          <w:rFonts w:eastAsia="Calibri" w:cstheme="minorHAnsi"/>
          <w:noProof/>
          <w:sz w:val="21"/>
          <w:szCs w:val="21"/>
        </w:rPr>
        <w:t xml:space="preserve"> </w:t>
      </w:r>
    </w:p>
    <w:sectPr w:rsidR="00D60D98" w:rsidRPr="00C07D5F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22373" w14:textId="77777777" w:rsidR="00252DB1" w:rsidRDefault="00252DB1">
      <w:r>
        <w:separator/>
      </w:r>
    </w:p>
  </w:endnote>
  <w:endnote w:type="continuationSeparator" w:id="0">
    <w:p w14:paraId="60FA4601" w14:textId="77777777" w:rsidR="00252DB1" w:rsidRDefault="0025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52DB1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483579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52DB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483579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52DB1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483579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6B0C0" w14:textId="77777777" w:rsidR="00252DB1" w:rsidRDefault="00252DB1">
      <w:r>
        <w:separator/>
      </w:r>
    </w:p>
  </w:footnote>
  <w:footnote w:type="continuationSeparator" w:id="0">
    <w:p w14:paraId="0F74E0BC" w14:textId="77777777" w:rsidR="00252DB1" w:rsidRDefault="00252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60C79"/>
    <w:multiLevelType w:val="hybridMultilevel"/>
    <w:tmpl w:val="78CEF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1597B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4B2B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92AEE"/>
    <w:rsid w:val="00092BB7"/>
    <w:rsid w:val="00092C6B"/>
    <w:rsid w:val="00094C16"/>
    <w:rsid w:val="00096425"/>
    <w:rsid w:val="0009776B"/>
    <w:rsid w:val="000A080B"/>
    <w:rsid w:val="000A6CF9"/>
    <w:rsid w:val="000B187C"/>
    <w:rsid w:val="000B6DD9"/>
    <w:rsid w:val="000C181E"/>
    <w:rsid w:val="000C2DA6"/>
    <w:rsid w:val="000C5541"/>
    <w:rsid w:val="000C6D26"/>
    <w:rsid w:val="000C7564"/>
    <w:rsid w:val="000D0013"/>
    <w:rsid w:val="000D14E2"/>
    <w:rsid w:val="000D2CFC"/>
    <w:rsid w:val="000D4AFB"/>
    <w:rsid w:val="000D7158"/>
    <w:rsid w:val="000E01C2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2E53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556A"/>
    <w:rsid w:val="001675AF"/>
    <w:rsid w:val="0016771F"/>
    <w:rsid w:val="00174317"/>
    <w:rsid w:val="00175545"/>
    <w:rsid w:val="001767A5"/>
    <w:rsid w:val="00176E93"/>
    <w:rsid w:val="00177C18"/>
    <w:rsid w:val="00182A92"/>
    <w:rsid w:val="00182E22"/>
    <w:rsid w:val="00187310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D7A"/>
    <w:rsid w:val="001B7936"/>
    <w:rsid w:val="001C22FE"/>
    <w:rsid w:val="001D015A"/>
    <w:rsid w:val="001D30C7"/>
    <w:rsid w:val="001D33FA"/>
    <w:rsid w:val="001D36F0"/>
    <w:rsid w:val="001D3DFC"/>
    <w:rsid w:val="001D45F5"/>
    <w:rsid w:val="001D5EFC"/>
    <w:rsid w:val="001E02C2"/>
    <w:rsid w:val="001E0A89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1DC1"/>
    <w:rsid w:val="0024212A"/>
    <w:rsid w:val="00242669"/>
    <w:rsid w:val="0025080B"/>
    <w:rsid w:val="0025183C"/>
    <w:rsid w:val="00251F32"/>
    <w:rsid w:val="0025264B"/>
    <w:rsid w:val="00252DB1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265"/>
    <w:rsid w:val="002B4919"/>
    <w:rsid w:val="002B4B98"/>
    <w:rsid w:val="002B6F4E"/>
    <w:rsid w:val="002B7650"/>
    <w:rsid w:val="002C06E2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1A0D"/>
    <w:rsid w:val="002E6173"/>
    <w:rsid w:val="002E6DB6"/>
    <w:rsid w:val="002F002B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B7BDD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0F6"/>
    <w:rsid w:val="00435115"/>
    <w:rsid w:val="0044102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3579"/>
    <w:rsid w:val="004835F4"/>
    <w:rsid w:val="00487B6B"/>
    <w:rsid w:val="004919CC"/>
    <w:rsid w:val="004928CB"/>
    <w:rsid w:val="00492941"/>
    <w:rsid w:val="00495AFF"/>
    <w:rsid w:val="00495E14"/>
    <w:rsid w:val="004A3439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492"/>
    <w:rsid w:val="005B7E46"/>
    <w:rsid w:val="005C0D63"/>
    <w:rsid w:val="005C41F6"/>
    <w:rsid w:val="005C48C1"/>
    <w:rsid w:val="005C7059"/>
    <w:rsid w:val="005D189A"/>
    <w:rsid w:val="005D4DA7"/>
    <w:rsid w:val="005D6963"/>
    <w:rsid w:val="005E3212"/>
    <w:rsid w:val="005E45D8"/>
    <w:rsid w:val="005E4855"/>
    <w:rsid w:val="005F18D4"/>
    <w:rsid w:val="005F2383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2494"/>
    <w:rsid w:val="00624A82"/>
    <w:rsid w:val="0062747C"/>
    <w:rsid w:val="0062751F"/>
    <w:rsid w:val="00633136"/>
    <w:rsid w:val="00636E70"/>
    <w:rsid w:val="0064020E"/>
    <w:rsid w:val="0064160C"/>
    <w:rsid w:val="0064209A"/>
    <w:rsid w:val="006429DE"/>
    <w:rsid w:val="00645BA9"/>
    <w:rsid w:val="00646B73"/>
    <w:rsid w:val="006501CB"/>
    <w:rsid w:val="00650A3C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008"/>
    <w:rsid w:val="006C2696"/>
    <w:rsid w:val="006C4076"/>
    <w:rsid w:val="006C4193"/>
    <w:rsid w:val="006C61E8"/>
    <w:rsid w:val="006D01AF"/>
    <w:rsid w:val="006D1884"/>
    <w:rsid w:val="006D65EC"/>
    <w:rsid w:val="006E074A"/>
    <w:rsid w:val="006E1C67"/>
    <w:rsid w:val="006E26DC"/>
    <w:rsid w:val="006E52B8"/>
    <w:rsid w:val="006E68CA"/>
    <w:rsid w:val="006F32FB"/>
    <w:rsid w:val="00700FD6"/>
    <w:rsid w:val="00705D83"/>
    <w:rsid w:val="0071201C"/>
    <w:rsid w:val="00712177"/>
    <w:rsid w:val="00713CD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333E"/>
    <w:rsid w:val="00764BFF"/>
    <w:rsid w:val="00767284"/>
    <w:rsid w:val="00771B91"/>
    <w:rsid w:val="007737E3"/>
    <w:rsid w:val="007748DA"/>
    <w:rsid w:val="0077685A"/>
    <w:rsid w:val="007824F4"/>
    <w:rsid w:val="0078345F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11F2"/>
    <w:rsid w:val="007B1851"/>
    <w:rsid w:val="007B232E"/>
    <w:rsid w:val="007B358E"/>
    <w:rsid w:val="007B5E2F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754"/>
    <w:rsid w:val="007F3198"/>
    <w:rsid w:val="007F36AF"/>
    <w:rsid w:val="007F515C"/>
    <w:rsid w:val="008009B8"/>
    <w:rsid w:val="00800CEA"/>
    <w:rsid w:val="00807AD4"/>
    <w:rsid w:val="008104E0"/>
    <w:rsid w:val="0081387C"/>
    <w:rsid w:val="00817512"/>
    <w:rsid w:val="00822194"/>
    <w:rsid w:val="00822D26"/>
    <w:rsid w:val="008245C1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630EC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1531"/>
    <w:rsid w:val="008B2EE5"/>
    <w:rsid w:val="008B3C82"/>
    <w:rsid w:val="008B5C5C"/>
    <w:rsid w:val="008B64C9"/>
    <w:rsid w:val="008C1795"/>
    <w:rsid w:val="008C4B0D"/>
    <w:rsid w:val="008C75D3"/>
    <w:rsid w:val="008C79A2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25C5"/>
    <w:rsid w:val="008F4980"/>
    <w:rsid w:val="008F6707"/>
    <w:rsid w:val="008F6AAF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1519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C0ECA"/>
    <w:rsid w:val="009C283B"/>
    <w:rsid w:val="009C2B04"/>
    <w:rsid w:val="009C3544"/>
    <w:rsid w:val="009C45BA"/>
    <w:rsid w:val="009D2D28"/>
    <w:rsid w:val="009D7AFB"/>
    <w:rsid w:val="009E055E"/>
    <w:rsid w:val="009E0C76"/>
    <w:rsid w:val="009E22C3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3653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7D07"/>
    <w:rsid w:val="00AA073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90B23"/>
    <w:rsid w:val="00B91CEE"/>
    <w:rsid w:val="00B94777"/>
    <w:rsid w:val="00B95BB2"/>
    <w:rsid w:val="00B95EBA"/>
    <w:rsid w:val="00B96E03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1811"/>
    <w:rsid w:val="00BF36AE"/>
    <w:rsid w:val="00BF4092"/>
    <w:rsid w:val="00BF44F1"/>
    <w:rsid w:val="00BF4CD9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BBC"/>
    <w:rsid w:val="00C6644B"/>
    <w:rsid w:val="00C668FF"/>
    <w:rsid w:val="00C67861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5086"/>
    <w:rsid w:val="00CE6C6E"/>
    <w:rsid w:val="00CE76FD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3404F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7F9B"/>
    <w:rsid w:val="00E60634"/>
    <w:rsid w:val="00E607C0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C2DC7"/>
    <w:rsid w:val="00EC3779"/>
    <w:rsid w:val="00EC71DE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15D1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829B7"/>
    <w:rsid w:val="00F82DF0"/>
    <w:rsid w:val="00F84A4F"/>
    <w:rsid w:val="00F84ACE"/>
    <w:rsid w:val="00F8617B"/>
    <w:rsid w:val="00F863D7"/>
    <w:rsid w:val="00F9173C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412B"/>
    <w:rsid w:val="00FB42E5"/>
    <w:rsid w:val="00FB58C3"/>
    <w:rsid w:val="00FB59EE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5D3"/>
    <w:rsid w:val="00FD6A70"/>
    <w:rsid w:val="00FE1D87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hyperlink" Target="mailto:michaela.sahulova@bca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https://www.bcas.cz/o-nas/broker-consulting-index-hypotecnich-uve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cnb.cz/cs/menova-politika/prognoza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C6A06-7220-42E5-937D-1F1D2F87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1113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14</cp:revision>
  <cp:lastPrinted>2023-03-06T11:31:00Z</cp:lastPrinted>
  <dcterms:created xsi:type="dcterms:W3CDTF">2023-11-29T09:53:00Z</dcterms:created>
  <dcterms:modified xsi:type="dcterms:W3CDTF">2023-12-13T12:47:00Z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