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3477F" w14:textId="73DE3A14" w:rsidR="00B712F8" w:rsidRPr="00B712F8" w:rsidRDefault="00B712F8" w:rsidP="00B712F8">
      <w:pPr>
        <w:spacing w:before="230"/>
        <w:jc w:val="center"/>
        <w:rPr>
          <w:rFonts w:asciiTheme="minorHAnsi" w:hAnsiTheme="minorHAnsi" w:cstheme="minorHAnsi"/>
          <w:sz w:val="24"/>
        </w:rPr>
      </w:pPr>
      <w:r w:rsidRPr="00B712F8">
        <w:rPr>
          <w:rFonts w:asciiTheme="minorHAnsi" w:hAnsiTheme="minorHAnsi" w:cstheme="minorHAnsi"/>
          <w:sz w:val="24"/>
        </w:rPr>
        <w:t>INDEX HYPOTEČNÍCH ÚVĚRŮ | FIXINDEX</w:t>
      </w:r>
    </w:p>
    <w:p w14:paraId="60EAB24B" w14:textId="1AA8A38E" w:rsid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PODÍLOVÝCH </w:t>
      </w:r>
    </w:p>
    <w:p w14:paraId="5297514E" w14:textId="27BF137B" w:rsidR="00873067" w:rsidRPr="00B712F8" w:rsidRDefault="00873067" w:rsidP="00B712F8">
      <w:pPr>
        <w:spacing w:before="230"/>
        <w:ind w:left="165"/>
        <w:jc w:val="center"/>
        <w:rPr>
          <w:rFonts w:asciiTheme="minorHAnsi" w:hAnsiTheme="minorHAnsi" w:cstheme="minorHAnsi"/>
          <w:sz w:val="24"/>
        </w:rPr>
      </w:pPr>
      <w:r>
        <w:rPr>
          <w:rFonts w:asciiTheme="minorHAnsi" w:hAnsiTheme="minorHAnsi" w:cstheme="minorHAnsi"/>
          <w:sz w:val="24"/>
        </w:rPr>
        <w:t>REALINDEX</w:t>
      </w:r>
    </w:p>
    <w:p w14:paraId="26DF00A4" w14:textId="285D3435" w:rsidR="00873067" w:rsidRPr="00B712F8" w:rsidRDefault="00B712F8" w:rsidP="00873067">
      <w:pPr>
        <w:spacing w:before="230"/>
        <w:ind w:left="165"/>
        <w:jc w:val="center"/>
        <w:rPr>
          <w:rFonts w:asciiTheme="minorHAnsi" w:hAnsiTheme="minorHAnsi" w:cstheme="minorHAnsi"/>
          <w:b/>
          <w:sz w:val="24"/>
        </w:rPr>
      </w:pPr>
      <w:r w:rsidRPr="00B712F8">
        <w:rPr>
          <w:rFonts w:asciiTheme="minorHAnsi" w:hAnsiTheme="minorHAnsi" w:cstheme="minorHAnsi"/>
          <w:b/>
          <w:sz w:val="24"/>
        </w:rPr>
        <w:t xml:space="preserve">POVINDEX </w:t>
      </w:r>
    </w:p>
    <w:p w14:paraId="35D84D67" w14:textId="77777777" w:rsidR="00B712F8" w:rsidRP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SPOTŘEBITELSKÝCH ÚVĚRŮ  </w:t>
      </w:r>
    </w:p>
    <w:p w14:paraId="461E2AE1" w14:textId="77777777" w:rsidR="00B712F8" w:rsidRPr="005D11F0" w:rsidRDefault="00B712F8" w:rsidP="00B712F8">
      <w:pPr>
        <w:pStyle w:val="Zkladntext"/>
        <w:rPr>
          <w:sz w:val="20"/>
        </w:rPr>
      </w:pPr>
    </w:p>
    <w:p w14:paraId="0E5FD800" w14:textId="77777777" w:rsidR="00B712F8" w:rsidRPr="005D11F0" w:rsidRDefault="00B712F8" w:rsidP="00B712F8">
      <w:pPr>
        <w:pStyle w:val="Zkladntext"/>
        <w:rPr>
          <w:sz w:val="20"/>
        </w:rPr>
      </w:pPr>
      <w:r w:rsidRPr="005D11F0">
        <w:rPr>
          <w:noProof/>
          <w:sz w:val="20"/>
          <w:lang w:bidi="ar-SA"/>
        </w:rPr>
        <w:drawing>
          <wp:anchor distT="0" distB="0" distL="114300" distR="114300" simplePos="0" relativeHeight="251659264" behindDoc="1" locked="0" layoutInCell="1" allowOverlap="1" wp14:anchorId="5B99E0AC" wp14:editId="394D1D8C">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E3ED0" w14:textId="77777777" w:rsidR="00B712F8" w:rsidRPr="005D11F0" w:rsidRDefault="00B712F8" w:rsidP="00B712F8">
      <w:pPr>
        <w:pStyle w:val="Zkladntext"/>
        <w:rPr>
          <w:sz w:val="20"/>
        </w:rPr>
      </w:pPr>
    </w:p>
    <w:p w14:paraId="07EC57A1" w14:textId="77777777" w:rsidR="00B712F8" w:rsidRPr="005D11F0" w:rsidRDefault="00B712F8" w:rsidP="00B712F8">
      <w:pPr>
        <w:pStyle w:val="Zkladntext"/>
        <w:rPr>
          <w:sz w:val="20"/>
        </w:rPr>
      </w:pPr>
    </w:p>
    <w:p w14:paraId="10EA7975" w14:textId="77777777" w:rsidR="00B712F8" w:rsidRPr="005D11F0" w:rsidRDefault="00B712F8" w:rsidP="00B712F8">
      <w:pPr>
        <w:pStyle w:val="Zkladntext"/>
        <w:rPr>
          <w:sz w:val="20"/>
        </w:rPr>
      </w:pPr>
    </w:p>
    <w:p w14:paraId="0E42394D" w14:textId="77777777" w:rsidR="00B712F8" w:rsidRPr="005D11F0" w:rsidRDefault="00B712F8" w:rsidP="00B712F8">
      <w:pPr>
        <w:pStyle w:val="Zkladntext"/>
        <w:rPr>
          <w:sz w:val="20"/>
        </w:rPr>
      </w:pPr>
    </w:p>
    <w:p w14:paraId="1D9CF081" w14:textId="77777777" w:rsidR="00B712F8" w:rsidRPr="005D11F0" w:rsidRDefault="00B712F8" w:rsidP="00B712F8">
      <w:pPr>
        <w:pStyle w:val="Zkladntext"/>
        <w:rPr>
          <w:sz w:val="20"/>
        </w:rPr>
      </w:pPr>
    </w:p>
    <w:p w14:paraId="28C33AD0" w14:textId="77777777" w:rsidR="00B712F8" w:rsidRPr="005D11F0" w:rsidRDefault="00B712F8" w:rsidP="00B712F8">
      <w:pPr>
        <w:pStyle w:val="Zkladntext"/>
        <w:rPr>
          <w:sz w:val="20"/>
        </w:rPr>
      </w:pPr>
    </w:p>
    <w:p w14:paraId="64B40F02" w14:textId="77777777" w:rsidR="00B712F8" w:rsidRPr="005D11F0" w:rsidRDefault="00B712F8" w:rsidP="00B712F8">
      <w:pPr>
        <w:pStyle w:val="Zkladntext"/>
        <w:rPr>
          <w:sz w:val="20"/>
        </w:rPr>
      </w:pPr>
    </w:p>
    <w:p w14:paraId="6AB0AA92" w14:textId="77777777" w:rsidR="00B712F8" w:rsidRPr="005D11F0" w:rsidRDefault="00B712F8" w:rsidP="00B712F8">
      <w:pPr>
        <w:pStyle w:val="Zkladntext"/>
        <w:jc w:val="both"/>
        <w:rPr>
          <w:rFonts w:ascii="Arial" w:hAnsi="Arial" w:cs="Arial"/>
          <w:sz w:val="20"/>
        </w:rPr>
      </w:pPr>
    </w:p>
    <w:p w14:paraId="168CA3FE" w14:textId="77777777" w:rsidR="00B712F8" w:rsidRPr="005D11F0" w:rsidRDefault="00B712F8" w:rsidP="00B712F8">
      <w:pPr>
        <w:pStyle w:val="Zkladntext"/>
        <w:jc w:val="both"/>
        <w:rPr>
          <w:rFonts w:ascii="Arial" w:hAnsi="Arial" w:cs="Arial"/>
          <w:b/>
          <w:sz w:val="20"/>
        </w:rPr>
      </w:pPr>
    </w:p>
    <w:p w14:paraId="2C7C11E7" w14:textId="77777777" w:rsidR="00B712F8" w:rsidRPr="005D11F0" w:rsidRDefault="00B712F8" w:rsidP="00B712F8">
      <w:pPr>
        <w:pStyle w:val="Zkladntext"/>
        <w:jc w:val="both"/>
        <w:rPr>
          <w:rFonts w:ascii="Arial" w:hAnsi="Arial" w:cs="Arial"/>
          <w:b/>
          <w:sz w:val="20"/>
        </w:rPr>
      </w:pPr>
    </w:p>
    <w:p w14:paraId="2EC7A176" w14:textId="77777777" w:rsidR="00B712F8" w:rsidRPr="005D11F0" w:rsidRDefault="00B712F8" w:rsidP="00B712F8">
      <w:pPr>
        <w:pStyle w:val="Zkladntext"/>
        <w:jc w:val="both"/>
        <w:rPr>
          <w:rFonts w:ascii="Arial" w:hAnsi="Arial" w:cs="Arial"/>
          <w:b/>
          <w:sz w:val="20"/>
        </w:rPr>
      </w:pPr>
    </w:p>
    <w:p w14:paraId="3B89FDD7" w14:textId="77777777" w:rsidR="00B712F8" w:rsidRPr="005D11F0" w:rsidRDefault="00B712F8" w:rsidP="00B712F8">
      <w:pPr>
        <w:pStyle w:val="Zkladntext"/>
        <w:jc w:val="both"/>
        <w:rPr>
          <w:rFonts w:ascii="Arial" w:hAnsi="Arial" w:cs="Arial"/>
          <w:b/>
          <w:sz w:val="20"/>
        </w:rPr>
      </w:pPr>
    </w:p>
    <w:p w14:paraId="37DBF001" w14:textId="77777777" w:rsidR="00B712F8" w:rsidRPr="005D11F0" w:rsidRDefault="00B712F8" w:rsidP="00B712F8">
      <w:pPr>
        <w:pStyle w:val="Zkladntext"/>
        <w:jc w:val="both"/>
        <w:rPr>
          <w:rFonts w:ascii="Arial" w:hAnsi="Arial" w:cs="Arial"/>
          <w:b/>
          <w:sz w:val="20"/>
        </w:rPr>
      </w:pPr>
    </w:p>
    <w:p w14:paraId="0B933A79" w14:textId="77777777" w:rsidR="00B712F8" w:rsidRPr="005D11F0" w:rsidRDefault="00B712F8" w:rsidP="00B712F8">
      <w:pPr>
        <w:pStyle w:val="Zkladntext"/>
        <w:jc w:val="both"/>
        <w:rPr>
          <w:rFonts w:ascii="Arial" w:hAnsi="Arial" w:cs="Arial"/>
          <w:b/>
          <w:sz w:val="20"/>
        </w:rPr>
      </w:pPr>
    </w:p>
    <w:p w14:paraId="2A36DAD9" w14:textId="77777777" w:rsidR="00B712F8" w:rsidRPr="005D11F0" w:rsidRDefault="00B712F8" w:rsidP="00B712F8">
      <w:pPr>
        <w:pStyle w:val="Zkladntext"/>
        <w:jc w:val="both"/>
        <w:rPr>
          <w:rFonts w:ascii="Arial" w:hAnsi="Arial" w:cs="Arial"/>
          <w:b/>
          <w:sz w:val="20"/>
        </w:rPr>
      </w:pPr>
    </w:p>
    <w:p w14:paraId="157674BA" w14:textId="77777777" w:rsidR="00B712F8" w:rsidRPr="005D11F0" w:rsidRDefault="00B712F8" w:rsidP="00B712F8">
      <w:pPr>
        <w:pStyle w:val="Zkladntext"/>
        <w:jc w:val="both"/>
        <w:rPr>
          <w:rFonts w:ascii="Arial" w:hAnsi="Arial" w:cs="Arial"/>
          <w:b/>
          <w:sz w:val="20"/>
        </w:rPr>
      </w:pPr>
    </w:p>
    <w:p w14:paraId="7C68B864" w14:textId="77777777" w:rsidR="00B712F8" w:rsidRPr="005D11F0" w:rsidRDefault="00B712F8" w:rsidP="00B712F8">
      <w:pPr>
        <w:pStyle w:val="Zkladntext"/>
        <w:jc w:val="both"/>
        <w:rPr>
          <w:rFonts w:ascii="Arial" w:hAnsi="Arial" w:cs="Arial"/>
          <w:b/>
          <w:sz w:val="20"/>
        </w:rPr>
      </w:pPr>
    </w:p>
    <w:p w14:paraId="5876D6B4" w14:textId="77777777" w:rsidR="00B712F8" w:rsidRPr="005D11F0" w:rsidRDefault="00B712F8" w:rsidP="00B712F8">
      <w:pPr>
        <w:pStyle w:val="Zkladntext"/>
        <w:jc w:val="both"/>
        <w:rPr>
          <w:rFonts w:ascii="Arial" w:hAnsi="Arial" w:cs="Arial"/>
          <w:b/>
          <w:sz w:val="20"/>
        </w:rPr>
      </w:pPr>
    </w:p>
    <w:p w14:paraId="62179353" w14:textId="77777777" w:rsidR="00B712F8" w:rsidRPr="005D11F0" w:rsidRDefault="00B712F8" w:rsidP="00B712F8">
      <w:pPr>
        <w:pStyle w:val="Zkladntext"/>
        <w:jc w:val="both"/>
        <w:rPr>
          <w:rFonts w:ascii="Arial" w:hAnsi="Arial" w:cs="Arial"/>
          <w:b/>
          <w:sz w:val="20"/>
        </w:rPr>
      </w:pPr>
    </w:p>
    <w:p w14:paraId="3D7BD27C" w14:textId="77777777" w:rsidR="00B712F8" w:rsidRPr="005D11F0" w:rsidRDefault="00B712F8" w:rsidP="00B712F8">
      <w:pPr>
        <w:pStyle w:val="Zkladntext"/>
        <w:jc w:val="both"/>
        <w:rPr>
          <w:rFonts w:ascii="Arial" w:hAnsi="Arial" w:cs="Arial"/>
          <w:b/>
          <w:sz w:val="20"/>
        </w:rPr>
      </w:pPr>
    </w:p>
    <w:p w14:paraId="5246B823" w14:textId="77777777" w:rsidR="00B712F8" w:rsidRPr="005D11F0" w:rsidRDefault="00B712F8" w:rsidP="00B712F8">
      <w:pPr>
        <w:pStyle w:val="Zkladntext"/>
        <w:jc w:val="both"/>
        <w:rPr>
          <w:rFonts w:ascii="Arial" w:hAnsi="Arial" w:cs="Arial"/>
          <w:b/>
          <w:sz w:val="20"/>
        </w:rPr>
      </w:pPr>
    </w:p>
    <w:p w14:paraId="7E12EF6D" w14:textId="77777777" w:rsidR="00B712F8" w:rsidRPr="005D11F0" w:rsidRDefault="00B712F8" w:rsidP="00B712F8">
      <w:pPr>
        <w:pStyle w:val="Zkladntext"/>
        <w:jc w:val="both"/>
        <w:rPr>
          <w:rFonts w:ascii="Arial" w:hAnsi="Arial" w:cs="Arial"/>
          <w:b/>
          <w:sz w:val="20"/>
        </w:rPr>
      </w:pPr>
    </w:p>
    <w:p w14:paraId="37782B33" w14:textId="77777777" w:rsidR="00B712F8" w:rsidRPr="005D11F0" w:rsidRDefault="00B712F8" w:rsidP="00B712F8">
      <w:pPr>
        <w:pStyle w:val="Zkladntext"/>
        <w:jc w:val="both"/>
        <w:rPr>
          <w:rFonts w:ascii="Arial" w:hAnsi="Arial" w:cs="Arial"/>
          <w:b/>
          <w:sz w:val="20"/>
        </w:rPr>
      </w:pPr>
    </w:p>
    <w:p w14:paraId="181E0E15" w14:textId="77777777" w:rsidR="00B712F8" w:rsidRPr="005D11F0" w:rsidRDefault="00B712F8" w:rsidP="00B712F8">
      <w:pPr>
        <w:pStyle w:val="Zkladntext"/>
        <w:jc w:val="both"/>
        <w:rPr>
          <w:rFonts w:ascii="Arial" w:hAnsi="Arial" w:cs="Arial"/>
          <w:b/>
          <w:sz w:val="20"/>
        </w:rPr>
      </w:pPr>
    </w:p>
    <w:p w14:paraId="540F0B34" w14:textId="77777777" w:rsidR="00B712F8" w:rsidRPr="005D11F0" w:rsidRDefault="00B712F8" w:rsidP="00B712F8">
      <w:pPr>
        <w:pStyle w:val="Zkladntext"/>
        <w:jc w:val="both"/>
        <w:rPr>
          <w:rFonts w:ascii="Arial" w:hAnsi="Arial" w:cs="Arial"/>
          <w:b/>
          <w:sz w:val="20"/>
        </w:rPr>
      </w:pPr>
    </w:p>
    <w:p w14:paraId="602D9FFB" w14:textId="77777777" w:rsidR="00B712F8" w:rsidRPr="005D11F0" w:rsidRDefault="00B712F8" w:rsidP="00B712F8">
      <w:pPr>
        <w:pStyle w:val="Zkladntext"/>
        <w:jc w:val="both"/>
        <w:rPr>
          <w:rFonts w:ascii="Arial" w:hAnsi="Arial" w:cs="Arial"/>
          <w:b/>
          <w:sz w:val="20"/>
        </w:rPr>
      </w:pPr>
    </w:p>
    <w:p w14:paraId="515F5512" w14:textId="77777777" w:rsidR="00B712F8" w:rsidRPr="005D11F0" w:rsidRDefault="00B712F8" w:rsidP="00B712F8">
      <w:pPr>
        <w:pStyle w:val="Zkladntext"/>
        <w:jc w:val="both"/>
        <w:rPr>
          <w:rFonts w:ascii="Arial" w:hAnsi="Arial" w:cs="Arial"/>
          <w:b/>
          <w:sz w:val="20"/>
        </w:rPr>
      </w:pPr>
    </w:p>
    <w:p w14:paraId="514F7B2A" w14:textId="77777777" w:rsidR="00B712F8" w:rsidRPr="005D11F0" w:rsidRDefault="00B712F8" w:rsidP="00B712F8">
      <w:pPr>
        <w:pStyle w:val="Zkladntext"/>
        <w:jc w:val="both"/>
        <w:rPr>
          <w:rFonts w:ascii="Arial" w:hAnsi="Arial" w:cs="Arial"/>
          <w:b/>
          <w:sz w:val="20"/>
        </w:rPr>
      </w:pPr>
    </w:p>
    <w:p w14:paraId="7134DC1D" w14:textId="77777777" w:rsidR="00B712F8" w:rsidRPr="005D11F0" w:rsidRDefault="00B712F8" w:rsidP="00B712F8">
      <w:pPr>
        <w:pStyle w:val="Zkladntext"/>
        <w:jc w:val="both"/>
        <w:rPr>
          <w:rFonts w:ascii="Arial" w:hAnsi="Arial" w:cs="Arial"/>
          <w:b/>
          <w:sz w:val="20"/>
        </w:rPr>
      </w:pPr>
    </w:p>
    <w:p w14:paraId="3B9A3695" w14:textId="0BA677B3" w:rsidR="00B712F8" w:rsidRPr="00B712F8" w:rsidRDefault="00B712F8" w:rsidP="00B712F8">
      <w:pPr>
        <w:pStyle w:val="Zkladntext"/>
        <w:jc w:val="both"/>
        <w:rPr>
          <w:rFonts w:asciiTheme="minorHAnsi" w:hAnsiTheme="minorHAnsi" w:cstheme="minorHAnsi"/>
          <w:b/>
        </w:rPr>
      </w:pPr>
      <w:r w:rsidRPr="00B712F8">
        <w:rPr>
          <w:rFonts w:asciiTheme="minorHAnsi" w:hAnsiTheme="minorHAnsi" w:cstheme="minorHAnsi"/>
          <w:b/>
        </w:rPr>
        <w:t>O společnosti Broker Consulting</w:t>
      </w:r>
    </w:p>
    <w:p w14:paraId="6E11E649" w14:textId="346EFD1D" w:rsidR="00133BFD" w:rsidRPr="00100CE7" w:rsidRDefault="00B712F8" w:rsidP="00100CE7">
      <w:pPr>
        <w:jc w:val="both"/>
        <w:rPr>
          <w:rFonts w:asciiTheme="minorHAnsi" w:hAnsiTheme="minorHAnsi" w:cstheme="minorHAnsi"/>
          <w:sz w:val="20"/>
          <w:szCs w:val="20"/>
          <w:lang w:val="de-DE"/>
        </w:rPr>
      </w:pPr>
      <w:r w:rsidRPr="00B712F8">
        <w:rPr>
          <w:rFonts w:asciiTheme="minorHAnsi" w:hAnsiTheme="minorHAnsi" w:cstheme="minorHAnsi"/>
          <w:sz w:val="20"/>
          <w:szCs w:val="20"/>
        </w:rPr>
        <w:t>Broker Consulting je jednou z největších společností na českém a slovenském trhu, která poskytuje služby v oblasti financí a realit. Od rok</w:t>
      </w:r>
      <w:r w:rsidR="00F12CDD">
        <w:rPr>
          <w:rFonts w:asciiTheme="minorHAnsi" w:hAnsiTheme="minorHAnsi" w:cstheme="minorHAnsi"/>
          <w:sz w:val="20"/>
          <w:szCs w:val="20"/>
        </w:rPr>
        <w:t>u 1998 získala důvěru více než 7</w:t>
      </w:r>
      <w:r w:rsidRPr="00B712F8">
        <w:rPr>
          <w:rFonts w:asciiTheme="minorHAnsi" w:hAnsiTheme="minorHAnsi" w:cstheme="minorHAnsi"/>
          <w:sz w:val="20"/>
          <w:szCs w:val="20"/>
        </w:rPr>
        <w:t xml:space="preserve">00 000 klientů. Poskytuje také služby přes 4 000 firmám. Distribuci služeb zajišťuje přibližně 2 000 konzultantů (profesionální konzultanti, zaměstnanci, konzultanti v zapracování v ČR i SR) ve </w:t>
      </w:r>
      <w:r w:rsidR="00A82D27">
        <w:rPr>
          <w:rFonts w:asciiTheme="minorHAnsi" w:hAnsiTheme="minorHAnsi" w:cstheme="minorHAnsi"/>
          <w:sz w:val="20"/>
          <w:szCs w:val="20"/>
        </w:rPr>
        <w:t>více než 15</w:t>
      </w:r>
      <w:r w:rsidR="009365EB">
        <w:rPr>
          <w:rFonts w:asciiTheme="minorHAnsi" w:hAnsiTheme="minorHAnsi" w:cstheme="minorHAnsi"/>
          <w:sz w:val="20"/>
          <w:szCs w:val="20"/>
        </w:rPr>
        <w:t>0 kancelářích a</w:t>
      </w:r>
      <w:r w:rsidRPr="00B712F8">
        <w:rPr>
          <w:rFonts w:asciiTheme="minorHAnsi" w:hAnsiTheme="minorHAnsi" w:cstheme="minorHAnsi"/>
          <w:sz w:val="20"/>
          <w:szCs w:val="20"/>
        </w:rPr>
        <w:t xml:space="preserve"> </w:t>
      </w:r>
      <w:r w:rsidR="009365EB">
        <w:rPr>
          <w:rFonts w:asciiTheme="minorHAnsi" w:hAnsiTheme="minorHAnsi" w:cstheme="minorHAnsi"/>
          <w:sz w:val="20"/>
          <w:szCs w:val="20"/>
        </w:rPr>
        <w:t xml:space="preserve">desítkách poboček </w:t>
      </w:r>
      <w:r w:rsidRPr="00B712F8">
        <w:rPr>
          <w:rFonts w:asciiTheme="minorHAnsi" w:hAnsiTheme="minorHAnsi" w:cstheme="minorHAnsi"/>
          <w:sz w:val="20"/>
          <w:szCs w:val="20"/>
        </w:rPr>
        <w:t>OK POINT</w:t>
      </w:r>
      <w:r w:rsidR="009365EB">
        <w:rPr>
          <w:rFonts w:asciiTheme="minorHAnsi" w:hAnsiTheme="minorHAnsi" w:cstheme="minorHAnsi"/>
          <w:sz w:val="20"/>
          <w:szCs w:val="20"/>
        </w:rPr>
        <w:t>Ů</w:t>
      </w:r>
      <w:r w:rsidRPr="00B712F8">
        <w:rPr>
          <w:rFonts w:asciiTheme="minorHAnsi" w:hAnsiTheme="minorHAnsi" w:cstheme="minorHAnsi"/>
          <w:sz w:val="20"/>
          <w:szCs w:val="20"/>
        </w:rPr>
        <w:t xml:space="preserve">.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w:t>
      </w:r>
      <w:r w:rsidR="00A0680F">
        <w:rPr>
          <w:rFonts w:asciiTheme="minorHAnsi" w:hAnsiTheme="minorHAnsi" w:cstheme="minorHAnsi"/>
          <w:sz w:val="20"/>
          <w:szCs w:val="20"/>
        </w:rPr>
        <w:t>jehož</w:t>
      </w:r>
      <w:r w:rsidR="00E71C1E">
        <w:rPr>
          <w:rFonts w:asciiTheme="minorHAnsi" w:hAnsiTheme="minorHAnsi" w:cstheme="minorHAnsi"/>
          <w:sz w:val="20"/>
          <w:szCs w:val="20"/>
        </w:rPr>
        <w:t xml:space="preserve"> přináší společnost Broker </w:t>
      </w:r>
      <w:r w:rsidR="009365EB">
        <w:rPr>
          <w:rFonts w:asciiTheme="minorHAnsi" w:hAnsiTheme="minorHAnsi" w:cstheme="minorHAnsi"/>
          <w:sz w:val="20"/>
          <w:szCs w:val="20"/>
        </w:rPr>
        <w:t xml:space="preserve">Consulting, která za vedení franšízy a její podporu získala ocenění </w:t>
      </w:r>
      <w:proofErr w:type="spellStart"/>
      <w:r w:rsidR="009365EB" w:rsidRPr="00A0680F">
        <w:rPr>
          <w:rFonts w:asciiTheme="minorHAnsi" w:hAnsiTheme="minorHAnsi" w:cstheme="minorHAnsi"/>
          <w:b/>
          <w:color w:val="FF0000"/>
          <w:sz w:val="20"/>
          <w:szCs w:val="20"/>
        </w:rPr>
        <w:t>Franchisor</w:t>
      </w:r>
      <w:proofErr w:type="spellEnd"/>
      <w:r w:rsidR="009365EB" w:rsidRPr="00A0680F">
        <w:rPr>
          <w:rFonts w:asciiTheme="minorHAnsi" w:hAnsiTheme="minorHAnsi" w:cstheme="minorHAnsi"/>
          <w:b/>
          <w:color w:val="FF0000"/>
          <w:sz w:val="20"/>
          <w:szCs w:val="20"/>
        </w:rPr>
        <w:t xml:space="preserve"> roku 2022</w:t>
      </w:r>
      <w:r w:rsidR="009365EB" w:rsidRPr="00A0680F">
        <w:rPr>
          <w:rFonts w:asciiTheme="minorHAnsi" w:hAnsiTheme="minorHAnsi" w:cstheme="minorHAnsi"/>
          <w:color w:val="FF0000"/>
          <w:sz w:val="20"/>
          <w:szCs w:val="20"/>
        </w:rPr>
        <w:t xml:space="preserve"> </w:t>
      </w:r>
      <w:r w:rsidR="009365EB">
        <w:rPr>
          <w:rFonts w:asciiTheme="minorHAnsi" w:hAnsiTheme="minorHAnsi" w:cstheme="minorHAnsi"/>
          <w:sz w:val="20"/>
          <w:szCs w:val="20"/>
        </w:rPr>
        <w:t xml:space="preserve">od České asociace </w:t>
      </w:r>
      <w:proofErr w:type="spellStart"/>
      <w:r w:rsidR="009365EB">
        <w:rPr>
          <w:rFonts w:asciiTheme="minorHAnsi" w:hAnsiTheme="minorHAnsi" w:cstheme="minorHAnsi"/>
          <w:sz w:val="20"/>
          <w:szCs w:val="20"/>
        </w:rPr>
        <w:t>franchisingu</w:t>
      </w:r>
      <w:proofErr w:type="spellEnd"/>
      <w:r w:rsidR="009365EB">
        <w:rPr>
          <w:rFonts w:asciiTheme="minorHAnsi" w:hAnsiTheme="minorHAnsi" w:cstheme="minorHAnsi"/>
          <w:sz w:val="20"/>
          <w:szCs w:val="20"/>
        </w:rPr>
        <w:t xml:space="preserve">. </w:t>
      </w:r>
      <w:proofErr w:type="spellStart"/>
      <w:r w:rsidRPr="00B712F8">
        <w:rPr>
          <w:rStyle w:val="dn"/>
          <w:rFonts w:asciiTheme="minorHAnsi" w:hAnsiTheme="minorHAnsi" w:cstheme="minorHAnsi"/>
          <w:sz w:val="20"/>
          <w:szCs w:val="20"/>
        </w:rPr>
        <w:t>Více</w:t>
      </w:r>
      <w:proofErr w:type="spellEnd"/>
      <w:r w:rsidRPr="00B712F8">
        <w:rPr>
          <w:rStyle w:val="dn"/>
          <w:rFonts w:asciiTheme="minorHAnsi" w:hAnsiTheme="minorHAnsi" w:cstheme="minorHAnsi"/>
          <w:sz w:val="20"/>
          <w:szCs w:val="20"/>
        </w:rPr>
        <w:t xml:space="preserve"> na </w:t>
      </w:r>
      <w:hyperlink r:id="rId9" w:history="1">
        <w:r w:rsidRPr="00B712F8">
          <w:rPr>
            <w:rStyle w:val="Hypertextovodkaz"/>
            <w:rFonts w:asciiTheme="minorHAnsi" w:hAnsiTheme="minorHAnsi" w:cstheme="minorHAnsi"/>
            <w:color w:val="auto"/>
            <w:sz w:val="20"/>
            <w:szCs w:val="20"/>
          </w:rPr>
          <w:t>www.bcas.cz</w:t>
        </w:r>
      </w:hyperlink>
      <w:r w:rsidRPr="00B712F8">
        <w:rPr>
          <w:rStyle w:val="Hypertextovodkaz"/>
          <w:rFonts w:asciiTheme="minorHAnsi" w:hAnsiTheme="minorHAnsi" w:cstheme="minorHAnsi"/>
          <w:color w:val="auto"/>
          <w:sz w:val="20"/>
          <w:szCs w:val="20"/>
        </w:rPr>
        <w:t xml:space="preserve">, </w:t>
      </w:r>
      <w:hyperlink r:id="rId10" w:history="1">
        <w:r w:rsidRPr="00B712F8">
          <w:rPr>
            <w:rStyle w:val="Hypertextovodkaz"/>
            <w:rFonts w:asciiTheme="minorHAnsi" w:hAnsiTheme="minorHAnsi" w:cstheme="minorHAnsi"/>
            <w:color w:val="auto"/>
            <w:sz w:val="20"/>
            <w:szCs w:val="20"/>
          </w:rPr>
          <w:t>www.okpointy.cz</w:t>
        </w:r>
      </w:hyperlink>
      <w:r w:rsidRPr="00B712F8">
        <w:rPr>
          <w:rStyle w:val="Hypertextovodkaz"/>
          <w:rFonts w:asciiTheme="minorHAnsi" w:hAnsiTheme="minorHAnsi" w:cstheme="minorHAnsi"/>
          <w:color w:val="auto"/>
          <w:sz w:val="20"/>
          <w:szCs w:val="20"/>
        </w:rPr>
        <w:t>, www.okpoint.tv</w:t>
      </w:r>
      <w:r w:rsidRPr="00B712F8">
        <w:rPr>
          <w:rStyle w:val="dn"/>
          <w:rFonts w:asciiTheme="minorHAnsi" w:hAnsiTheme="minorHAnsi" w:cstheme="minorHAnsi"/>
          <w:sz w:val="20"/>
          <w:szCs w:val="20"/>
        </w:rPr>
        <w:t xml:space="preserve"> a na </w:t>
      </w:r>
      <w:hyperlink r:id="rId11" w:history="1">
        <w:r w:rsidRPr="00B712F8">
          <w:rPr>
            <w:rStyle w:val="Hypertextovodkaz"/>
            <w:rFonts w:asciiTheme="minorHAnsi" w:hAnsiTheme="minorHAnsi" w:cstheme="minorHAnsi"/>
            <w:color w:val="auto"/>
            <w:sz w:val="20"/>
            <w:szCs w:val="20"/>
          </w:rPr>
          <w:t>www.realityspolu.cz</w:t>
        </w:r>
      </w:hyperlink>
      <w:r w:rsidRPr="00B712F8">
        <w:rPr>
          <w:rStyle w:val="dn"/>
          <w:rFonts w:asciiTheme="minorHAnsi" w:hAnsiTheme="minorHAnsi" w:cstheme="minorHAnsi"/>
          <w:sz w:val="20"/>
          <w:szCs w:val="20"/>
        </w:rPr>
        <w:t xml:space="preserve">. </w:t>
      </w:r>
      <w:r w:rsidRPr="00B712F8">
        <w:rPr>
          <w:rStyle w:val="dn"/>
          <w:rFonts w:asciiTheme="minorHAnsi" w:hAnsiTheme="minorHAnsi" w:cstheme="minorHAnsi"/>
          <w:sz w:val="20"/>
          <w:szCs w:val="20"/>
          <w:lang w:val="cs-CZ"/>
        </w:rPr>
        <w:t>Navštivte také náš</w:t>
      </w:r>
      <w:r w:rsidRPr="00B712F8">
        <w:rPr>
          <w:rStyle w:val="dn"/>
          <w:rFonts w:asciiTheme="minorHAnsi" w:hAnsiTheme="minorHAnsi" w:cstheme="minorHAnsi"/>
          <w:sz w:val="20"/>
          <w:szCs w:val="20"/>
        </w:rPr>
        <w:t xml:space="preserve"> </w:t>
      </w:r>
      <w:hyperlink r:id="rId12" w:history="1">
        <w:proofErr w:type="spellStart"/>
        <w:r w:rsidRPr="00B712F8">
          <w:rPr>
            <w:rStyle w:val="Hypertextovodkaz"/>
            <w:rFonts w:asciiTheme="minorHAnsi" w:hAnsiTheme="minorHAnsi" w:cstheme="minorHAnsi"/>
            <w:color w:val="auto"/>
            <w:sz w:val="20"/>
            <w:szCs w:val="20"/>
          </w:rPr>
          <w:t>Facebook</w:t>
        </w:r>
        <w:proofErr w:type="spellEnd"/>
      </w:hyperlink>
      <w:r w:rsidR="00A0680F">
        <w:rPr>
          <w:rStyle w:val="dn"/>
          <w:rFonts w:asciiTheme="minorHAnsi" w:hAnsiTheme="minorHAnsi" w:cstheme="minorHAnsi"/>
          <w:sz w:val="20"/>
          <w:szCs w:val="20"/>
        </w:rPr>
        <w:t xml:space="preserve">, </w:t>
      </w:r>
      <w:hyperlink r:id="rId13" w:history="1">
        <w:proofErr w:type="spellStart"/>
        <w:r w:rsidRPr="00B712F8">
          <w:rPr>
            <w:rStyle w:val="Hypertextovodkaz"/>
            <w:rFonts w:asciiTheme="minorHAnsi" w:hAnsiTheme="minorHAnsi" w:cstheme="minorHAnsi"/>
            <w:color w:val="auto"/>
            <w:sz w:val="20"/>
            <w:szCs w:val="20"/>
          </w:rPr>
          <w:t>LinkedIN</w:t>
        </w:r>
        <w:proofErr w:type="spellEnd"/>
      </w:hyperlink>
      <w:r w:rsidR="00A0680F">
        <w:rPr>
          <w:rStyle w:val="dn"/>
          <w:rFonts w:asciiTheme="minorHAnsi" w:hAnsiTheme="minorHAnsi" w:cstheme="minorHAnsi"/>
          <w:sz w:val="20"/>
          <w:szCs w:val="20"/>
        </w:rPr>
        <w:t xml:space="preserve"> Broker Consulting, Twitter </w:t>
      </w:r>
      <w:r w:rsidR="00A0680F" w:rsidRPr="005B7E46">
        <w:rPr>
          <w:rFonts w:asciiTheme="minorHAnsi" w:hAnsiTheme="minorHAnsi" w:cstheme="minorHAnsi"/>
          <w:sz w:val="20"/>
          <w:szCs w:val="20"/>
          <w:shd w:val="clear" w:color="auto" w:fill="FFFFFF"/>
        </w:rPr>
        <w:t>@</w:t>
      </w:r>
      <w:proofErr w:type="spellStart"/>
      <w:r w:rsidR="00A0680F" w:rsidRPr="005B7E46">
        <w:rPr>
          <w:rFonts w:asciiTheme="minorHAnsi" w:hAnsiTheme="minorHAnsi" w:cstheme="minorHAnsi"/>
          <w:sz w:val="20"/>
          <w:szCs w:val="20"/>
          <w:shd w:val="clear" w:color="auto" w:fill="FFFFFF"/>
        </w:rPr>
        <w:t>BC_oficialni</w:t>
      </w:r>
      <w:proofErr w:type="spellEnd"/>
      <w:r w:rsidR="00A0680F" w:rsidRPr="00B712F8">
        <w:rPr>
          <w:rStyle w:val="dn"/>
          <w:rFonts w:asciiTheme="minorHAnsi" w:hAnsiTheme="minorHAnsi" w:cstheme="minorHAnsi"/>
          <w:sz w:val="20"/>
          <w:szCs w:val="20"/>
        </w:rPr>
        <w:t xml:space="preserve"> </w:t>
      </w:r>
      <w:r w:rsidRPr="00B712F8">
        <w:rPr>
          <w:rStyle w:val="dn"/>
          <w:rFonts w:asciiTheme="minorHAnsi" w:hAnsiTheme="minorHAnsi" w:cstheme="minorHAnsi"/>
          <w:sz w:val="20"/>
          <w:szCs w:val="20"/>
        </w:rPr>
        <w:t xml:space="preserve">a </w:t>
      </w:r>
      <w:hyperlink r:id="rId14" w:history="1">
        <w:proofErr w:type="spellStart"/>
        <w:r w:rsidRPr="00B712F8">
          <w:rPr>
            <w:rStyle w:val="Hypertextovodkaz"/>
            <w:rFonts w:asciiTheme="minorHAnsi" w:hAnsiTheme="minorHAnsi" w:cstheme="minorHAnsi"/>
            <w:color w:val="auto"/>
            <w:sz w:val="20"/>
            <w:szCs w:val="20"/>
          </w:rPr>
          <w:t>Facebook</w:t>
        </w:r>
        <w:proofErr w:type="spellEnd"/>
      </w:hyperlink>
      <w:r w:rsidRPr="00B712F8">
        <w:rPr>
          <w:rStyle w:val="dn"/>
          <w:rFonts w:asciiTheme="minorHAnsi" w:hAnsiTheme="minorHAnsi" w:cstheme="minorHAnsi"/>
          <w:sz w:val="20"/>
          <w:szCs w:val="20"/>
        </w:rPr>
        <w:t xml:space="preserve"> a </w:t>
      </w:r>
      <w:hyperlink r:id="rId15" w:history="1">
        <w:proofErr w:type="spellStart"/>
        <w:r w:rsidRPr="00B712F8">
          <w:rPr>
            <w:rStyle w:val="Hypertextovodkaz"/>
            <w:rFonts w:asciiTheme="minorHAnsi" w:hAnsiTheme="minorHAnsi" w:cstheme="minorHAnsi"/>
            <w:color w:val="auto"/>
            <w:sz w:val="20"/>
            <w:szCs w:val="20"/>
          </w:rPr>
          <w:t>LinkedI</w:t>
        </w:r>
      </w:hyperlink>
      <w:r w:rsidRPr="00B712F8">
        <w:rPr>
          <w:rStyle w:val="Hypertextovodkaz"/>
          <w:rFonts w:asciiTheme="minorHAnsi" w:hAnsiTheme="minorHAnsi" w:cstheme="minorHAnsi"/>
          <w:color w:val="auto"/>
          <w:sz w:val="20"/>
          <w:szCs w:val="20"/>
        </w:rPr>
        <w:t>N</w:t>
      </w:r>
      <w:proofErr w:type="spellEnd"/>
      <w:r w:rsidR="005C5A6E">
        <w:rPr>
          <w:rStyle w:val="dn"/>
          <w:rFonts w:asciiTheme="minorHAnsi" w:hAnsiTheme="minorHAnsi" w:cstheme="minorHAnsi"/>
          <w:sz w:val="20"/>
          <w:szCs w:val="20"/>
        </w:rPr>
        <w:t xml:space="preserve"> OK POINTŮ.</w:t>
      </w:r>
      <w:r w:rsidRPr="00B712F8">
        <w:rPr>
          <w:rStyle w:val="dn"/>
          <w:rFonts w:asciiTheme="minorHAnsi" w:hAnsiTheme="minorHAnsi" w:cstheme="minorHAnsi"/>
          <w:sz w:val="20"/>
          <w:szCs w:val="20"/>
        </w:rPr>
        <w:t xml:space="preserve"> </w:t>
      </w:r>
      <w:r w:rsidRPr="00B712F8">
        <w:rPr>
          <w:rFonts w:asciiTheme="minorHAnsi" w:hAnsiTheme="minorHAnsi" w:cstheme="minorHAnsi"/>
          <w:sz w:val="20"/>
          <w:szCs w:val="20"/>
        </w:rPr>
        <w:t xml:space="preserve"> </w:t>
      </w:r>
    </w:p>
    <w:p w14:paraId="473D652D" w14:textId="01F2C8D4" w:rsidR="00B20F7B" w:rsidRDefault="002018E9" w:rsidP="00B20F7B">
      <w:pPr>
        <w:spacing w:after="120"/>
        <w:jc w:val="center"/>
        <w:rPr>
          <w:rFonts w:asciiTheme="minorHAnsi" w:hAnsiTheme="minorHAnsi" w:cstheme="minorHAnsi"/>
          <w:b/>
          <w:sz w:val="30"/>
          <w:szCs w:val="30"/>
        </w:rPr>
      </w:pPr>
      <w:r>
        <w:rPr>
          <w:rFonts w:asciiTheme="minorHAnsi" w:hAnsiTheme="minorHAnsi" w:cstheme="minorHAnsi"/>
          <w:b/>
          <w:sz w:val="30"/>
          <w:szCs w:val="30"/>
        </w:rPr>
        <w:lastRenderedPageBreak/>
        <w:t>Trend mírného růstu cen u povinného ručení pokračuje</w:t>
      </w:r>
    </w:p>
    <w:p w14:paraId="195F4F42" w14:textId="77777777" w:rsidR="00B20F7B" w:rsidRPr="00C16738" w:rsidRDefault="00B20F7B" w:rsidP="00B20F7B">
      <w:pPr>
        <w:pStyle w:val="Odstavecseseznamem"/>
        <w:numPr>
          <w:ilvl w:val="0"/>
          <w:numId w:val="24"/>
        </w:numPr>
        <w:ind w:left="357" w:right="40" w:hanging="357"/>
        <w:rPr>
          <w:rFonts w:asciiTheme="minorHAnsi" w:hAnsiTheme="minorHAnsi" w:cstheme="minorHAnsi"/>
          <w:b/>
        </w:rPr>
      </w:pPr>
      <w:r>
        <w:rPr>
          <w:rFonts w:asciiTheme="minorHAnsi" w:hAnsiTheme="minorHAnsi" w:cstheme="minorHAnsi"/>
          <w:b/>
        </w:rPr>
        <w:t>Říjnové</w:t>
      </w:r>
      <w:r w:rsidRPr="00C16738">
        <w:rPr>
          <w:rFonts w:asciiTheme="minorHAnsi" w:hAnsiTheme="minorHAnsi" w:cstheme="minorHAnsi"/>
          <w:b/>
        </w:rPr>
        <w:t xml:space="preserve"> hodnoty Broker Consulting </w:t>
      </w:r>
      <w:proofErr w:type="spellStart"/>
      <w:r w:rsidRPr="00C16738">
        <w:rPr>
          <w:rFonts w:asciiTheme="minorHAnsi" w:hAnsiTheme="minorHAnsi" w:cstheme="minorHAnsi"/>
          <w:b/>
        </w:rPr>
        <w:t>POVIn</w:t>
      </w:r>
      <w:r>
        <w:rPr>
          <w:rFonts w:asciiTheme="minorHAnsi" w:hAnsiTheme="minorHAnsi" w:cstheme="minorHAnsi"/>
          <w:b/>
        </w:rPr>
        <w:t>dexu</w:t>
      </w:r>
      <w:proofErr w:type="spellEnd"/>
      <w:r>
        <w:rPr>
          <w:rFonts w:asciiTheme="minorHAnsi" w:hAnsiTheme="minorHAnsi" w:cstheme="minorHAnsi"/>
          <w:b/>
        </w:rPr>
        <w:t xml:space="preserve"> vzrostly v porovnání se zářím o 136 Kč na 6 965 Kč.</w:t>
      </w:r>
    </w:p>
    <w:p w14:paraId="78705DA1" w14:textId="1A99CF9F" w:rsidR="00B20F7B" w:rsidRPr="00C16738" w:rsidRDefault="00B20F7B" w:rsidP="00B20F7B">
      <w:pPr>
        <w:pStyle w:val="Odstavecseseznamem"/>
        <w:numPr>
          <w:ilvl w:val="0"/>
          <w:numId w:val="24"/>
        </w:numPr>
        <w:ind w:left="357" w:right="40" w:hanging="357"/>
        <w:rPr>
          <w:rFonts w:asciiTheme="minorHAnsi" w:hAnsiTheme="minorHAnsi" w:cstheme="minorHAnsi"/>
          <w:b/>
        </w:rPr>
      </w:pPr>
      <w:r>
        <w:rPr>
          <w:rFonts w:asciiTheme="minorHAnsi" w:hAnsiTheme="minorHAnsi" w:cstheme="minorHAnsi"/>
          <w:b/>
        </w:rPr>
        <w:t>Navýšení hodnoty o necelá 2 procenta znamená návrat trendu velmi pomalého růstu</w:t>
      </w:r>
      <w:r w:rsidR="008F0075">
        <w:rPr>
          <w:rFonts w:asciiTheme="minorHAnsi" w:hAnsiTheme="minorHAnsi" w:cstheme="minorHAnsi"/>
          <w:b/>
        </w:rPr>
        <w:t xml:space="preserve"> cen</w:t>
      </w:r>
      <w:r>
        <w:rPr>
          <w:rFonts w:asciiTheme="minorHAnsi" w:hAnsiTheme="minorHAnsi" w:cstheme="minorHAnsi"/>
          <w:b/>
        </w:rPr>
        <w:t xml:space="preserve">. </w:t>
      </w:r>
    </w:p>
    <w:p w14:paraId="09C4F4B5" w14:textId="57F05065" w:rsidR="00B20F7B" w:rsidRPr="00C16738" w:rsidRDefault="00B20F7B" w:rsidP="00B20F7B">
      <w:pPr>
        <w:pStyle w:val="Odstavecseseznamem"/>
        <w:numPr>
          <w:ilvl w:val="0"/>
          <w:numId w:val="24"/>
        </w:numPr>
        <w:spacing w:after="120"/>
        <w:ind w:left="357" w:right="40" w:hanging="357"/>
        <w:rPr>
          <w:rFonts w:asciiTheme="minorHAnsi" w:hAnsiTheme="minorHAnsi" w:cstheme="minorHAnsi"/>
          <w:b/>
        </w:rPr>
      </w:pPr>
      <w:r>
        <w:rPr>
          <w:rFonts w:asciiTheme="minorHAnsi" w:hAnsiTheme="minorHAnsi" w:cstheme="minorHAnsi"/>
          <w:b/>
        </w:rPr>
        <w:t xml:space="preserve">Průměr od srpna 2019, tedy od počátku sledování Broker Consulting </w:t>
      </w:r>
      <w:proofErr w:type="spellStart"/>
      <w:r>
        <w:rPr>
          <w:rFonts w:asciiTheme="minorHAnsi" w:hAnsiTheme="minorHAnsi" w:cstheme="minorHAnsi"/>
          <w:b/>
        </w:rPr>
        <w:t>POVIndexu</w:t>
      </w:r>
      <w:proofErr w:type="spellEnd"/>
      <w:r w:rsidR="002018E9">
        <w:rPr>
          <w:rFonts w:asciiTheme="minorHAnsi" w:hAnsiTheme="minorHAnsi" w:cstheme="minorHAnsi"/>
          <w:b/>
        </w:rPr>
        <w:t>,</w:t>
      </w:r>
      <w:r>
        <w:rPr>
          <w:rFonts w:asciiTheme="minorHAnsi" w:hAnsiTheme="minorHAnsi" w:cstheme="minorHAnsi"/>
          <w:b/>
        </w:rPr>
        <w:t xml:space="preserve"> je 6 737 Kč. </w:t>
      </w:r>
    </w:p>
    <w:p w14:paraId="63EC8A1C" w14:textId="17F19B73" w:rsidR="00B20F7B" w:rsidRDefault="00825B44" w:rsidP="00B20F7B">
      <w:pPr>
        <w:spacing w:after="120"/>
        <w:ind w:right="40"/>
        <w:rPr>
          <w:rFonts w:asciiTheme="minorHAnsi" w:hAnsiTheme="minorHAnsi" w:cstheme="minorHAnsi"/>
          <w:b/>
          <w:sz w:val="21"/>
          <w:szCs w:val="21"/>
        </w:rPr>
      </w:pPr>
      <w:r>
        <w:rPr>
          <w:rFonts w:asciiTheme="minorHAnsi" w:hAnsiTheme="minorHAnsi" w:cstheme="minorHAnsi"/>
          <w:b/>
          <w:i/>
          <w:sz w:val="21"/>
          <w:szCs w:val="21"/>
        </w:rPr>
        <w:t>Praha 22</w:t>
      </w:r>
      <w:bookmarkStart w:id="0" w:name="_GoBack"/>
      <w:bookmarkEnd w:id="0"/>
      <w:r w:rsidR="00B20F7B" w:rsidRPr="0015578F">
        <w:rPr>
          <w:rFonts w:asciiTheme="minorHAnsi" w:hAnsiTheme="minorHAnsi" w:cstheme="minorHAnsi"/>
          <w:b/>
          <w:i/>
          <w:sz w:val="21"/>
          <w:szCs w:val="21"/>
        </w:rPr>
        <w:t>. listopadu</w:t>
      </w:r>
      <w:r w:rsidR="00B20F7B" w:rsidRPr="00AD79CC">
        <w:rPr>
          <w:rFonts w:asciiTheme="minorHAnsi" w:hAnsiTheme="minorHAnsi" w:cstheme="minorHAnsi"/>
          <w:b/>
          <w:i/>
          <w:sz w:val="21"/>
          <w:szCs w:val="21"/>
        </w:rPr>
        <w:t xml:space="preserve"> 2023</w:t>
      </w:r>
      <w:r w:rsidR="00B20F7B" w:rsidRPr="00AD79CC">
        <w:rPr>
          <w:rFonts w:asciiTheme="minorHAnsi" w:hAnsiTheme="minorHAnsi" w:cstheme="minorHAnsi"/>
          <w:b/>
          <w:sz w:val="21"/>
          <w:szCs w:val="21"/>
        </w:rPr>
        <w:t xml:space="preserve"> – </w:t>
      </w:r>
      <w:r w:rsidR="00B20F7B">
        <w:rPr>
          <w:rFonts w:asciiTheme="minorHAnsi" w:hAnsiTheme="minorHAnsi" w:cstheme="minorHAnsi"/>
          <w:b/>
          <w:sz w:val="21"/>
          <w:szCs w:val="21"/>
        </w:rPr>
        <w:t>H</w:t>
      </w:r>
      <w:r w:rsidR="00B20F7B" w:rsidRPr="00AD79CC">
        <w:rPr>
          <w:rFonts w:asciiTheme="minorHAnsi" w:hAnsiTheme="minorHAnsi" w:cstheme="minorHAnsi"/>
          <w:b/>
          <w:sz w:val="21"/>
          <w:szCs w:val="21"/>
        </w:rPr>
        <w:t xml:space="preserve">odnota Broker Consulting </w:t>
      </w:r>
      <w:proofErr w:type="spellStart"/>
      <w:r w:rsidR="00B20F7B" w:rsidRPr="00AD79CC">
        <w:rPr>
          <w:rFonts w:asciiTheme="minorHAnsi" w:hAnsiTheme="minorHAnsi" w:cstheme="minorHAnsi"/>
          <w:b/>
          <w:sz w:val="21"/>
          <w:szCs w:val="21"/>
        </w:rPr>
        <w:t>POVIndexu</w:t>
      </w:r>
      <w:proofErr w:type="spellEnd"/>
      <w:r w:rsidR="00B20F7B" w:rsidRPr="00AD79CC">
        <w:rPr>
          <w:rFonts w:asciiTheme="minorHAnsi" w:hAnsiTheme="minorHAnsi" w:cstheme="minorHAnsi"/>
          <w:b/>
          <w:sz w:val="21"/>
          <w:szCs w:val="21"/>
        </w:rPr>
        <w:t xml:space="preserve"> </w:t>
      </w:r>
      <w:r w:rsidR="00B20F7B">
        <w:rPr>
          <w:rFonts w:asciiTheme="minorHAnsi" w:hAnsiTheme="minorHAnsi" w:cstheme="minorHAnsi"/>
          <w:b/>
          <w:sz w:val="21"/>
          <w:szCs w:val="21"/>
        </w:rPr>
        <w:t xml:space="preserve">zaznamenala v říjnu 2023 v meziměsíčním porovnání mírný dvouprocentní nárůst. Oproti září vzrostla průměrná cena povinného ručení v České republice o 136 korun na konečných 6 965 korun. Znamená to pokračování dosavadního trendu velmi pomalého růstu. Nejvyšších hodnot ale dosahoval index v říjnu 2019, kdy ukazoval průměrnou cenu povinného ručení 7 523 korun. I letošní hodnota je vyšší, než je průměr 6 737 korun za celou dobu sledování. Jak vyplývá z dat pojišťoven, na podzim každoročně stoupá počet nahlášených pojistných událostí v souvislosti se střetem vozidla se zvěří. Odborníci proto doporučují mít k povinnému ručení uzavřené i připojištění srážky se zvěří. </w:t>
      </w:r>
    </w:p>
    <w:p w14:paraId="047B4385" w14:textId="52B503FE" w:rsidR="00B20F7B" w:rsidRDefault="00B20F7B" w:rsidP="00B20F7B">
      <w:pPr>
        <w:spacing w:after="120"/>
        <w:ind w:right="130"/>
        <w:rPr>
          <w:rFonts w:asciiTheme="minorHAnsi" w:hAnsiTheme="minorHAnsi" w:cstheme="minorHAnsi"/>
          <w:sz w:val="21"/>
          <w:szCs w:val="21"/>
        </w:rPr>
      </w:pPr>
      <w:r w:rsidRPr="002749FE">
        <w:rPr>
          <w:rFonts w:asciiTheme="minorHAnsi" w:hAnsiTheme="minorHAnsi" w:cstheme="minorHAnsi"/>
          <w:sz w:val="21"/>
          <w:szCs w:val="21"/>
        </w:rPr>
        <w:t xml:space="preserve">Broker Consulting </w:t>
      </w:r>
      <w:proofErr w:type="spellStart"/>
      <w:r w:rsidRPr="002749FE">
        <w:rPr>
          <w:rFonts w:asciiTheme="minorHAnsi" w:hAnsiTheme="minorHAnsi" w:cstheme="minorHAnsi"/>
          <w:sz w:val="21"/>
          <w:szCs w:val="21"/>
        </w:rPr>
        <w:t>POVIndex</w:t>
      </w:r>
      <w:proofErr w:type="spellEnd"/>
      <w:r w:rsidRPr="002749FE">
        <w:rPr>
          <w:rFonts w:asciiTheme="minorHAnsi" w:hAnsiTheme="minorHAnsi" w:cstheme="minorHAnsi"/>
          <w:sz w:val="21"/>
          <w:szCs w:val="21"/>
        </w:rPr>
        <w:t xml:space="preserve"> zaznamenal v říjnu 2023 nárůst. </w:t>
      </w:r>
      <w:r w:rsidRPr="002749FE">
        <w:rPr>
          <w:rFonts w:asciiTheme="minorHAnsi" w:hAnsiTheme="minorHAnsi" w:cstheme="minorHAnsi"/>
          <w:i/>
          <w:iCs/>
          <w:sz w:val="21"/>
          <w:szCs w:val="21"/>
        </w:rPr>
        <w:t xml:space="preserve">„Oproti minulému měsíci došlo k navýšení o necelá dvě procenta. Konkrétně mluvíme o hodnotě 136 </w:t>
      </w:r>
      <w:r>
        <w:rPr>
          <w:rFonts w:asciiTheme="minorHAnsi" w:hAnsiTheme="minorHAnsi" w:cstheme="minorHAnsi"/>
          <w:i/>
          <w:iCs/>
          <w:sz w:val="21"/>
          <w:szCs w:val="21"/>
        </w:rPr>
        <w:t>korun</w:t>
      </w:r>
      <w:r w:rsidRPr="002749FE">
        <w:rPr>
          <w:rFonts w:asciiTheme="minorHAnsi" w:hAnsiTheme="minorHAnsi" w:cstheme="minorHAnsi"/>
          <w:i/>
          <w:iCs/>
          <w:sz w:val="21"/>
          <w:szCs w:val="21"/>
        </w:rPr>
        <w:t>. Vrátil se tak dosavadní trend velmi pomalého růstu,“</w:t>
      </w:r>
      <w:r w:rsidRPr="002749FE">
        <w:rPr>
          <w:rFonts w:asciiTheme="minorHAnsi" w:hAnsiTheme="minorHAnsi" w:cstheme="minorHAnsi"/>
          <w:sz w:val="21"/>
          <w:szCs w:val="21"/>
        </w:rPr>
        <w:t xml:space="preserve"> komentuje situaci </w:t>
      </w:r>
      <w:r w:rsidRPr="002749FE">
        <w:rPr>
          <w:rFonts w:asciiTheme="minorHAnsi" w:hAnsiTheme="minorHAnsi" w:cstheme="minorHAnsi"/>
          <w:b/>
          <w:bCs/>
          <w:sz w:val="21"/>
          <w:szCs w:val="21"/>
        </w:rPr>
        <w:t>hlavní analytik společnosti Broker Consulting Martin Novák</w:t>
      </w:r>
      <w:r w:rsidRPr="002749FE">
        <w:rPr>
          <w:rFonts w:asciiTheme="minorHAnsi" w:hAnsiTheme="minorHAnsi" w:cstheme="minorHAnsi"/>
          <w:sz w:val="21"/>
          <w:szCs w:val="21"/>
        </w:rPr>
        <w:t xml:space="preserve">. </w:t>
      </w:r>
      <w:r>
        <w:rPr>
          <w:rFonts w:asciiTheme="minorHAnsi" w:hAnsiTheme="minorHAnsi" w:cstheme="minorHAnsi"/>
          <w:sz w:val="21"/>
          <w:szCs w:val="21"/>
        </w:rPr>
        <w:t xml:space="preserve">Zmíněný trend vyplývá ze srovnání říjnových čísel předchozích hodnot POVINDEXU. Ačkoli vstupní hodnota za říjen 2019 se tomuto trendu vymyká. Průměrná cena povinného ručení byla tehdy nejvyšší za celou historii sledování. </w:t>
      </w:r>
    </w:p>
    <w:p w14:paraId="346BD45D" w14:textId="77777777" w:rsidR="00B20F7B" w:rsidRPr="002749FE" w:rsidRDefault="00B20F7B" w:rsidP="00B20F7B">
      <w:pPr>
        <w:spacing w:after="120"/>
        <w:ind w:right="130"/>
        <w:rPr>
          <w:rFonts w:asciiTheme="minorHAnsi" w:hAnsiTheme="minorHAnsi" w:cstheme="minorHAnsi"/>
          <w:b/>
          <w:bCs/>
          <w:sz w:val="21"/>
          <w:szCs w:val="21"/>
        </w:rPr>
      </w:pPr>
      <w:r w:rsidRPr="002749FE">
        <w:rPr>
          <w:rFonts w:asciiTheme="minorHAnsi" w:hAnsiTheme="minorHAnsi" w:cstheme="minorHAnsi"/>
          <w:b/>
          <w:bCs/>
          <w:sz w:val="21"/>
          <w:szCs w:val="21"/>
        </w:rPr>
        <w:t xml:space="preserve">BOX: Říjnové hodnoty Broker Consulting </w:t>
      </w:r>
      <w:proofErr w:type="spellStart"/>
      <w:r w:rsidRPr="002749FE">
        <w:rPr>
          <w:rFonts w:asciiTheme="minorHAnsi" w:hAnsiTheme="minorHAnsi" w:cstheme="minorHAnsi"/>
          <w:b/>
          <w:bCs/>
          <w:sz w:val="21"/>
          <w:szCs w:val="21"/>
        </w:rPr>
        <w:t>POVIndexu</w:t>
      </w:r>
      <w:proofErr w:type="spellEnd"/>
    </w:p>
    <w:tbl>
      <w:tblPr>
        <w:tblStyle w:val="Mkatabulky"/>
        <w:tblW w:w="0" w:type="auto"/>
        <w:tblLook w:val="04A0" w:firstRow="1" w:lastRow="0" w:firstColumn="1" w:lastColumn="0" w:noHBand="0" w:noVBand="1"/>
      </w:tblPr>
      <w:tblGrid>
        <w:gridCol w:w="988"/>
        <w:gridCol w:w="2268"/>
      </w:tblGrid>
      <w:tr w:rsidR="00B20F7B" w14:paraId="344305F6" w14:textId="77777777" w:rsidTr="00BC0DDC">
        <w:tc>
          <w:tcPr>
            <w:tcW w:w="988" w:type="dxa"/>
          </w:tcPr>
          <w:p w14:paraId="27BEBB7E" w14:textId="77777777" w:rsidR="00B20F7B" w:rsidRDefault="00B20F7B" w:rsidP="00BC0DDC">
            <w:pPr>
              <w:spacing w:after="120"/>
              <w:ind w:right="130"/>
              <w:rPr>
                <w:rFonts w:asciiTheme="minorHAnsi" w:hAnsiTheme="minorHAnsi" w:cstheme="minorHAnsi"/>
                <w:sz w:val="21"/>
                <w:szCs w:val="21"/>
              </w:rPr>
            </w:pPr>
            <w:r>
              <w:rPr>
                <w:rFonts w:asciiTheme="minorHAnsi" w:hAnsiTheme="minorHAnsi" w:cstheme="minorHAnsi"/>
                <w:sz w:val="21"/>
                <w:szCs w:val="21"/>
              </w:rPr>
              <w:t xml:space="preserve">Rok </w:t>
            </w:r>
          </w:p>
        </w:tc>
        <w:tc>
          <w:tcPr>
            <w:tcW w:w="2268" w:type="dxa"/>
          </w:tcPr>
          <w:p w14:paraId="5B2BA418" w14:textId="77777777" w:rsidR="00B20F7B" w:rsidRDefault="00B20F7B" w:rsidP="00BC0DDC">
            <w:pPr>
              <w:spacing w:after="120"/>
              <w:ind w:right="130"/>
              <w:rPr>
                <w:rFonts w:asciiTheme="minorHAnsi" w:hAnsiTheme="minorHAnsi" w:cstheme="minorHAnsi"/>
                <w:sz w:val="21"/>
                <w:szCs w:val="21"/>
              </w:rPr>
            </w:pPr>
            <w:r>
              <w:rPr>
                <w:rFonts w:asciiTheme="minorHAnsi" w:hAnsiTheme="minorHAnsi" w:cstheme="minorHAnsi"/>
                <w:sz w:val="21"/>
                <w:szCs w:val="21"/>
              </w:rPr>
              <w:t>Hodnota POV Indexu</w:t>
            </w:r>
          </w:p>
        </w:tc>
      </w:tr>
      <w:tr w:rsidR="00B20F7B" w14:paraId="3F57DAFA" w14:textId="77777777" w:rsidTr="00BC0DDC">
        <w:tc>
          <w:tcPr>
            <w:tcW w:w="988" w:type="dxa"/>
          </w:tcPr>
          <w:p w14:paraId="0F09777F" w14:textId="77777777" w:rsidR="00B20F7B" w:rsidRDefault="00B20F7B" w:rsidP="00BC0DDC">
            <w:pPr>
              <w:spacing w:after="120"/>
              <w:ind w:right="130"/>
              <w:rPr>
                <w:rFonts w:asciiTheme="minorHAnsi" w:hAnsiTheme="minorHAnsi" w:cstheme="minorHAnsi"/>
                <w:sz w:val="21"/>
                <w:szCs w:val="21"/>
              </w:rPr>
            </w:pPr>
            <w:r>
              <w:rPr>
                <w:rFonts w:asciiTheme="minorHAnsi" w:hAnsiTheme="minorHAnsi" w:cstheme="minorHAnsi"/>
                <w:sz w:val="21"/>
                <w:szCs w:val="21"/>
              </w:rPr>
              <w:t>2021</w:t>
            </w:r>
          </w:p>
        </w:tc>
        <w:tc>
          <w:tcPr>
            <w:tcW w:w="2268" w:type="dxa"/>
          </w:tcPr>
          <w:p w14:paraId="7939F423" w14:textId="3D005835" w:rsidR="00951DB8" w:rsidRDefault="00B20F7B" w:rsidP="00BC0DDC">
            <w:pPr>
              <w:spacing w:after="120"/>
              <w:ind w:right="130"/>
              <w:rPr>
                <w:rFonts w:asciiTheme="minorHAnsi" w:hAnsiTheme="minorHAnsi" w:cstheme="minorHAnsi"/>
                <w:sz w:val="21"/>
                <w:szCs w:val="21"/>
              </w:rPr>
            </w:pPr>
            <w:r>
              <w:rPr>
                <w:rFonts w:asciiTheme="minorHAnsi" w:hAnsiTheme="minorHAnsi" w:cstheme="minorHAnsi"/>
                <w:sz w:val="21"/>
                <w:szCs w:val="21"/>
              </w:rPr>
              <w:t>6 444 Kč</w:t>
            </w:r>
          </w:p>
        </w:tc>
      </w:tr>
      <w:tr w:rsidR="00951DB8" w14:paraId="61BE80CB" w14:textId="77777777" w:rsidTr="00BC0DDC">
        <w:tc>
          <w:tcPr>
            <w:tcW w:w="988" w:type="dxa"/>
          </w:tcPr>
          <w:p w14:paraId="636A039B" w14:textId="2A0AF5D8" w:rsidR="00951DB8" w:rsidRDefault="00951DB8" w:rsidP="00951DB8">
            <w:pPr>
              <w:spacing w:after="120"/>
              <w:ind w:right="130"/>
              <w:rPr>
                <w:rFonts w:asciiTheme="minorHAnsi" w:hAnsiTheme="minorHAnsi" w:cstheme="minorHAnsi"/>
                <w:sz w:val="21"/>
                <w:szCs w:val="21"/>
              </w:rPr>
            </w:pPr>
            <w:r>
              <w:rPr>
                <w:rFonts w:asciiTheme="minorHAnsi" w:hAnsiTheme="minorHAnsi" w:cstheme="minorHAnsi"/>
                <w:sz w:val="21"/>
                <w:szCs w:val="21"/>
              </w:rPr>
              <w:t>2020</w:t>
            </w:r>
          </w:p>
        </w:tc>
        <w:tc>
          <w:tcPr>
            <w:tcW w:w="2268" w:type="dxa"/>
          </w:tcPr>
          <w:p w14:paraId="75192C1E" w14:textId="01862109" w:rsidR="00951DB8" w:rsidRDefault="00951DB8" w:rsidP="00951DB8">
            <w:pPr>
              <w:spacing w:after="120"/>
              <w:ind w:right="130"/>
              <w:rPr>
                <w:rFonts w:asciiTheme="minorHAnsi" w:hAnsiTheme="minorHAnsi" w:cstheme="minorHAnsi"/>
                <w:sz w:val="21"/>
                <w:szCs w:val="21"/>
              </w:rPr>
            </w:pPr>
            <w:r>
              <w:rPr>
                <w:rFonts w:asciiTheme="minorHAnsi" w:hAnsiTheme="minorHAnsi" w:cstheme="minorHAnsi"/>
                <w:sz w:val="21"/>
                <w:szCs w:val="21"/>
              </w:rPr>
              <w:t>6 460 Kč</w:t>
            </w:r>
          </w:p>
        </w:tc>
      </w:tr>
      <w:tr w:rsidR="00951DB8" w14:paraId="588A7696" w14:textId="77777777" w:rsidTr="00BC0DDC">
        <w:tc>
          <w:tcPr>
            <w:tcW w:w="988" w:type="dxa"/>
          </w:tcPr>
          <w:p w14:paraId="287870D4" w14:textId="77777777" w:rsidR="00951DB8" w:rsidRDefault="00951DB8" w:rsidP="00951DB8">
            <w:pPr>
              <w:spacing w:after="120"/>
              <w:ind w:right="130"/>
              <w:rPr>
                <w:rFonts w:asciiTheme="minorHAnsi" w:hAnsiTheme="minorHAnsi" w:cstheme="minorHAnsi"/>
                <w:sz w:val="21"/>
                <w:szCs w:val="21"/>
              </w:rPr>
            </w:pPr>
            <w:r>
              <w:rPr>
                <w:rFonts w:asciiTheme="minorHAnsi" w:hAnsiTheme="minorHAnsi" w:cstheme="minorHAnsi"/>
                <w:sz w:val="21"/>
                <w:szCs w:val="21"/>
              </w:rPr>
              <w:t>2022</w:t>
            </w:r>
          </w:p>
        </w:tc>
        <w:tc>
          <w:tcPr>
            <w:tcW w:w="2268" w:type="dxa"/>
          </w:tcPr>
          <w:p w14:paraId="2F8D3DD9" w14:textId="77777777" w:rsidR="00951DB8" w:rsidRDefault="00951DB8" w:rsidP="00951DB8">
            <w:pPr>
              <w:spacing w:after="120"/>
              <w:ind w:right="130"/>
              <w:rPr>
                <w:rFonts w:asciiTheme="minorHAnsi" w:hAnsiTheme="minorHAnsi" w:cstheme="minorHAnsi"/>
                <w:sz w:val="21"/>
                <w:szCs w:val="21"/>
              </w:rPr>
            </w:pPr>
            <w:r>
              <w:rPr>
                <w:rFonts w:asciiTheme="minorHAnsi" w:hAnsiTheme="minorHAnsi" w:cstheme="minorHAnsi"/>
                <w:sz w:val="21"/>
                <w:szCs w:val="21"/>
              </w:rPr>
              <w:t>6 628 Kč</w:t>
            </w:r>
          </w:p>
        </w:tc>
      </w:tr>
      <w:tr w:rsidR="00951DB8" w14:paraId="3DACD3BB" w14:textId="77777777" w:rsidTr="00BC0DDC">
        <w:tc>
          <w:tcPr>
            <w:tcW w:w="988" w:type="dxa"/>
          </w:tcPr>
          <w:p w14:paraId="52F440A4" w14:textId="77777777" w:rsidR="00951DB8" w:rsidRDefault="00951DB8" w:rsidP="00951DB8">
            <w:pPr>
              <w:spacing w:after="120"/>
              <w:ind w:right="130"/>
              <w:rPr>
                <w:rFonts w:asciiTheme="minorHAnsi" w:hAnsiTheme="minorHAnsi" w:cstheme="minorHAnsi"/>
                <w:sz w:val="21"/>
                <w:szCs w:val="21"/>
              </w:rPr>
            </w:pPr>
            <w:r>
              <w:rPr>
                <w:rFonts w:asciiTheme="minorHAnsi" w:hAnsiTheme="minorHAnsi" w:cstheme="minorHAnsi"/>
                <w:sz w:val="21"/>
                <w:szCs w:val="21"/>
              </w:rPr>
              <w:t>2023</w:t>
            </w:r>
          </w:p>
        </w:tc>
        <w:tc>
          <w:tcPr>
            <w:tcW w:w="2268" w:type="dxa"/>
          </w:tcPr>
          <w:p w14:paraId="7F60BFD9" w14:textId="77777777" w:rsidR="00951DB8" w:rsidRDefault="00951DB8" w:rsidP="00951DB8">
            <w:pPr>
              <w:spacing w:after="120"/>
              <w:ind w:right="130"/>
              <w:rPr>
                <w:rFonts w:asciiTheme="minorHAnsi" w:hAnsiTheme="minorHAnsi" w:cstheme="minorHAnsi"/>
                <w:sz w:val="21"/>
                <w:szCs w:val="21"/>
              </w:rPr>
            </w:pPr>
            <w:r>
              <w:rPr>
                <w:rFonts w:asciiTheme="minorHAnsi" w:hAnsiTheme="minorHAnsi" w:cstheme="minorHAnsi"/>
                <w:sz w:val="21"/>
                <w:szCs w:val="21"/>
              </w:rPr>
              <w:t>6 965 Kč</w:t>
            </w:r>
          </w:p>
        </w:tc>
      </w:tr>
      <w:tr w:rsidR="00951DB8" w14:paraId="4D76E4D3" w14:textId="77777777" w:rsidTr="00BC0DDC">
        <w:tc>
          <w:tcPr>
            <w:tcW w:w="988" w:type="dxa"/>
          </w:tcPr>
          <w:p w14:paraId="2A4375FE" w14:textId="77777777" w:rsidR="00951DB8" w:rsidRDefault="00951DB8" w:rsidP="00951DB8">
            <w:pPr>
              <w:spacing w:after="120"/>
              <w:ind w:right="130"/>
              <w:rPr>
                <w:rFonts w:asciiTheme="minorHAnsi" w:hAnsiTheme="minorHAnsi" w:cstheme="minorHAnsi"/>
                <w:sz w:val="21"/>
                <w:szCs w:val="21"/>
              </w:rPr>
            </w:pPr>
            <w:r>
              <w:rPr>
                <w:rFonts w:asciiTheme="minorHAnsi" w:hAnsiTheme="minorHAnsi" w:cstheme="minorHAnsi"/>
                <w:sz w:val="21"/>
                <w:szCs w:val="21"/>
              </w:rPr>
              <w:t>2019</w:t>
            </w:r>
          </w:p>
        </w:tc>
        <w:tc>
          <w:tcPr>
            <w:tcW w:w="2268" w:type="dxa"/>
          </w:tcPr>
          <w:p w14:paraId="79124891" w14:textId="77777777" w:rsidR="00951DB8" w:rsidRDefault="00951DB8" w:rsidP="00951DB8">
            <w:pPr>
              <w:spacing w:after="120"/>
              <w:ind w:right="130"/>
              <w:rPr>
                <w:rFonts w:asciiTheme="minorHAnsi" w:hAnsiTheme="minorHAnsi" w:cstheme="minorHAnsi"/>
                <w:sz w:val="21"/>
                <w:szCs w:val="21"/>
              </w:rPr>
            </w:pPr>
            <w:r>
              <w:rPr>
                <w:rFonts w:asciiTheme="minorHAnsi" w:hAnsiTheme="minorHAnsi" w:cstheme="minorHAnsi"/>
                <w:sz w:val="21"/>
                <w:szCs w:val="21"/>
              </w:rPr>
              <w:t>7523 Kč</w:t>
            </w:r>
          </w:p>
        </w:tc>
      </w:tr>
      <w:tr w:rsidR="00951DB8" w14:paraId="0A390129" w14:textId="77777777" w:rsidTr="00BC0DDC">
        <w:tc>
          <w:tcPr>
            <w:tcW w:w="988" w:type="dxa"/>
          </w:tcPr>
          <w:p w14:paraId="6535601F" w14:textId="77777777" w:rsidR="00951DB8" w:rsidRDefault="00951DB8" w:rsidP="00951DB8">
            <w:pPr>
              <w:spacing w:after="120"/>
              <w:ind w:right="130"/>
              <w:rPr>
                <w:rFonts w:asciiTheme="minorHAnsi" w:hAnsiTheme="minorHAnsi" w:cstheme="minorHAnsi"/>
                <w:sz w:val="21"/>
                <w:szCs w:val="21"/>
              </w:rPr>
            </w:pPr>
            <w:r>
              <w:rPr>
                <w:rFonts w:asciiTheme="minorHAnsi" w:hAnsiTheme="minorHAnsi" w:cstheme="minorHAnsi"/>
                <w:sz w:val="21"/>
                <w:szCs w:val="21"/>
              </w:rPr>
              <w:t>průměr</w:t>
            </w:r>
          </w:p>
        </w:tc>
        <w:tc>
          <w:tcPr>
            <w:tcW w:w="2268" w:type="dxa"/>
          </w:tcPr>
          <w:p w14:paraId="4BB56D90" w14:textId="77777777" w:rsidR="00951DB8" w:rsidRDefault="00951DB8" w:rsidP="00951DB8">
            <w:pPr>
              <w:spacing w:after="120"/>
              <w:ind w:right="130"/>
              <w:rPr>
                <w:rFonts w:asciiTheme="minorHAnsi" w:hAnsiTheme="minorHAnsi" w:cstheme="minorHAnsi"/>
                <w:sz w:val="21"/>
                <w:szCs w:val="21"/>
              </w:rPr>
            </w:pPr>
            <w:r>
              <w:rPr>
                <w:rFonts w:asciiTheme="minorHAnsi" w:hAnsiTheme="minorHAnsi" w:cstheme="minorHAnsi"/>
                <w:sz w:val="21"/>
                <w:szCs w:val="21"/>
              </w:rPr>
              <w:t>6 737 Kč</w:t>
            </w:r>
          </w:p>
        </w:tc>
      </w:tr>
    </w:tbl>
    <w:p w14:paraId="47EE3F30" w14:textId="77777777" w:rsidR="00B20F7B" w:rsidRDefault="00B20F7B" w:rsidP="00B20F7B">
      <w:pPr>
        <w:spacing w:after="120"/>
        <w:ind w:right="130"/>
        <w:rPr>
          <w:rFonts w:asciiTheme="minorHAnsi" w:hAnsiTheme="minorHAnsi" w:cstheme="minorHAnsi"/>
          <w:sz w:val="21"/>
          <w:szCs w:val="21"/>
        </w:rPr>
      </w:pPr>
      <w:r>
        <w:rPr>
          <w:rFonts w:asciiTheme="minorHAnsi" w:hAnsiTheme="minorHAnsi" w:cstheme="minorHAnsi"/>
          <w:sz w:val="21"/>
          <w:szCs w:val="21"/>
        </w:rPr>
        <w:t xml:space="preserve"> </w:t>
      </w:r>
    </w:p>
    <w:p w14:paraId="19FADE3F" w14:textId="77777777" w:rsidR="00B20F7B" w:rsidRDefault="00B20F7B" w:rsidP="00B20F7B">
      <w:pPr>
        <w:spacing w:after="120"/>
        <w:ind w:right="130"/>
        <w:rPr>
          <w:rFonts w:asciiTheme="minorHAnsi" w:hAnsiTheme="minorHAnsi" w:cstheme="minorHAnsi"/>
          <w:b/>
          <w:bCs/>
          <w:sz w:val="21"/>
          <w:szCs w:val="21"/>
        </w:rPr>
      </w:pPr>
      <w:r w:rsidRPr="002749FE">
        <w:rPr>
          <w:rFonts w:asciiTheme="minorHAnsi" w:hAnsiTheme="minorHAnsi" w:cstheme="minorHAnsi"/>
          <w:b/>
          <w:bCs/>
          <w:sz w:val="21"/>
          <w:szCs w:val="21"/>
        </w:rPr>
        <w:t>Jiný kraj, jin</w:t>
      </w:r>
      <w:r>
        <w:rPr>
          <w:rFonts w:asciiTheme="minorHAnsi" w:hAnsiTheme="minorHAnsi" w:cstheme="minorHAnsi"/>
          <w:b/>
          <w:bCs/>
          <w:sz w:val="21"/>
          <w:szCs w:val="21"/>
        </w:rPr>
        <w:t>ý vývoj cen ručení</w:t>
      </w:r>
    </w:p>
    <w:p w14:paraId="482CC724" w14:textId="77777777" w:rsidR="00B20F7B" w:rsidRDefault="00B20F7B" w:rsidP="00B20F7B">
      <w:pPr>
        <w:spacing w:after="120"/>
        <w:ind w:right="130"/>
        <w:rPr>
          <w:rFonts w:asciiTheme="minorHAnsi" w:hAnsiTheme="minorHAnsi" w:cstheme="minorHAnsi"/>
          <w:sz w:val="21"/>
          <w:szCs w:val="21"/>
        </w:rPr>
      </w:pPr>
      <w:r w:rsidRPr="002749FE">
        <w:rPr>
          <w:rFonts w:asciiTheme="minorHAnsi" w:hAnsiTheme="minorHAnsi" w:cstheme="minorHAnsi"/>
          <w:sz w:val="21"/>
          <w:szCs w:val="21"/>
        </w:rPr>
        <w:t xml:space="preserve">Broker Consulting </w:t>
      </w:r>
      <w:proofErr w:type="spellStart"/>
      <w:r w:rsidRPr="002749FE">
        <w:rPr>
          <w:rFonts w:asciiTheme="minorHAnsi" w:hAnsiTheme="minorHAnsi" w:cstheme="minorHAnsi"/>
          <w:sz w:val="21"/>
          <w:szCs w:val="21"/>
        </w:rPr>
        <w:t>POVIndex</w:t>
      </w:r>
      <w:proofErr w:type="spellEnd"/>
      <w:r w:rsidRPr="002749FE">
        <w:rPr>
          <w:rFonts w:asciiTheme="minorHAnsi" w:hAnsiTheme="minorHAnsi" w:cstheme="minorHAnsi"/>
          <w:sz w:val="21"/>
          <w:szCs w:val="21"/>
        </w:rPr>
        <w:t xml:space="preserve"> zrcadlí zprůměrovanou situaci na trhu s povinným ručením v celé České republice. Z  čísel v Praze, ale i v některých menších městech, jako je například Benešov u Prahy</w:t>
      </w:r>
      <w:r>
        <w:rPr>
          <w:rFonts w:asciiTheme="minorHAnsi" w:hAnsiTheme="minorHAnsi" w:cstheme="minorHAnsi"/>
          <w:sz w:val="21"/>
          <w:szCs w:val="21"/>
        </w:rPr>
        <w:t xml:space="preserve">, </w:t>
      </w:r>
      <w:r w:rsidRPr="002749FE">
        <w:rPr>
          <w:rFonts w:asciiTheme="minorHAnsi" w:hAnsiTheme="minorHAnsi" w:cstheme="minorHAnsi"/>
          <w:sz w:val="21"/>
          <w:szCs w:val="21"/>
        </w:rPr>
        <w:t xml:space="preserve">lze vypozorovat </w:t>
      </w:r>
      <w:r>
        <w:rPr>
          <w:rFonts w:asciiTheme="minorHAnsi" w:hAnsiTheme="minorHAnsi" w:cstheme="minorHAnsi"/>
          <w:sz w:val="21"/>
          <w:szCs w:val="21"/>
        </w:rPr>
        <w:t xml:space="preserve">trendy </w:t>
      </w:r>
      <w:r w:rsidRPr="002749FE">
        <w:rPr>
          <w:rFonts w:asciiTheme="minorHAnsi" w:hAnsiTheme="minorHAnsi" w:cstheme="minorHAnsi"/>
          <w:sz w:val="21"/>
          <w:szCs w:val="21"/>
        </w:rPr>
        <w:t>jiné</w:t>
      </w:r>
      <w:r w:rsidRPr="002749FE">
        <w:rPr>
          <w:rFonts w:asciiTheme="minorHAnsi" w:hAnsiTheme="minorHAnsi" w:cstheme="minorHAnsi"/>
          <w:i/>
          <w:iCs/>
          <w:sz w:val="21"/>
          <w:szCs w:val="21"/>
        </w:rPr>
        <w:t>. „Povinné ručení v Praze vykazuje jiný průběh než uvedený index. Start v roce 2019 začíná na 8 490 korunách. Hodnoty letošního října se dostaly na hranici 7 665 korun, říjen 2022 potom na 7 347 korun, potom následuje rok 2020 s 7 292 korunami a nejníže je na tom předloňský rok, kdy byla průměrná cena povinného ručení 7 081 korun. Průměr za celé sledování je pak 7 495 korun,“</w:t>
      </w:r>
      <w:r>
        <w:rPr>
          <w:rFonts w:asciiTheme="minorHAnsi" w:hAnsiTheme="minorHAnsi" w:cstheme="minorHAnsi"/>
          <w:sz w:val="21"/>
          <w:szCs w:val="21"/>
        </w:rPr>
        <w:t xml:space="preserve"> popisuje </w:t>
      </w:r>
      <w:r w:rsidRPr="00D75E05">
        <w:rPr>
          <w:rFonts w:asciiTheme="minorHAnsi" w:hAnsiTheme="minorHAnsi" w:cstheme="minorHAnsi"/>
          <w:b/>
          <w:sz w:val="21"/>
          <w:szCs w:val="21"/>
        </w:rPr>
        <w:t>Jiří Váchal, analytik neživotního pojištění z </w:t>
      </w:r>
      <w:proofErr w:type="gramStart"/>
      <w:r w:rsidRPr="00D75E05">
        <w:rPr>
          <w:rFonts w:asciiTheme="minorHAnsi" w:hAnsiTheme="minorHAnsi" w:cstheme="minorHAnsi"/>
          <w:b/>
          <w:sz w:val="21"/>
          <w:szCs w:val="21"/>
        </w:rPr>
        <w:t>Broker</w:t>
      </w:r>
      <w:proofErr w:type="gramEnd"/>
      <w:r w:rsidRPr="00D75E05">
        <w:rPr>
          <w:rFonts w:asciiTheme="minorHAnsi" w:hAnsiTheme="minorHAnsi" w:cstheme="minorHAnsi"/>
          <w:b/>
          <w:sz w:val="21"/>
          <w:szCs w:val="21"/>
        </w:rPr>
        <w:t xml:space="preserve"> Consulting</w:t>
      </w:r>
      <w:r>
        <w:rPr>
          <w:rFonts w:asciiTheme="minorHAnsi" w:hAnsiTheme="minorHAnsi" w:cstheme="minorHAnsi"/>
          <w:sz w:val="21"/>
          <w:szCs w:val="21"/>
        </w:rPr>
        <w:t>.</w:t>
      </w:r>
    </w:p>
    <w:p w14:paraId="78E08904" w14:textId="77777777" w:rsidR="00B20F7B" w:rsidRDefault="00B20F7B" w:rsidP="00B20F7B">
      <w:pPr>
        <w:spacing w:after="120"/>
        <w:ind w:right="130"/>
        <w:rPr>
          <w:rFonts w:asciiTheme="minorHAnsi" w:hAnsiTheme="minorHAnsi" w:cstheme="minorHAnsi"/>
          <w:sz w:val="21"/>
          <w:szCs w:val="21"/>
        </w:rPr>
      </w:pPr>
      <w:r>
        <w:rPr>
          <w:rFonts w:asciiTheme="minorHAnsi" w:hAnsiTheme="minorHAnsi" w:cstheme="minorHAnsi"/>
          <w:sz w:val="21"/>
          <w:szCs w:val="21"/>
        </w:rPr>
        <w:t xml:space="preserve">V Benešově u Prahy dosahuje průměrná hodnota za celé období sledování indexu 5 976 korun. Průměrná cena povinného ručení se dostala nad toto číslo celkem dvakrát. Poprvé hned na startu sledování v říjnu 2019, kdy dosahovala 6 683 korun, a v roce letošním, kdy byla 6 266 korun. V říjnu 2021 se průměrná cena povinného ručení zastavila na hodnotě 5 798 korun a o rok později pak na 5 909 korunách. </w:t>
      </w:r>
    </w:p>
    <w:p w14:paraId="58F54F98" w14:textId="77777777" w:rsidR="00B20F7B" w:rsidRPr="002749FE" w:rsidRDefault="00B20F7B" w:rsidP="00B20F7B">
      <w:pPr>
        <w:spacing w:after="120"/>
        <w:ind w:right="130"/>
        <w:rPr>
          <w:rFonts w:asciiTheme="minorHAnsi" w:hAnsiTheme="minorHAnsi" w:cstheme="minorHAnsi"/>
          <w:sz w:val="21"/>
          <w:szCs w:val="21"/>
        </w:rPr>
      </w:pPr>
      <w:r>
        <w:rPr>
          <w:rFonts w:asciiTheme="minorHAnsi" w:hAnsiTheme="minorHAnsi" w:cstheme="minorHAnsi"/>
          <w:b/>
          <w:noProof/>
          <w:sz w:val="21"/>
          <w:szCs w:val="21"/>
          <w:lang w:bidi="ar-SA"/>
        </w:rPr>
        <w:lastRenderedPageBreak/>
        <w:drawing>
          <wp:inline distT="0" distB="0" distL="0" distR="0" wp14:anchorId="604D12DF" wp14:editId="07D9E436">
            <wp:extent cx="6508115" cy="2897257"/>
            <wp:effectExtent l="0" t="0" r="6985" b="0"/>
            <wp:docPr id="2" name="Obrázek 2" descr="Obsah obrázku řada/pruh, Vykreslený graf, diagram,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řada/pruh, Vykreslený graf, diagram, snímek obrazovky&#10;&#10;Popis byl vytvořen automaticky"/>
                    <pic:cNvPicPr/>
                  </pic:nvPicPr>
                  <pic:blipFill>
                    <a:blip r:embed="rId16">
                      <a:extLst>
                        <a:ext uri="{28A0092B-C50C-407E-A947-70E740481C1C}">
                          <a14:useLocalDpi xmlns:a14="http://schemas.microsoft.com/office/drawing/2010/main" val="0"/>
                        </a:ext>
                      </a:extLst>
                    </a:blip>
                    <a:stretch>
                      <a:fillRect/>
                    </a:stretch>
                  </pic:blipFill>
                  <pic:spPr>
                    <a:xfrm>
                      <a:off x="0" y="0"/>
                      <a:ext cx="6515300" cy="2900455"/>
                    </a:xfrm>
                    <a:prstGeom prst="rect">
                      <a:avLst/>
                    </a:prstGeom>
                  </pic:spPr>
                </pic:pic>
              </a:graphicData>
            </a:graphic>
          </wp:inline>
        </w:drawing>
      </w:r>
    </w:p>
    <w:p w14:paraId="569CE872" w14:textId="77777777" w:rsidR="00DD5E05" w:rsidRDefault="00DD5E05" w:rsidP="00B20F7B">
      <w:pPr>
        <w:spacing w:after="120"/>
        <w:ind w:right="130"/>
        <w:rPr>
          <w:rFonts w:asciiTheme="minorHAnsi" w:hAnsiTheme="minorHAnsi" w:cstheme="minorHAnsi"/>
          <w:b/>
          <w:bCs/>
          <w:sz w:val="21"/>
          <w:szCs w:val="21"/>
        </w:rPr>
      </w:pPr>
    </w:p>
    <w:p w14:paraId="55FB5ED9" w14:textId="29F27C72" w:rsidR="00B20F7B" w:rsidRPr="002749FE" w:rsidRDefault="00B20F7B" w:rsidP="00B20F7B">
      <w:pPr>
        <w:spacing w:after="120"/>
        <w:ind w:right="130"/>
        <w:rPr>
          <w:rFonts w:asciiTheme="minorHAnsi" w:hAnsiTheme="minorHAnsi" w:cstheme="minorHAnsi"/>
          <w:b/>
          <w:bCs/>
          <w:sz w:val="21"/>
          <w:szCs w:val="21"/>
        </w:rPr>
      </w:pPr>
      <w:r>
        <w:rPr>
          <w:rFonts w:asciiTheme="minorHAnsi" w:hAnsiTheme="minorHAnsi" w:cstheme="minorHAnsi"/>
          <w:b/>
          <w:bCs/>
          <w:sz w:val="21"/>
          <w:szCs w:val="21"/>
        </w:rPr>
        <w:t xml:space="preserve">Nepodceňujte připojištění srážky se zvěří </w:t>
      </w:r>
    </w:p>
    <w:p w14:paraId="27728280" w14:textId="77777777" w:rsidR="00B20F7B" w:rsidRPr="00AD79CC" w:rsidRDefault="00B20F7B" w:rsidP="00B20F7B">
      <w:pPr>
        <w:spacing w:after="120"/>
        <w:ind w:right="130"/>
        <w:rPr>
          <w:rFonts w:asciiTheme="minorHAnsi" w:hAnsiTheme="minorHAnsi" w:cstheme="minorHAnsi"/>
          <w:sz w:val="21"/>
          <w:szCs w:val="21"/>
        </w:rPr>
      </w:pPr>
      <w:r w:rsidRPr="002749FE">
        <w:rPr>
          <w:rFonts w:asciiTheme="minorHAnsi" w:hAnsiTheme="minorHAnsi" w:cstheme="minorHAnsi"/>
          <w:sz w:val="21"/>
          <w:szCs w:val="21"/>
        </w:rPr>
        <w:t>Pro podzimní měsíce je ale také aktuální jeden trend, a to vyšší počty střetů vozidel se zvěří. Dochází k nim zejména v době, kdy začíná svítat nebo se naopak stmívá. Zodpovědný řidič by měl s možným střetem počítat a této eventualitě přizpůsobit rychlost jízdy. Vzhledem k tomu, že je tedy srážka se zvěří na českých silnicích poměrně častou nehodou, doporučují odborníci z </w:t>
      </w:r>
      <w:proofErr w:type="gramStart"/>
      <w:r w:rsidRPr="002749FE">
        <w:rPr>
          <w:rFonts w:asciiTheme="minorHAnsi" w:hAnsiTheme="minorHAnsi" w:cstheme="minorHAnsi"/>
          <w:sz w:val="21"/>
          <w:szCs w:val="21"/>
        </w:rPr>
        <w:t>Broker</w:t>
      </w:r>
      <w:proofErr w:type="gramEnd"/>
      <w:r w:rsidRPr="002749FE">
        <w:rPr>
          <w:rFonts w:asciiTheme="minorHAnsi" w:hAnsiTheme="minorHAnsi" w:cstheme="minorHAnsi"/>
          <w:sz w:val="21"/>
          <w:szCs w:val="21"/>
        </w:rPr>
        <w:t xml:space="preserve"> Consulting mít povinnému ručení sjednané také připojištění srážky se zvěří. </w:t>
      </w:r>
      <w:r w:rsidRPr="002749FE">
        <w:rPr>
          <w:rFonts w:asciiTheme="minorHAnsi" w:hAnsiTheme="minorHAnsi" w:cstheme="minorHAnsi"/>
          <w:i/>
          <w:iCs/>
          <w:sz w:val="21"/>
          <w:szCs w:val="21"/>
        </w:rPr>
        <w:t xml:space="preserve">„Pojišťovna pak řidiči pomůže s náhradou škody i s asistencí u nehody. Připojištění srážky se zvěří lze uzavřít i k povinnému ručení, pojišťovny však rozlišují pojem zvěř a zvíře. Zvěří je podle §2 zákona o myslivosti míněn jelen, daněk, liška, divočák, srnec, bažant nebo zajíc,“ </w:t>
      </w:r>
      <w:r>
        <w:rPr>
          <w:rFonts w:asciiTheme="minorHAnsi" w:hAnsiTheme="minorHAnsi" w:cstheme="minorHAnsi"/>
          <w:sz w:val="21"/>
          <w:szCs w:val="21"/>
        </w:rPr>
        <w:t>dodává k</w:t>
      </w:r>
      <w:r w:rsidRPr="002749FE">
        <w:rPr>
          <w:rFonts w:asciiTheme="minorHAnsi" w:hAnsiTheme="minorHAnsi" w:cstheme="minorHAnsi"/>
          <w:sz w:val="21"/>
          <w:szCs w:val="21"/>
        </w:rPr>
        <w:t xml:space="preserve"> </w:t>
      </w:r>
      <w:r w:rsidRPr="00AD79CC">
        <w:rPr>
          <w:rFonts w:asciiTheme="minorHAnsi" w:hAnsiTheme="minorHAnsi" w:cstheme="minorHAnsi"/>
          <w:sz w:val="21"/>
          <w:szCs w:val="21"/>
        </w:rPr>
        <w:t xml:space="preserve">výsledkům </w:t>
      </w:r>
      <w:r>
        <w:rPr>
          <w:rFonts w:asciiTheme="minorHAnsi" w:hAnsiTheme="minorHAnsi" w:cstheme="minorHAnsi"/>
          <w:b/>
          <w:sz w:val="21"/>
          <w:szCs w:val="21"/>
        </w:rPr>
        <w:t>Jiří Váchal.</w:t>
      </w:r>
    </w:p>
    <w:p w14:paraId="6F052FE7" w14:textId="77777777" w:rsidR="00B20F7B" w:rsidRPr="002749FE" w:rsidRDefault="00B20F7B" w:rsidP="00B20F7B">
      <w:pPr>
        <w:spacing w:after="120"/>
        <w:ind w:right="130"/>
        <w:rPr>
          <w:rFonts w:asciiTheme="minorHAnsi" w:hAnsiTheme="minorHAnsi" w:cstheme="minorHAnsi"/>
          <w:b/>
          <w:bCs/>
          <w:sz w:val="21"/>
          <w:szCs w:val="21"/>
        </w:rPr>
      </w:pPr>
      <w:r w:rsidRPr="002749FE">
        <w:rPr>
          <w:rFonts w:asciiTheme="minorHAnsi" w:hAnsiTheme="minorHAnsi" w:cstheme="minorHAnsi"/>
          <w:b/>
          <w:bCs/>
          <w:sz w:val="21"/>
          <w:szCs w:val="21"/>
        </w:rPr>
        <w:t>BOX: C</w:t>
      </w:r>
      <w:r>
        <w:rPr>
          <w:rFonts w:asciiTheme="minorHAnsi" w:hAnsiTheme="minorHAnsi" w:cstheme="minorHAnsi"/>
          <w:b/>
          <w:bCs/>
          <w:sz w:val="21"/>
          <w:szCs w:val="21"/>
        </w:rPr>
        <w:t>o</w:t>
      </w:r>
      <w:r w:rsidRPr="002749FE">
        <w:rPr>
          <w:rFonts w:asciiTheme="minorHAnsi" w:hAnsiTheme="minorHAnsi" w:cstheme="minorHAnsi"/>
          <w:b/>
          <w:bCs/>
          <w:sz w:val="21"/>
          <w:szCs w:val="21"/>
        </w:rPr>
        <w:t xml:space="preserve"> dělat při střetu se zvěří? </w:t>
      </w:r>
    </w:p>
    <w:p w14:paraId="350BB518" w14:textId="36EC2751" w:rsidR="00B20F7B" w:rsidRPr="002749FE" w:rsidRDefault="00B20F7B" w:rsidP="00B20F7B">
      <w:pPr>
        <w:pStyle w:val="Odstavecseseznamem"/>
        <w:numPr>
          <w:ilvl w:val="0"/>
          <w:numId w:val="25"/>
        </w:numPr>
        <w:spacing w:after="120"/>
        <w:ind w:right="130"/>
        <w:rPr>
          <w:rFonts w:asciiTheme="minorHAnsi" w:hAnsiTheme="minorHAnsi" w:cstheme="minorHAnsi"/>
          <w:sz w:val="21"/>
          <w:szCs w:val="21"/>
        </w:rPr>
      </w:pPr>
      <w:r w:rsidRPr="002749FE">
        <w:rPr>
          <w:rFonts w:asciiTheme="minorHAnsi" w:hAnsiTheme="minorHAnsi" w:cstheme="minorHAnsi"/>
          <w:sz w:val="21"/>
          <w:szCs w:val="21"/>
        </w:rPr>
        <w:t>zastavit u krajnice a zapnout výstražná světla</w:t>
      </w:r>
      <w:r w:rsidR="009925A1">
        <w:rPr>
          <w:rFonts w:asciiTheme="minorHAnsi" w:hAnsiTheme="minorHAnsi" w:cstheme="minorHAnsi"/>
          <w:sz w:val="21"/>
          <w:szCs w:val="21"/>
        </w:rPr>
        <w:t>,</w:t>
      </w:r>
    </w:p>
    <w:p w14:paraId="1D2F1D15" w14:textId="344E8D0F" w:rsidR="00B20F7B" w:rsidRPr="002749FE" w:rsidRDefault="00B20F7B" w:rsidP="00B20F7B">
      <w:pPr>
        <w:pStyle w:val="Odstavecseseznamem"/>
        <w:numPr>
          <w:ilvl w:val="0"/>
          <w:numId w:val="25"/>
        </w:numPr>
        <w:spacing w:after="120"/>
        <w:ind w:right="130"/>
        <w:rPr>
          <w:rFonts w:asciiTheme="minorHAnsi" w:hAnsiTheme="minorHAnsi" w:cstheme="minorHAnsi"/>
          <w:sz w:val="21"/>
          <w:szCs w:val="21"/>
        </w:rPr>
      </w:pPr>
      <w:r w:rsidRPr="002749FE">
        <w:rPr>
          <w:rFonts w:asciiTheme="minorHAnsi" w:hAnsiTheme="minorHAnsi" w:cstheme="minorHAnsi"/>
          <w:sz w:val="21"/>
          <w:szCs w:val="21"/>
        </w:rPr>
        <w:t>obléct si reflexní vestu a rozložit výstražný trojúhelník (na silnici nejméně 50 metrů a na dálnici alespoň 100 metrů za vozidlem)</w:t>
      </w:r>
      <w:r w:rsidR="009925A1">
        <w:rPr>
          <w:rFonts w:asciiTheme="minorHAnsi" w:hAnsiTheme="minorHAnsi" w:cstheme="minorHAnsi"/>
          <w:sz w:val="21"/>
          <w:szCs w:val="21"/>
        </w:rPr>
        <w:t>,</w:t>
      </w:r>
    </w:p>
    <w:p w14:paraId="337B6D6B" w14:textId="43928E8C" w:rsidR="00B20F7B" w:rsidRPr="002749FE" w:rsidRDefault="00B20F7B" w:rsidP="00B20F7B">
      <w:pPr>
        <w:pStyle w:val="Odstavecseseznamem"/>
        <w:numPr>
          <w:ilvl w:val="0"/>
          <w:numId w:val="25"/>
        </w:numPr>
        <w:spacing w:after="120"/>
        <w:ind w:right="130"/>
        <w:rPr>
          <w:rFonts w:asciiTheme="minorHAnsi" w:hAnsiTheme="minorHAnsi" w:cstheme="minorHAnsi"/>
          <w:sz w:val="21"/>
          <w:szCs w:val="21"/>
        </w:rPr>
      </w:pPr>
      <w:r w:rsidRPr="002749FE">
        <w:rPr>
          <w:rFonts w:asciiTheme="minorHAnsi" w:hAnsiTheme="minorHAnsi" w:cstheme="minorHAnsi"/>
          <w:sz w:val="21"/>
          <w:szCs w:val="21"/>
        </w:rPr>
        <w:t>zjistit, zda jsou všichni cestující v pořádku a případně zavolat záchrannou službu</w:t>
      </w:r>
      <w:r w:rsidR="009925A1">
        <w:rPr>
          <w:rFonts w:asciiTheme="minorHAnsi" w:hAnsiTheme="minorHAnsi" w:cstheme="minorHAnsi"/>
          <w:sz w:val="21"/>
          <w:szCs w:val="21"/>
        </w:rPr>
        <w:t>,</w:t>
      </w:r>
    </w:p>
    <w:p w14:paraId="212183F4" w14:textId="4AB32733" w:rsidR="00B20F7B" w:rsidRPr="002749FE" w:rsidRDefault="00B20F7B" w:rsidP="00B20F7B">
      <w:pPr>
        <w:pStyle w:val="Odstavecseseznamem"/>
        <w:numPr>
          <w:ilvl w:val="0"/>
          <w:numId w:val="25"/>
        </w:numPr>
        <w:spacing w:after="120"/>
        <w:ind w:right="130"/>
        <w:rPr>
          <w:rFonts w:asciiTheme="minorHAnsi" w:hAnsiTheme="minorHAnsi" w:cstheme="minorHAnsi"/>
          <w:sz w:val="21"/>
          <w:szCs w:val="21"/>
        </w:rPr>
      </w:pPr>
      <w:r w:rsidRPr="002749FE">
        <w:rPr>
          <w:rFonts w:asciiTheme="minorHAnsi" w:hAnsiTheme="minorHAnsi" w:cstheme="minorHAnsi"/>
          <w:sz w:val="21"/>
          <w:szCs w:val="21"/>
        </w:rPr>
        <w:t>záchrana osob a jejich </w:t>
      </w:r>
      <w:hyperlink r:id="rId17" w:tgtFrame="_blank" w:history="1">
        <w:r w:rsidRPr="002749FE">
          <w:rPr>
            <w:rFonts w:asciiTheme="minorHAnsi" w:hAnsiTheme="minorHAnsi" w:cstheme="minorHAnsi"/>
            <w:sz w:val="21"/>
            <w:szCs w:val="21"/>
          </w:rPr>
          <w:t>zdraví má absolutní přednost</w:t>
        </w:r>
      </w:hyperlink>
      <w:r w:rsidR="009925A1">
        <w:rPr>
          <w:rFonts w:asciiTheme="minorHAnsi" w:hAnsiTheme="minorHAnsi" w:cstheme="minorHAnsi"/>
          <w:sz w:val="21"/>
          <w:szCs w:val="21"/>
        </w:rPr>
        <w:t>.</w:t>
      </w:r>
    </w:p>
    <w:p w14:paraId="1DCFF891" w14:textId="77777777" w:rsidR="00B20F7B" w:rsidRPr="00D75E05" w:rsidRDefault="00B20F7B" w:rsidP="00B20F7B">
      <w:pPr>
        <w:spacing w:after="120"/>
        <w:ind w:right="130"/>
        <w:rPr>
          <w:rFonts w:asciiTheme="minorHAnsi" w:hAnsiTheme="minorHAnsi" w:cstheme="minorHAnsi"/>
          <w:sz w:val="21"/>
          <w:szCs w:val="21"/>
        </w:rPr>
      </w:pPr>
      <w:r w:rsidRPr="002749FE">
        <w:rPr>
          <w:rFonts w:asciiTheme="minorHAnsi" w:hAnsiTheme="minorHAnsi" w:cstheme="minorHAnsi"/>
          <w:i/>
          <w:iCs/>
          <w:sz w:val="21"/>
          <w:szCs w:val="21"/>
        </w:rPr>
        <w:t>„Vždy je nutné volat Policii ČR, která zjistí a zkontaktuje majitele zvěře. Jestliže došlo k usmrcení zvířete, přestože by vaše vozidlo bylo téměř nepoškozené, způsobili jste škodu třetí osobě, a to mysliveckému sdružení. Pokuta však v tomto případě nehrozí, srážka se zvěří se považuje za nezaviněnou nehodu. Dále je třeba označit místo nehody, případně pořídit fotodokumentaci. Na sražené zvíře nesahejte, může být agresivní, nemocné nebo vážně raněné. Následně byste měli zkontaktovat asistenční službu. Ta vám mimo jiné zjistí, zda vaše pojištění kryje také náklady na opravu po strážce se zvěří,“</w:t>
      </w:r>
      <w:r w:rsidRPr="002749FE">
        <w:rPr>
          <w:rFonts w:asciiTheme="minorHAnsi" w:hAnsiTheme="minorHAnsi" w:cstheme="minorHAnsi"/>
          <w:sz w:val="21"/>
          <w:szCs w:val="21"/>
        </w:rPr>
        <w:t xml:space="preserve"> </w:t>
      </w:r>
      <w:r>
        <w:rPr>
          <w:rFonts w:asciiTheme="minorHAnsi" w:hAnsiTheme="minorHAnsi" w:cstheme="minorHAnsi"/>
          <w:sz w:val="21"/>
          <w:szCs w:val="21"/>
        </w:rPr>
        <w:t>uzavírá</w:t>
      </w:r>
      <w:r w:rsidRPr="002749FE">
        <w:rPr>
          <w:rFonts w:asciiTheme="minorHAnsi" w:hAnsiTheme="minorHAnsi" w:cstheme="minorHAnsi"/>
          <w:sz w:val="21"/>
          <w:szCs w:val="21"/>
        </w:rPr>
        <w:t xml:space="preserve"> </w:t>
      </w:r>
      <w:r>
        <w:rPr>
          <w:rFonts w:asciiTheme="minorHAnsi" w:hAnsiTheme="minorHAnsi" w:cstheme="minorHAnsi"/>
          <w:b/>
          <w:bCs/>
          <w:sz w:val="21"/>
          <w:szCs w:val="21"/>
        </w:rPr>
        <w:t>Jiří Váchal.</w:t>
      </w:r>
    </w:p>
    <w:p w14:paraId="4E7F8CBF" w14:textId="77777777" w:rsidR="00B20F7B" w:rsidRPr="00AD79CC" w:rsidRDefault="00B20F7B" w:rsidP="00B20F7B">
      <w:pPr>
        <w:pBdr>
          <w:top w:val="single" w:sz="4" w:space="1" w:color="auto"/>
        </w:pBdr>
        <w:spacing w:before="120"/>
        <w:rPr>
          <w:rFonts w:asciiTheme="minorHAnsi" w:hAnsiTheme="minorHAnsi" w:cstheme="minorHAnsi"/>
          <w:color w:val="000000" w:themeColor="text1"/>
          <w:sz w:val="21"/>
          <w:szCs w:val="21"/>
        </w:rPr>
      </w:pPr>
      <w:proofErr w:type="spellStart"/>
      <w:r w:rsidRPr="00AD79CC">
        <w:rPr>
          <w:rFonts w:asciiTheme="minorHAnsi" w:hAnsiTheme="minorHAnsi" w:cstheme="minorHAnsi"/>
          <w:color w:val="000000" w:themeColor="text1"/>
          <w:sz w:val="21"/>
          <w:szCs w:val="21"/>
        </w:rPr>
        <w:t>POVIndex</w:t>
      </w:r>
      <w:proofErr w:type="spellEnd"/>
      <w:r w:rsidRPr="00AD79CC">
        <w:rPr>
          <w:rFonts w:asciiTheme="minorHAnsi" w:hAnsiTheme="minorHAnsi" w:cstheme="minorHAnsi"/>
          <w:color w:val="000000" w:themeColor="text1"/>
          <w:sz w:val="21"/>
          <w:szCs w:val="21"/>
        </w:rPr>
        <w:t xml:space="preserve"> byl poprvé spuštěn v srpnu roku 2019. Od svého počátku sleduje vývoj nákladů na povinné ručení pro řidiče bez historie, ať už se jedná o nového řidiče, nebo o řidiče, který donedávna užíval služební vozidlo. Broker Consulting </w:t>
      </w:r>
      <w:proofErr w:type="spellStart"/>
      <w:r w:rsidRPr="00AD79CC">
        <w:rPr>
          <w:rFonts w:asciiTheme="minorHAnsi" w:hAnsiTheme="minorHAnsi" w:cstheme="minorHAnsi"/>
          <w:color w:val="000000" w:themeColor="text1"/>
          <w:sz w:val="21"/>
          <w:szCs w:val="21"/>
        </w:rPr>
        <w:t>POVIndex</w:t>
      </w:r>
      <w:proofErr w:type="spellEnd"/>
      <w:r w:rsidRPr="00AD79CC">
        <w:rPr>
          <w:rFonts w:asciiTheme="minorHAnsi" w:hAnsiTheme="minorHAnsi" w:cstheme="minorHAnsi"/>
          <w:color w:val="000000" w:themeColor="text1"/>
          <w:sz w:val="21"/>
          <w:szCs w:val="21"/>
        </w:rPr>
        <w:t xml:space="preserve"> je počítán odlišnou metodikou, než jako používá ČKP. Pro vizualizaci je zvolena značka vozu Škoda Octavia 1,6 TDI, 85 kW. </w:t>
      </w:r>
      <w:proofErr w:type="spellStart"/>
      <w:r w:rsidRPr="00AD79CC">
        <w:rPr>
          <w:rFonts w:asciiTheme="minorHAnsi" w:hAnsiTheme="minorHAnsi" w:cstheme="minorHAnsi"/>
          <w:color w:val="000000" w:themeColor="text1"/>
          <w:sz w:val="21"/>
          <w:szCs w:val="21"/>
        </w:rPr>
        <w:t>POVIndex</w:t>
      </w:r>
      <w:proofErr w:type="spellEnd"/>
      <w:r w:rsidRPr="00AD79CC">
        <w:rPr>
          <w:rFonts w:asciiTheme="minorHAnsi" w:hAnsiTheme="minorHAnsi" w:cstheme="minorHAnsi"/>
          <w:color w:val="000000" w:themeColor="text1"/>
          <w:sz w:val="21"/>
          <w:szCs w:val="21"/>
        </w:rPr>
        <w:t xml:space="preserve"> zastupuje běžné vozidlo podobné kubatury a výkonu ve vyšších hodnotách plnění, kdy první hodnota udává limit </w:t>
      </w:r>
      <w:r w:rsidRPr="00AD79CC">
        <w:rPr>
          <w:rFonts w:asciiTheme="minorHAnsi" w:hAnsiTheme="minorHAnsi" w:cstheme="minorHAnsi"/>
          <w:color w:val="000000" w:themeColor="text1"/>
          <w:sz w:val="21"/>
          <w:szCs w:val="21"/>
        </w:rPr>
        <w:lastRenderedPageBreak/>
        <w:t xml:space="preserve">pojistného plnění pro případ škody na zdraví a druhá částka limit pro škody na majetku a ušlém zisku. Index je složen z těchto limitů povinného ručení: 36 % 100mil/100mil, 55 % 150mil/150mil a 9 % 200mil/200mil. V dlouhodobém horizontu lze díky </w:t>
      </w:r>
      <w:proofErr w:type="spellStart"/>
      <w:r w:rsidRPr="00AD79CC">
        <w:rPr>
          <w:rFonts w:asciiTheme="minorHAnsi" w:hAnsiTheme="minorHAnsi" w:cstheme="minorHAnsi"/>
          <w:color w:val="000000" w:themeColor="text1"/>
          <w:sz w:val="21"/>
          <w:szCs w:val="21"/>
        </w:rPr>
        <w:t>POVIndexu</w:t>
      </w:r>
      <w:proofErr w:type="spellEnd"/>
      <w:r w:rsidRPr="00AD79CC">
        <w:rPr>
          <w:rFonts w:asciiTheme="minorHAnsi" w:hAnsiTheme="minorHAnsi" w:cstheme="minorHAnsi"/>
          <w:color w:val="000000" w:themeColor="text1"/>
          <w:sz w:val="21"/>
          <w:szCs w:val="21"/>
        </w:rPr>
        <w:t xml:space="preserve"> sledovat, zda pojišťovny základní sazby u typického vozu spíše zdražují, nebo zlevňují.</w:t>
      </w:r>
    </w:p>
    <w:p w14:paraId="056704B7" w14:textId="10689440" w:rsidR="00B20F7B" w:rsidRDefault="00B20F7B" w:rsidP="00B20F7B">
      <w:pPr>
        <w:pStyle w:val="Zkladntext"/>
        <w:spacing w:before="240" w:line="237" w:lineRule="auto"/>
        <w:rPr>
          <w:rFonts w:asciiTheme="minorHAnsi" w:hAnsiTheme="minorHAnsi" w:cstheme="minorHAnsi"/>
          <w:sz w:val="21"/>
          <w:szCs w:val="21"/>
        </w:rPr>
      </w:pPr>
      <w:r w:rsidRPr="00AD79CC">
        <w:rPr>
          <w:rFonts w:asciiTheme="minorHAnsi" w:hAnsiTheme="minorHAnsi" w:cstheme="minorHAnsi"/>
          <w:b/>
          <w:sz w:val="21"/>
          <w:szCs w:val="21"/>
        </w:rPr>
        <w:t xml:space="preserve">Broker Consulting </w:t>
      </w:r>
      <w:proofErr w:type="spellStart"/>
      <w:r w:rsidRPr="00AD79CC">
        <w:rPr>
          <w:rFonts w:asciiTheme="minorHAnsi" w:hAnsiTheme="minorHAnsi" w:cstheme="minorHAnsi"/>
          <w:b/>
          <w:sz w:val="21"/>
          <w:szCs w:val="21"/>
        </w:rPr>
        <w:t>POVIndex</w:t>
      </w:r>
      <w:proofErr w:type="spellEnd"/>
      <w:r w:rsidRPr="00AD79CC">
        <w:rPr>
          <w:rFonts w:asciiTheme="minorHAnsi" w:hAnsiTheme="minorHAnsi" w:cstheme="minorHAnsi"/>
          <w:sz w:val="21"/>
          <w:szCs w:val="21"/>
        </w:rPr>
        <w:t xml:space="preserve"> je založen na odlišné metodice výpočtu, než jakou používá ČKP. Jeho hodnota nevychází z průměru hodnot celé řady veličin, ale z menšího množství parametrů. </w:t>
      </w:r>
      <w:proofErr w:type="spellStart"/>
      <w:r w:rsidRPr="00AD79CC">
        <w:rPr>
          <w:rFonts w:asciiTheme="minorHAnsi" w:hAnsiTheme="minorHAnsi" w:cstheme="minorHAnsi"/>
          <w:sz w:val="21"/>
          <w:szCs w:val="21"/>
        </w:rPr>
        <w:t>POVIndex</w:t>
      </w:r>
      <w:proofErr w:type="spellEnd"/>
      <w:r w:rsidRPr="00AD79CC">
        <w:rPr>
          <w:rFonts w:asciiTheme="minorHAnsi" w:hAnsiTheme="minorHAnsi" w:cstheme="minorHAnsi"/>
          <w:sz w:val="21"/>
          <w:szCs w:val="21"/>
        </w:rPr>
        <w:t xml:space="preserve"> ukazuje průměrnou cenu za typické povinné ručení pro nový vůz Škoda Octavia 1,6 TDI, 85 kW. Typ vozu byl vybrán proto, že je typickým zástupcem vozů, které používají české domácnosti. Pojištění zahrnutá do </w:t>
      </w:r>
      <w:proofErr w:type="spellStart"/>
      <w:r w:rsidRPr="00AD79CC">
        <w:rPr>
          <w:rFonts w:asciiTheme="minorHAnsi" w:hAnsiTheme="minorHAnsi" w:cstheme="minorHAnsi"/>
          <w:sz w:val="21"/>
          <w:szCs w:val="21"/>
        </w:rPr>
        <w:t>POVIndexu</w:t>
      </w:r>
      <w:proofErr w:type="spellEnd"/>
      <w:r w:rsidRPr="00AD79CC">
        <w:rPr>
          <w:rFonts w:asciiTheme="minorHAnsi" w:hAnsiTheme="minorHAnsi" w:cstheme="minorHAnsi"/>
          <w:sz w:val="21"/>
          <w:szCs w:val="21"/>
        </w:rPr>
        <w:t xml:space="preserve">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0572A7E3" w14:textId="6C510BF2" w:rsidR="00356FFC" w:rsidRPr="00AD79CC" w:rsidRDefault="00356FFC" w:rsidP="00004F71">
      <w:pPr>
        <w:pStyle w:val="Zkladntext"/>
        <w:pBdr>
          <w:bottom w:val="single" w:sz="4" w:space="1" w:color="auto"/>
        </w:pBdr>
        <w:spacing w:line="237" w:lineRule="auto"/>
        <w:rPr>
          <w:rFonts w:ascii="Arial" w:hAnsi="Arial" w:cs="Arial"/>
          <w:b/>
          <w:sz w:val="21"/>
          <w:szCs w:val="21"/>
        </w:rPr>
      </w:pPr>
    </w:p>
    <w:p w14:paraId="549F0D26" w14:textId="1A70BC59" w:rsidR="000E21D2" w:rsidRPr="00AD79CC" w:rsidRDefault="00763554" w:rsidP="00AD2933">
      <w:pPr>
        <w:rPr>
          <w:rFonts w:asciiTheme="minorHAnsi" w:hAnsiTheme="minorHAnsi" w:cstheme="minorHAnsi"/>
          <w:i/>
          <w:color w:val="1D1D1B"/>
          <w:w w:val="105"/>
          <w:sz w:val="21"/>
          <w:szCs w:val="21"/>
        </w:rPr>
      </w:pPr>
      <w:r w:rsidRPr="00AD79CC">
        <w:rPr>
          <w:rFonts w:asciiTheme="minorHAnsi" w:hAnsiTheme="minorHAnsi" w:cstheme="minorHAnsi"/>
          <w:b/>
          <w:sz w:val="21"/>
          <w:szCs w:val="21"/>
        </w:rPr>
        <w:t>Poznámka pro média:</w:t>
      </w:r>
      <w:r w:rsidRPr="00AD79CC">
        <w:rPr>
          <w:rFonts w:asciiTheme="minorHAnsi" w:hAnsiTheme="minorHAnsi" w:cstheme="minorHAnsi"/>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Indexy</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je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možné</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volně</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spacing w:val="2"/>
          <w:w w:val="105"/>
          <w:sz w:val="21"/>
          <w:szCs w:val="21"/>
        </w:rPr>
        <w:t>publikovat</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pouze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s</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označením</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spacing w:val="-3"/>
          <w:w w:val="105"/>
          <w:sz w:val="21"/>
          <w:szCs w:val="21"/>
        </w:rPr>
        <w:t>(</w:t>
      </w:r>
      <w:r w:rsidRPr="00AD79CC">
        <w:rPr>
          <w:rFonts w:asciiTheme="minorHAnsi" w:hAnsiTheme="minorHAnsi" w:cstheme="minorHAnsi"/>
          <w:i/>
          <w:color w:val="1D1D1B"/>
          <w:spacing w:val="-3"/>
          <w:w w:val="105"/>
          <w:sz w:val="21"/>
          <w:szCs w:val="21"/>
        </w:rPr>
        <w:t>např.</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Broker</w:t>
      </w:r>
      <w:r w:rsidRPr="00AD79CC">
        <w:rPr>
          <w:rFonts w:asciiTheme="minorHAnsi" w:hAnsiTheme="minorHAnsi" w:cstheme="minorHAnsi"/>
          <w:i/>
          <w:color w:val="1D1D1B"/>
          <w:spacing w:val="-9"/>
          <w:w w:val="105"/>
          <w:sz w:val="21"/>
          <w:szCs w:val="21"/>
        </w:rPr>
        <w:t xml:space="preserve"> </w:t>
      </w:r>
      <w:r w:rsidRPr="00AD79CC">
        <w:rPr>
          <w:rFonts w:asciiTheme="minorHAnsi" w:hAnsiTheme="minorHAnsi" w:cstheme="minorHAnsi"/>
          <w:i/>
          <w:color w:val="1D1D1B"/>
          <w:w w:val="105"/>
          <w:sz w:val="21"/>
          <w:szCs w:val="21"/>
        </w:rPr>
        <w:t>Consulting</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 xml:space="preserve">Index hypotečních úvěrů). Více informací najdete též na webu </w:t>
      </w:r>
      <w:r w:rsidRPr="00AD79CC">
        <w:rPr>
          <w:rStyle w:val="Hypertextovodkaz"/>
          <w:rFonts w:asciiTheme="minorHAnsi" w:hAnsiTheme="minorHAnsi" w:cstheme="minorHAnsi"/>
          <w:i/>
          <w:w w:val="105"/>
          <w:sz w:val="21"/>
          <w:szCs w:val="21"/>
        </w:rPr>
        <w:t>https://www.bcas.cz/onas/pro-media/</w:t>
      </w:r>
      <w:r w:rsidRPr="00AD79CC">
        <w:rPr>
          <w:rFonts w:asciiTheme="minorHAnsi" w:hAnsiTheme="minorHAnsi" w:cstheme="minorHAnsi"/>
          <w:i/>
          <w:color w:val="1D1D1B"/>
          <w:w w:val="105"/>
          <w:sz w:val="21"/>
          <w:szCs w:val="21"/>
        </w:rPr>
        <w:t xml:space="preserve">. </w:t>
      </w:r>
    </w:p>
    <w:p w14:paraId="71F65714" w14:textId="2F88C0D2" w:rsidR="00B24DBE" w:rsidRPr="00AD79CC" w:rsidRDefault="00B24DBE" w:rsidP="00AD2933">
      <w:pPr>
        <w:rPr>
          <w:rFonts w:asciiTheme="minorHAnsi" w:hAnsiTheme="minorHAnsi" w:cstheme="minorHAnsi"/>
          <w:i/>
          <w:color w:val="1D1D1B"/>
          <w:w w:val="105"/>
          <w:sz w:val="21"/>
          <w:szCs w:val="21"/>
        </w:rPr>
      </w:pPr>
    </w:p>
    <w:p w14:paraId="6C52618D" w14:textId="63EB8F69" w:rsidR="00B24DBE" w:rsidRPr="00AD79CC" w:rsidRDefault="00B24DBE" w:rsidP="00AD2933">
      <w:pPr>
        <w:rPr>
          <w:rStyle w:val="Hypertextovodkaz"/>
          <w:rFonts w:asciiTheme="minorHAnsi" w:hAnsiTheme="minorHAnsi" w:cstheme="minorHAnsi"/>
          <w:w w:val="105"/>
          <w:sz w:val="21"/>
          <w:szCs w:val="21"/>
        </w:rPr>
      </w:pPr>
      <w:r w:rsidRPr="00AD79CC">
        <w:rPr>
          <w:rFonts w:asciiTheme="minorHAnsi" w:hAnsiTheme="minorHAnsi" w:cstheme="minorHAnsi"/>
          <w:b/>
          <w:color w:val="FF0000"/>
          <w:w w:val="105"/>
          <w:sz w:val="21"/>
          <w:szCs w:val="21"/>
        </w:rPr>
        <w:t>Broker Consulting Indexy je nyní možné sledovat v interaktivní formě na webu</w:t>
      </w:r>
      <w:r w:rsidRPr="00AD79CC">
        <w:rPr>
          <w:rFonts w:asciiTheme="minorHAnsi" w:hAnsiTheme="minorHAnsi" w:cstheme="minorHAnsi"/>
          <w:color w:val="1D1D1B"/>
          <w:w w:val="105"/>
          <w:sz w:val="21"/>
          <w:szCs w:val="21"/>
        </w:rPr>
        <w:t xml:space="preserve">. Zde lze zároveň exportovat zdrojová data ke grafům. Vice dostupné na odkaze: </w:t>
      </w:r>
      <w:r w:rsidR="00BB27FC" w:rsidRPr="00AD79CC">
        <w:rPr>
          <w:rFonts w:asciiTheme="minorHAnsi" w:hAnsiTheme="minorHAnsi" w:cstheme="minorHAnsi"/>
          <w:b/>
          <w:i/>
          <w:w w:val="105"/>
          <w:sz w:val="21"/>
          <w:szCs w:val="21"/>
        </w:rPr>
        <w:fldChar w:fldCharType="begin"/>
      </w:r>
      <w:r w:rsidR="00BB27FC" w:rsidRPr="00AD79CC">
        <w:rPr>
          <w:rFonts w:asciiTheme="minorHAnsi" w:hAnsiTheme="minorHAnsi" w:cstheme="minorHAnsi"/>
          <w:b/>
          <w:i/>
          <w:w w:val="105"/>
          <w:sz w:val="21"/>
          <w:szCs w:val="21"/>
        </w:rPr>
        <w:instrText xml:space="preserve"> HYPERLINK "https://www.bcas.cz/o-nas/broker-consulting-povindex/" </w:instrText>
      </w:r>
      <w:r w:rsidR="00BB27FC" w:rsidRPr="00AD79CC">
        <w:rPr>
          <w:rFonts w:asciiTheme="minorHAnsi" w:hAnsiTheme="minorHAnsi" w:cstheme="minorHAnsi"/>
          <w:b/>
          <w:i/>
          <w:w w:val="105"/>
          <w:sz w:val="21"/>
          <w:szCs w:val="21"/>
        </w:rPr>
        <w:fldChar w:fldCharType="separate"/>
      </w:r>
      <w:r w:rsidRPr="00AD79CC">
        <w:rPr>
          <w:rStyle w:val="Hypertextovodkaz"/>
          <w:rFonts w:asciiTheme="minorHAnsi" w:hAnsiTheme="minorHAnsi" w:cstheme="minorHAnsi"/>
          <w:b/>
          <w:i/>
          <w:w w:val="105"/>
          <w:sz w:val="21"/>
          <w:szCs w:val="21"/>
        </w:rPr>
        <w:t>https://www.bcas.cz/o-nas/broker-consulting-povindex/.</w:t>
      </w:r>
    </w:p>
    <w:p w14:paraId="43CFEAAA" w14:textId="552835E9" w:rsidR="000E21D2" w:rsidRPr="00AD79CC" w:rsidRDefault="00BB27FC" w:rsidP="00DE7CE1">
      <w:pPr>
        <w:pStyle w:val="Bezmezer"/>
        <w:rPr>
          <w:rFonts w:eastAsia="F015TEELig" w:cstheme="minorHAnsi"/>
          <w:b/>
          <w:sz w:val="21"/>
          <w:szCs w:val="21"/>
        </w:rPr>
      </w:pPr>
      <w:r w:rsidRPr="00AD79CC">
        <w:rPr>
          <w:rFonts w:eastAsia="F015TEELig" w:cstheme="minorHAnsi"/>
          <w:b/>
          <w:i/>
          <w:w w:val="105"/>
          <w:sz w:val="21"/>
          <w:szCs w:val="21"/>
          <w:lang w:bidi="cs-CZ"/>
        </w:rPr>
        <w:fldChar w:fldCharType="end"/>
      </w:r>
    </w:p>
    <w:p w14:paraId="7966D3DF" w14:textId="74C850C7" w:rsidR="00DE7CE1" w:rsidRPr="00AD79CC" w:rsidRDefault="00866220" w:rsidP="00DE7CE1">
      <w:pPr>
        <w:pStyle w:val="Bezmezer"/>
        <w:rPr>
          <w:rFonts w:eastAsia="F015TEELig" w:cstheme="minorHAnsi"/>
          <w:b/>
          <w:sz w:val="21"/>
          <w:szCs w:val="21"/>
        </w:rPr>
      </w:pPr>
      <w:r w:rsidRPr="00AD79CC">
        <w:rPr>
          <w:rFonts w:eastAsia="F015TEELig" w:cstheme="minorHAnsi"/>
          <w:b/>
          <w:sz w:val="21"/>
          <w:szCs w:val="21"/>
        </w:rPr>
        <w:t>Kontakt pro média:</w:t>
      </w:r>
    </w:p>
    <w:p w14:paraId="2ACFC1DB" w14:textId="7D8BE6BA" w:rsidR="00DE7CE1" w:rsidRPr="00AD79CC" w:rsidRDefault="00236B96" w:rsidP="00DE7CE1">
      <w:pPr>
        <w:pStyle w:val="Bezmezer"/>
        <w:rPr>
          <w:rFonts w:eastAsia="F015TEELig" w:cstheme="minorHAnsi"/>
          <w:sz w:val="21"/>
          <w:szCs w:val="21"/>
        </w:rPr>
      </w:pPr>
      <w:r w:rsidRPr="00AD79CC">
        <w:rPr>
          <w:rFonts w:eastAsia="F015TEELig" w:cstheme="minorHAnsi"/>
          <w:sz w:val="21"/>
          <w:szCs w:val="21"/>
        </w:rPr>
        <w:t>Michaela Sahulová</w:t>
      </w:r>
    </w:p>
    <w:p w14:paraId="3373094C" w14:textId="6E64C468" w:rsidR="00866220" w:rsidRPr="00AD79CC" w:rsidRDefault="00866220" w:rsidP="00DE7CE1">
      <w:pPr>
        <w:pStyle w:val="Bezmezer"/>
        <w:rPr>
          <w:rFonts w:eastAsia="F015TEELig" w:cstheme="minorHAnsi"/>
          <w:sz w:val="21"/>
          <w:szCs w:val="21"/>
        </w:rPr>
      </w:pPr>
      <w:r w:rsidRPr="00AD79CC">
        <w:rPr>
          <w:rFonts w:eastAsia="F015TEELig" w:cstheme="minorHAnsi"/>
          <w:sz w:val="21"/>
          <w:szCs w:val="21"/>
        </w:rPr>
        <w:t>Specialistka PR a externí komunikace</w:t>
      </w:r>
    </w:p>
    <w:p w14:paraId="6FC0F9F5" w14:textId="63340AFC" w:rsidR="004C7BB5" w:rsidRPr="00AD79CC" w:rsidRDefault="00236B96" w:rsidP="00A1017F">
      <w:pPr>
        <w:pStyle w:val="Bezmezer"/>
        <w:rPr>
          <w:rFonts w:eastAsia="F015TEELig" w:cstheme="minorHAnsi"/>
          <w:sz w:val="21"/>
          <w:szCs w:val="21"/>
        </w:rPr>
      </w:pPr>
      <w:r w:rsidRPr="00AD79CC">
        <w:rPr>
          <w:rFonts w:eastAsia="F015TEELig" w:cstheme="minorHAnsi"/>
          <w:sz w:val="21"/>
          <w:szCs w:val="21"/>
        </w:rPr>
        <w:t>Mobil: +420 731 538</w:t>
      </w:r>
      <w:r w:rsidR="005B3E4A" w:rsidRPr="00AD79CC">
        <w:rPr>
          <w:rFonts w:eastAsia="F015TEELig" w:cstheme="minorHAnsi"/>
          <w:sz w:val="21"/>
          <w:szCs w:val="21"/>
        </w:rPr>
        <w:t> </w:t>
      </w:r>
      <w:r w:rsidRPr="00AD79CC">
        <w:rPr>
          <w:rFonts w:eastAsia="F015TEELig" w:cstheme="minorHAnsi"/>
          <w:sz w:val="21"/>
          <w:szCs w:val="21"/>
        </w:rPr>
        <w:t>373</w:t>
      </w:r>
      <w:r w:rsidR="005B3E4A" w:rsidRPr="00AD79CC">
        <w:rPr>
          <w:rFonts w:eastAsia="F015TEELig" w:cstheme="minorHAnsi"/>
          <w:sz w:val="21"/>
          <w:szCs w:val="21"/>
        </w:rPr>
        <w:t>, e</w:t>
      </w:r>
      <w:r w:rsidR="00866220" w:rsidRPr="00AD79CC">
        <w:rPr>
          <w:rFonts w:eastAsia="F015TEELig" w:cstheme="minorHAnsi"/>
          <w:sz w:val="21"/>
          <w:szCs w:val="21"/>
        </w:rPr>
        <w:t>-mail:</w:t>
      </w:r>
      <w:r w:rsidR="00866220" w:rsidRPr="00AD79CC">
        <w:rPr>
          <w:rFonts w:eastAsia="Calibri" w:cstheme="minorHAnsi"/>
          <w:noProof/>
          <w:sz w:val="21"/>
          <w:szCs w:val="21"/>
        </w:rPr>
        <w:t xml:space="preserve"> </w:t>
      </w:r>
      <w:hyperlink r:id="rId18" w:history="1">
        <w:r w:rsidR="005B3DDD" w:rsidRPr="00AD79CC">
          <w:rPr>
            <w:rStyle w:val="Hypertextovodkaz"/>
            <w:rFonts w:eastAsia="Calibri" w:cstheme="minorHAnsi"/>
            <w:noProof/>
            <w:sz w:val="21"/>
            <w:szCs w:val="21"/>
          </w:rPr>
          <w:t>michaela.sahulova@bcas.cz</w:t>
        </w:r>
      </w:hyperlink>
    </w:p>
    <w:sectPr w:rsidR="004C7BB5" w:rsidRPr="00AD79CC" w:rsidSect="006B54C7">
      <w:headerReference w:type="default" r:id="rId19"/>
      <w:footerReference w:type="default" r:id="rId20"/>
      <w:headerReference w:type="first" r:id="rId21"/>
      <w:footerReference w:type="first" r:id="rId22"/>
      <w:type w:val="continuous"/>
      <w:pgSz w:w="11910" w:h="16840"/>
      <w:pgMar w:top="1985" w:right="711" w:bottom="2410" w:left="720"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DF3B29" w14:textId="77777777" w:rsidR="007455AD" w:rsidRDefault="007455AD">
      <w:r>
        <w:separator/>
      </w:r>
    </w:p>
  </w:endnote>
  <w:endnote w:type="continuationSeparator" w:id="0">
    <w:p w14:paraId="19D7ADAD" w14:textId="77777777" w:rsidR="007455AD" w:rsidRDefault="00745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EE"/>
    <w:family w:val="swiss"/>
    <w:pitch w:val="variable"/>
    <w:sig w:usb0="E0002EFF" w:usb1="C000785B"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367749"/>
      <w:docPartObj>
        <w:docPartGallery w:val="Page Numbers (Bottom of Page)"/>
        <w:docPartUnique/>
      </w:docPartObj>
    </w:sdtPr>
    <w:sdtEndPr/>
    <w:sdtContent>
      <w:p w14:paraId="3298633F" w14:textId="55BF8B24" w:rsidR="006B54C7" w:rsidRPr="006B54C7" w:rsidRDefault="006B54C7">
        <w:pPr>
          <w:pStyle w:val="Zpat"/>
          <w:jc w:val="center"/>
          <w:rPr>
            <w:rFonts w:asciiTheme="minorHAnsi" w:hAnsiTheme="minorHAnsi" w:cstheme="minorHAnsi"/>
            <w:sz w:val="20"/>
            <w:szCs w:val="20"/>
          </w:rPr>
        </w:pPr>
        <w:r w:rsidRPr="006B54C7">
          <w:rPr>
            <w:rFonts w:asciiTheme="minorHAnsi" w:hAnsiTheme="minorHAnsi" w:cstheme="minorHAnsi"/>
            <w:sz w:val="20"/>
            <w:szCs w:val="20"/>
          </w:rPr>
          <w:fldChar w:fldCharType="begin"/>
        </w:r>
        <w:r w:rsidRPr="006B54C7">
          <w:rPr>
            <w:rFonts w:asciiTheme="minorHAnsi" w:hAnsiTheme="minorHAnsi" w:cstheme="minorHAnsi"/>
            <w:sz w:val="20"/>
            <w:szCs w:val="20"/>
          </w:rPr>
          <w:instrText>PAGE   \* MERGEFORMAT</w:instrText>
        </w:r>
        <w:r w:rsidRPr="006B54C7">
          <w:rPr>
            <w:rFonts w:asciiTheme="minorHAnsi" w:hAnsiTheme="minorHAnsi" w:cstheme="minorHAnsi"/>
            <w:sz w:val="20"/>
            <w:szCs w:val="20"/>
          </w:rPr>
          <w:fldChar w:fldCharType="separate"/>
        </w:r>
        <w:r w:rsidR="00825B44">
          <w:rPr>
            <w:rFonts w:asciiTheme="minorHAnsi" w:hAnsiTheme="minorHAnsi" w:cstheme="minorHAnsi"/>
            <w:noProof/>
            <w:sz w:val="20"/>
            <w:szCs w:val="20"/>
          </w:rPr>
          <w:t>4</w:t>
        </w:r>
        <w:r w:rsidRPr="006B54C7">
          <w:rPr>
            <w:rFonts w:asciiTheme="minorHAnsi" w:hAnsiTheme="minorHAnsi" w:cstheme="minorHAnsi"/>
            <w:sz w:val="20"/>
            <w:szCs w:val="20"/>
          </w:rPr>
          <w:fldChar w:fldCharType="end"/>
        </w:r>
        <w:r w:rsidRPr="006B54C7">
          <w:rPr>
            <w:rFonts w:asciiTheme="minorHAnsi" w:hAnsiTheme="minorHAnsi" w:cstheme="minorHAnsi"/>
            <w:sz w:val="20"/>
            <w:szCs w:val="20"/>
          </w:rPr>
          <w:t>/3</w:t>
        </w:r>
      </w:p>
      <w:p w14:paraId="5AF2E761" w14:textId="77777777" w:rsidR="006B54C7" w:rsidRDefault="006B54C7">
        <w:pPr>
          <w:pStyle w:val="Zpat"/>
          <w:jc w:val="center"/>
        </w:pPr>
      </w:p>
      <w:p w14:paraId="21AECC00" w14:textId="52E0DABD" w:rsidR="006B54C7" w:rsidRDefault="007455AD">
        <w:pPr>
          <w:pStyle w:val="Zpat"/>
          <w:jc w:val="center"/>
        </w:pPr>
      </w:p>
    </w:sdtContent>
  </w:sdt>
  <w:p w14:paraId="43F5299E" w14:textId="77777777" w:rsidR="00D31127" w:rsidRDefault="00D31127">
    <w:pPr>
      <w:pStyle w:val="Zkladn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520DD9" w14:textId="77777777" w:rsidR="007455AD" w:rsidRDefault="007455AD">
      <w:r>
        <w:separator/>
      </w:r>
    </w:p>
  </w:footnote>
  <w:footnote w:type="continuationSeparator" w:id="0">
    <w:p w14:paraId="23E994BA" w14:textId="77777777" w:rsidR="007455AD" w:rsidRDefault="007455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C8584A" w:rsidRDefault="00B65A3B" w:rsidP="00B65A3B">
    <w:pPr>
      <w:pStyle w:val="Nadpis2"/>
      <w:ind w:left="1440" w:firstLine="720"/>
      <w:rPr>
        <w:rFonts w:asciiTheme="minorHAnsi" w:hAnsiTheme="minorHAnsi" w:cstheme="minorHAnsi"/>
      </w:rPr>
    </w:pPr>
    <w:r w:rsidRPr="00C8584A">
      <w:rPr>
        <w:rFonts w:asciiTheme="minorHAnsi" w:hAnsiTheme="minorHAnsi" w:cstheme="minorHAnsi"/>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C8584A">
      <w:rPr>
        <w:rFonts w:asciiTheme="minorHAnsi" w:hAnsiTheme="minorHAnsi" w:cstheme="minorHAnsi"/>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C8584A">
      <w:rPr>
        <w:rFonts w:asciiTheme="minorHAnsi" w:hAnsiTheme="minorHAnsi" w:cstheme="minorHAnsi"/>
        <w:color w:val="1D1D1B"/>
      </w:rPr>
      <w:t>BROKER CONSULTING</w:t>
    </w:r>
  </w:p>
  <w:p w14:paraId="5006E230" w14:textId="00520F85" w:rsidR="00C8584A" w:rsidRPr="00AD79CC" w:rsidRDefault="00AF0BE0" w:rsidP="00AD79CC">
    <w:pPr>
      <w:spacing w:before="85"/>
      <w:ind w:left="1440" w:firstLine="720"/>
      <w:rPr>
        <w:rFonts w:asciiTheme="minorHAnsi" w:hAnsiTheme="minorHAnsi" w:cstheme="minorHAnsi"/>
        <w:sz w:val="28"/>
        <w:szCs w:val="28"/>
      </w:rPr>
    </w:pPr>
    <w:r w:rsidRPr="00C8584A">
      <w:rPr>
        <w:rFonts w:asciiTheme="minorHAnsi" w:hAnsiTheme="minorHAnsi" w:cstheme="minorHAnsi"/>
        <w:color w:val="E52713"/>
        <w:sz w:val="28"/>
        <w:szCs w:val="28"/>
      </w:rPr>
      <w:t>POV</w:t>
    </w:r>
    <w:r w:rsidR="00B65A3B" w:rsidRPr="00C8584A">
      <w:rPr>
        <w:rFonts w:asciiTheme="minorHAnsi" w:hAnsiTheme="minorHAnsi" w:cstheme="minorHAnsi"/>
        <w:color w:val="E52713"/>
        <w:sz w:val="28"/>
        <w:szCs w:val="28"/>
      </w:rPr>
      <w:t xml:space="preserve">INDEX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3"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0C3309"/>
    <w:multiLevelType w:val="multilevel"/>
    <w:tmpl w:val="22489C7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4"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5" w15:restartNumberingAfterBreak="0">
    <w:nsid w:val="3FCD5F30"/>
    <w:multiLevelType w:val="hybridMultilevel"/>
    <w:tmpl w:val="DA08EB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E273E1"/>
    <w:multiLevelType w:val="multilevel"/>
    <w:tmpl w:val="939A0AD0"/>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8"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7A1A42"/>
    <w:multiLevelType w:val="hybridMultilevel"/>
    <w:tmpl w:val="1CF8DB5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FF6AE4"/>
    <w:multiLevelType w:val="multilevel"/>
    <w:tmpl w:val="55C25D2C"/>
    <w:lvl w:ilvl="0">
      <w:start w:val="1"/>
      <w:numFmt w:val="bullet"/>
      <w:lvlText w:val=""/>
      <w:lvlJc w:val="left"/>
      <w:pPr>
        <w:tabs>
          <w:tab w:val="num" w:pos="360"/>
        </w:tabs>
        <w:ind w:left="360" w:hanging="360"/>
      </w:pPr>
      <w:rPr>
        <w:rFonts w:ascii="Symbol" w:hAnsi="Symbol" w:hint="default"/>
        <w:sz w:val="20"/>
      </w:rPr>
    </w:lvl>
    <w:lvl w:ilvl="1">
      <w:start w:val="4"/>
      <w:numFmt w:val="decimal"/>
      <w:lvlText w:val="%2."/>
      <w:lvlJc w:val="left"/>
      <w:pPr>
        <w:ind w:left="1440" w:hanging="720"/>
      </w:p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59B94970"/>
    <w:multiLevelType w:val="multilevel"/>
    <w:tmpl w:val="396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2"/>
  </w:num>
  <w:num w:numId="3">
    <w:abstractNumId w:val="19"/>
  </w:num>
  <w:num w:numId="4">
    <w:abstractNumId w:val="5"/>
  </w:num>
  <w:num w:numId="5">
    <w:abstractNumId w:val="0"/>
  </w:num>
  <w:num w:numId="6">
    <w:abstractNumId w:val="21"/>
  </w:num>
  <w:num w:numId="7">
    <w:abstractNumId w:val="12"/>
  </w:num>
  <w:num w:numId="8">
    <w:abstractNumId w:val="11"/>
  </w:num>
  <w:num w:numId="9">
    <w:abstractNumId w:val="8"/>
  </w:num>
  <w:num w:numId="10">
    <w:abstractNumId w:val="10"/>
  </w:num>
  <w:num w:numId="11">
    <w:abstractNumId w:val="6"/>
  </w:num>
  <w:num w:numId="12">
    <w:abstractNumId w:val="3"/>
  </w:num>
  <w:num w:numId="13">
    <w:abstractNumId w:val="16"/>
  </w:num>
  <w:num w:numId="14">
    <w:abstractNumId w:val="24"/>
  </w:num>
  <w:num w:numId="15">
    <w:abstractNumId w:val="1"/>
  </w:num>
  <w:num w:numId="16">
    <w:abstractNumId w:val="14"/>
  </w:num>
  <w:num w:numId="17">
    <w:abstractNumId w:val="4"/>
  </w:num>
  <w:num w:numId="18">
    <w:abstractNumId w:val="9"/>
  </w:num>
  <w:num w:numId="19">
    <w:abstractNumId w:val="18"/>
  </w:num>
  <w:num w:numId="20">
    <w:abstractNumId w:val="23"/>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3"/>
      <w:lvl w:ilvl="0">
        <w:start w:val="3"/>
        <w:numFmt w:val="decimal"/>
        <w:lvlText w:val="%1."/>
        <w:lvlJc w:val="left"/>
        <w:pPr>
          <w:ind w:left="0" w:firstLine="0"/>
        </w:pPr>
        <w:rPr>
          <w:b/>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22"/>
    <w:lvlOverride w:ilvl="0"/>
    <w:lvlOverride w:ilvl="1">
      <w:startOverride w:val="4"/>
    </w:lvlOverride>
    <w:lvlOverride w:ilvl="2"/>
    <w:lvlOverride w:ilvl="3"/>
    <w:lvlOverride w:ilvl="4"/>
    <w:lvlOverride w:ilvl="5"/>
    <w:lvlOverride w:ilvl="6"/>
    <w:lvlOverride w:ilvl="7"/>
    <w:lvlOverride w:ilvl="8"/>
  </w:num>
  <w:num w:numId="24">
    <w:abstractNumId w:val="20"/>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4F71"/>
    <w:rsid w:val="000050D4"/>
    <w:rsid w:val="000052D9"/>
    <w:rsid w:val="00005EF0"/>
    <w:rsid w:val="00005FCB"/>
    <w:rsid w:val="00010812"/>
    <w:rsid w:val="000118E9"/>
    <w:rsid w:val="00011BB8"/>
    <w:rsid w:val="00014A3B"/>
    <w:rsid w:val="000153FB"/>
    <w:rsid w:val="00015694"/>
    <w:rsid w:val="0002531C"/>
    <w:rsid w:val="00025983"/>
    <w:rsid w:val="000262FD"/>
    <w:rsid w:val="00026F23"/>
    <w:rsid w:val="00030BBF"/>
    <w:rsid w:val="00031C6E"/>
    <w:rsid w:val="00032AD6"/>
    <w:rsid w:val="00032D94"/>
    <w:rsid w:val="000374D7"/>
    <w:rsid w:val="0004010D"/>
    <w:rsid w:val="00041008"/>
    <w:rsid w:val="0004359F"/>
    <w:rsid w:val="0004360D"/>
    <w:rsid w:val="000504BA"/>
    <w:rsid w:val="0005423A"/>
    <w:rsid w:val="00055470"/>
    <w:rsid w:val="0005574A"/>
    <w:rsid w:val="00056BB7"/>
    <w:rsid w:val="00056ECA"/>
    <w:rsid w:val="00062E18"/>
    <w:rsid w:val="00066A72"/>
    <w:rsid w:val="00067BA6"/>
    <w:rsid w:val="000705A5"/>
    <w:rsid w:val="00070D3C"/>
    <w:rsid w:val="0007198D"/>
    <w:rsid w:val="0007340D"/>
    <w:rsid w:val="00073462"/>
    <w:rsid w:val="00076845"/>
    <w:rsid w:val="00076C44"/>
    <w:rsid w:val="00077CC7"/>
    <w:rsid w:val="0008656E"/>
    <w:rsid w:val="000866C0"/>
    <w:rsid w:val="00086F8F"/>
    <w:rsid w:val="00087124"/>
    <w:rsid w:val="00087D87"/>
    <w:rsid w:val="00090C9C"/>
    <w:rsid w:val="00090F2A"/>
    <w:rsid w:val="00091509"/>
    <w:rsid w:val="00094F77"/>
    <w:rsid w:val="00096AE4"/>
    <w:rsid w:val="000A06EA"/>
    <w:rsid w:val="000A170E"/>
    <w:rsid w:val="000A51D0"/>
    <w:rsid w:val="000A6FB0"/>
    <w:rsid w:val="000A77CE"/>
    <w:rsid w:val="000C1AB4"/>
    <w:rsid w:val="000C32B0"/>
    <w:rsid w:val="000C351D"/>
    <w:rsid w:val="000C38CB"/>
    <w:rsid w:val="000C3C4C"/>
    <w:rsid w:val="000C4DDE"/>
    <w:rsid w:val="000C53D6"/>
    <w:rsid w:val="000C5B38"/>
    <w:rsid w:val="000C7119"/>
    <w:rsid w:val="000C74BD"/>
    <w:rsid w:val="000C7FAE"/>
    <w:rsid w:val="000D11FB"/>
    <w:rsid w:val="000D133F"/>
    <w:rsid w:val="000D2044"/>
    <w:rsid w:val="000D2DDE"/>
    <w:rsid w:val="000D333C"/>
    <w:rsid w:val="000D6870"/>
    <w:rsid w:val="000E21D2"/>
    <w:rsid w:val="000E286C"/>
    <w:rsid w:val="000E36C6"/>
    <w:rsid w:val="000F040D"/>
    <w:rsid w:val="000F1935"/>
    <w:rsid w:val="000F47AE"/>
    <w:rsid w:val="000F56EF"/>
    <w:rsid w:val="000F6249"/>
    <w:rsid w:val="00100869"/>
    <w:rsid w:val="00100CE7"/>
    <w:rsid w:val="0010426A"/>
    <w:rsid w:val="00104FCB"/>
    <w:rsid w:val="00106651"/>
    <w:rsid w:val="00107E00"/>
    <w:rsid w:val="00112F65"/>
    <w:rsid w:val="00114392"/>
    <w:rsid w:val="00114D2B"/>
    <w:rsid w:val="00114D66"/>
    <w:rsid w:val="00114E09"/>
    <w:rsid w:val="00115CF8"/>
    <w:rsid w:val="00116173"/>
    <w:rsid w:val="00116A29"/>
    <w:rsid w:val="00117988"/>
    <w:rsid w:val="0012132F"/>
    <w:rsid w:val="0012713E"/>
    <w:rsid w:val="0013044E"/>
    <w:rsid w:val="00131F7B"/>
    <w:rsid w:val="00133BFD"/>
    <w:rsid w:val="0013512D"/>
    <w:rsid w:val="00136D21"/>
    <w:rsid w:val="00137003"/>
    <w:rsid w:val="00137E3C"/>
    <w:rsid w:val="00141303"/>
    <w:rsid w:val="001434CE"/>
    <w:rsid w:val="0014388A"/>
    <w:rsid w:val="001449CB"/>
    <w:rsid w:val="00146956"/>
    <w:rsid w:val="00150500"/>
    <w:rsid w:val="00152185"/>
    <w:rsid w:val="00152EDC"/>
    <w:rsid w:val="00153161"/>
    <w:rsid w:val="00155667"/>
    <w:rsid w:val="00160060"/>
    <w:rsid w:val="001603AF"/>
    <w:rsid w:val="00164219"/>
    <w:rsid w:val="001722EA"/>
    <w:rsid w:val="00173C9F"/>
    <w:rsid w:val="00174394"/>
    <w:rsid w:val="00176EF9"/>
    <w:rsid w:val="0017797E"/>
    <w:rsid w:val="00177E6B"/>
    <w:rsid w:val="0018139F"/>
    <w:rsid w:val="00181E9B"/>
    <w:rsid w:val="001844F8"/>
    <w:rsid w:val="0018541B"/>
    <w:rsid w:val="00186E95"/>
    <w:rsid w:val="00190C04"/>
    <w:rsid w:val="00193B5D"/>
    <w:rsid w:val="00194628"/>
    <w:rsid w:val="00194A47"/>
    <w:rsid w:val="00197408"/>
    <w:rsid w:val="00197AF4"/>
    <w:rsid w:val="00197DE5"/>
    <w:rsid w:val="001A210B"/>
    <w:rsid w:val="001A4DDB"/>
    <w:rsid w:val="001A54DD"/>
    <w:rsid w:val="001B195D"/>
    <w:rsid w:val="001B1C05"/>
    <w:rsid w:val="001B4EE4"/>
    <w:rsid w:val="001B5A35"/>
    <w:rsid w:val="001B5D34"/>
    <w:rsid w:val="001B79AC"/>
    <w:rsid w:val="001C4A67"/>
    <w:rsid w:val="001C4C44"/>
    <w:rsid w:val="001D2EF2"/>
    <w:rsid w:val="001D3C90"/>
    <w:rsid w:val="001E1593"/>
    <w:rsid w:val="001E265F"/>
    <w:rsid w:val="001E2B55"/>
    <w:rsid w:val="001E2DCC"/>
    <w:rsid w:val="001E4C14"/>
    <w:rsid w:val="001E4D1C"/>
    <w:rsid w:val="001E68DE"/>
    <w:rsid w:val="001F27AC"/>
    <w:rsid w:val="00200F89"/>
    <w:rsid w:val="002018E9"/>
    <w:rsid w:val="00202BE8"/>
    <w:rsid w:val="002108A4"/>
    <w:rsid w:val="00211C5C"/>
    <w:rsid w:val="00214949"/>
    <w:rsid w:val="00214E98"/>
    <w:rsid w:val="00215EF1"/>
    <w:rsid w:val="00215FFE"/>
    <w:rsid w:val="002174D5"/>
    <w:rsid w:val="0022642E"/>
    <w:rsid w:val="002333DA"/>
    <w:rsid w:val="0023472C"/>
    <w:rsid w:val="00235828"/>
    <w:rsid w:val="002365F3"/>
    <w:rsid w:val="00236B96"/>
    <w:rsid w:val="00237068"/>
    <w:rsid w:val="00237B09"/>
    <w:rsid w:val="00237D4E"/>
    <w:rsid w:val="00240BAE"/>
    <w:rsid w:val="00241313"/>
    <w:rsid w:val="00242251"/>
    <w:rsid w:val="002506AD"/>
    <w:rsid w:val="0025264B"/>
    <w:rsid w:val="0025408A"/>
    <w:rsid w:val="00254F1F"/>
    <w:rsid w:val="002555B1"/>
    <w:rsid w:val="00255E96"/>
    <w:rsid w:val="00255FAB"/>
    <w:rsid w:val="00256498"/>
    <w:rsid w:val="002609B2"/>
    <w:rsid w:val="00261C33"/>
    <w:rsid w:val="00261EE7"/>
    <w:rsid w:val="002636B1"/>
    <w:rsid w:val="002665EC"/>
    <w:rsid w:val="00267A14"/>
    <w:rsid w:val="00267AB1"/>
    <w:rsid w:val="00267F28"/>
    <w:rsid w:val="00270DB3"/>
    <w:rsid w:val="00275325"/>
    <w:rsid w:val="002805D4"/>
    <w:rsid w:val="0028080D"/>
    <w:rsid w:val="002812A1"/>
    <w:rsid w:val="00281378"/>
    <w:rsid w:val="0028211A"/>
    <w:rsid w:val="002912BF"/>
    <w:rsid w:val="002928FF"/>
    <w:rsid w:val="0029552F"/>
    <w:rsid w:val="00295CB7"/>
    <w:rsid w:val="00295DB6"/>
    <w:rsid w:val="0029614B"/>
    <w:rsid w:val="002A2FB9"/>
    <w:rsid w:val="002A7348"/>
    <w:rsid w:val="002A7AE9"/>
    <w:rsid w:val="002A7DB8"/>
    <w:rsid w:val="002B053B"/>
    <w:rsid w:val="002B3EE0"/>
    <w:rsid w:val="002B5B4B"/>
    <w:rsid w:val="002B6A48"/>
    <w:rsid w:val="002C0392"/>
    <w:rsid w:val="002C635D"/>
    <w:rsid w:val="002D5492"/>
    <w:rsid w:val="002E2785"/>
    <w:rsid w:val="002E27C5"/>
    <w:rsid w:val="002E2F8E"/>
    <w:rsid w:val="002F0335"/>
    <w:rsid w:val="002F0C79"/>
    <w:rsid w:val="002F5A42"/>
    <w:rsid w:val="002F5A56"/>
    <w:rsid w:val="002F6814"/>
    <w:rsid w:val="002F68D1"/>
    <w:rsid w:val="00301660"/>
    <w:rsid w:val="00302AE6"/>
    <w:rsid w:val="00303223"/>
    <w:rsid w:val="00303C85"/>
    <w:rsid w:val="0030477F"/>
    <w:rsid w:val="00305EA9"/>
    <w:rsid w:val="00307CEB"/>
    <w:rsid w:val="00307D0F"/>
    <w:rsid w:val="00312311"/>
    <w:rsid w:val="003128F8"/>
    <w:rsid w:val="003203FF"/>
    <w:rsid w:val="0032274C"/>
    <w:rsid w:val="00322757"/>
    <w:rsid w:val="00322BE1"/>
    <w:rsid w:val="00325CD8"/>
    <w:rsid w:val="00326268"/>
    <w:rsid w:val="00330918"/>
    <w:rsid w:val="0033104C"/>
    <w:rsid w:val="003404F4"/>
    <w:rsid w:val="00341A59"/>
    <w:rsid w:val="003428A4"/>
    <w:rsid w:val="003450E1"/>
    <w:rsid w:val="003473B3"/>
    <w:rsid w:val="00347557"/>
    <w:rsid w:val="003504FD"/>
    <w:rsid w:val="00352433"/>
    <w:rsid w:val="0035286E"/>
    <w:rsid w:val="00352D61"/>
    <w:rsid w:val="00354DBF"/>
    <w:rsid w:val="00356FFC"/>
    <w:rsid w:val="00363124"/>
    <w:rsid w:val="00374B71"/>
    <w:rsid w:val="00375451"/>
    <w:rsid w:val="00375CF7"/>
    <w:rsid w:val="00381F5F"/>
    <w:rsid w:val="003830B5"/>
    <w:rsid w:val="003863F0"/>
    <w:rsid w:val="00390304"/>
    <w:rsid w:val="0039102F"/>
    <w:rsid w:val="0039395A"/>
    <w:rsid w:val="00395524"/>
    <w:rsid w:val="00397D4B"/>
    <w:rsid w:val="003A4180"/>
    <w:rsid w:val="003A55CE"/>
    <w:rsid w:val="003A76E8"/>
    <w:rsid w:val="003A7C59"/>
    <w:rsid w:val="003A7C9A"/>
    <w:rsid w:val="003B08AC"/>
    <w:rsid w:val="003B4B9E"/>
    <w:rsid w:val="003B54D9"/>
    <w:rsid w:val="003B7BFE"/>
    <w:rsid w:val="003C0030"/>
    <w:rsid w:val="003C4D4B"/>
    <w:rsid w:val="003D03A6"/>
    <w:rsid w:val="003D07A2"/>
    <w:rsid w:val="003D2590"/>
    <w:rsid w:val="003D2CAC"/>
    <w:rsid w:val="003D386F"/>
    <w:rsid w:val="003D43DB"/>
    <w:rsid w:val="003D4C73"/>
    <w:rsid w:val="003D556B"/>
    <w:rsid w:val="003D653E"/>
    <w:rsid w:val="003E2280"/>
    <w:rsid w:val="003E2ADC"/>
    <w:rsid w:val="003E5948"/>
    <w:rsid w:val="003E601E"/>
    <w:rsid w:val="003F38E5"/>
    <w:rsid w:val="003F73C3"/>
    <w:rsid w:val="00401210"/>
    <w:rsid w:val="00404CDA"/>
    <w:rsid w:val="00406B06"/>
    <w:rsid w:val="00410BF5"/>
    <w:rsid w:val="0041222E"/>
    <w:rsid w:val="0041224F"/>
    <w:rsid w:val="004130A2"/>
    <w:rsid w:val="0041452A"/>
    <w:rsid w:val="004151E6"/>
    <w:rsid w:val="00415BA7"/>
    <w:rsid w:val="00416F40"/>
    <w:rsid w:val="00417A8F"/>
    <w:rsid w:val="00417E36"/>
    <w:rsid w:val="00422B4E"/>
    <w:rsid w:val="0042312B"/>
    <w:rsid w:val="004237DE"/>
    <w:rsid w:val="00423B16"/>
    <w:rsid w:val="00423F48"/>
    <w:rsid w:val="0042625B"/>
    <w:rsid w:val="0043207C"/>
    <w:rsid w:val="0043263D"/>
    <w:rsid w:val="004336FA"/>
    <w:rsid w:val="004349B6"/>
    <w:rsid w:val="00436FD5"/>
    <w:rsid w:val="00437639"/>
    <w:rsid w:val="004407C2"/>
    <w:rsid w:val="004413A6"/>
    <w:rsid w:val="00441D22"/>
    <w:rsid w:val="00444BB9"/>
    <w:rsid w:val="00445D0A"/>
    <w:rsid w:val="00447E56"/>
    <w:rsid w:val="00453482"/>
    <w:rsid w:val="00453762"/>
    <w:rsid w:val="00453CFE"/>
    <w:rsid w:val="00457E45"/>
    <w:rsid w:val="00463570"/>
    <w:rsid w:val="00467207"/>
    <w:rsid w:val="0047109D"/>
    <w:rsid w:val="00472B53"/>
    <w:rsid w:val="00474E92"/>
    <w:rsid w:val="00476C23"/>
    <w:rsid w:val="004809C7"/>
    <w:rsid w:val="00483A48"/>
    <w:rsid w:val="0048779A"/>
    <w:rsid w:val="00493430"/>
    <w:rsid w:val="00495519"/>
    <w:rsid w:val="00496EFA"/>
    <w:rsid w:val="004A245D"/>
    <w:rsid w:val="004A2E7A"/>
    <w:rsid w:val="004A3A91"/>
    <w:rsid w:val="004A557B"/>
    <w:rsid w:val="004A7461"/>
    <w:rsid w:val="004B2B01"/>
    <w:rsid w:val="004B4992"/>
    <w:rsid w:val="004B6687"/>
    <w:rsid w:val="004B73DC"/>
    <w:rsid w:val="004C3C0D"/>
    <w:rsid w:val="004C4033"/>
    <w:rsid w:val="004C5298"/>
    <w:rsid w:val="004C5C61"/>
    <w:rsid w:val="004C6594"/>
    <w:rsid w:val="004C7507"/>
    <w:rsid w:val="004C798D"/>
    <w:rsid w:val="004C7BB5"/>
    <w:rsid w:val="004D4111"/>
    <w:rsid w:val="004D52BD"/>
    <w:rsid w:val="004D69FB"/>
    <w:rsid w:val="004E1108"/>
    <w:rsid w:val="004E207F"/>
    <w:rsid w:val="004E3877"/>
    <w:rsid w:val="004E4203"/>
    <w:rsid w:val="004E42A8"/>
    <w:rsid w:val="004F07BC"/>
    <w:rsid w:val="004F0D7B"/>
    <w:rsid w:val="004F0DC0"/>
    <w:rsid w:val="004F2548"/>
    <w:rsid w:val="004F43C7"/>
    <w:rsid w:val="004F5CC5"/>
    <w:rsid w:val="004F63FD"/>
    <w:rsid w:val="0050130C"/>
    <w:rsid w:val="005039B0"/>
    <w:rsid w:val="005058FE"/>
    <w:rsid w:val="00507696"/>
    <w:rsid w:val="005154F9"/>
    <w:rsid w:val="00515C68"/>
    <w:rsid w:val="00520EA0"/>
    <w:rsid w:val="00523BD9"/>
    <w:rsid w:val="00524E33"/>
    <w:rsid w:val="0052644E"/>
    <w:rsid w:val="0052748B"/>
    <w:rsid w:val="005336E7"/>
    <w:rsid w:val="00543BFB"/>
    <w:rsid w:val="00543F98"/>
    <w:rsid w:val="00544F68"/>
    <w:rsid w:val="00547816"/>
    <w:rsid w:val="00552CC5"/>
    <w:rsid w:val="005546DD"/>
    <w:rsid w:val="005613E9"/>
    <w:rsid w:val="00561757"/>
    <w:rsid w:val="00561997"/>
    <w:rsid w:val="00562CA8"/>
    <w:rsid w:val="00562DBA"/>
    <w:rsid w:val="00567402"/>
    <w:rsid w:val="005733BD"/>
    <w:rsid w:val="0057359A"/>
    <w:rsid w:val="00576552"/>
    <w:rsid w:val="005773EE"/>
    <w:rsid w:val="00580B4C"/>
    <w:rsid w:val="00580D50"/>
    <w:rsid w:val="00582565"/>
    <w:rsid w:val="005837F8"/>
    <w:rsid w:val="005853C3"/>
    <w:rsid w:val="00587549"/>
    <w:rsid w:val="00587B4C"/>
    <w:rsid w:val="0059081F"/>
    <w:rsid w:val="00592002"/>
    <w:rsid w:val="00592071"/>
    <w:rsid w:val="00595E44"/>
    <w:rsid w:val="00596E22"/>
    <w:rsid w:val="005973B7"/>
    <w:rsid w:val="00597E85"/>
    <w:rsid w:val="005A5F89"/>
    <w:rsid w:val="005A61D5"/>
    <w:rsid w:val="005A6E1C"/>
    <w:rsid w:val="005A75AE"/>
    <w:rsid w:val="005B015E"/>
    <w:rsid w:val="005B13F7"/>
    <w:rsid w:val="005B32C5"/>
    <w:rsid w:val="005B35D6"/>
    <w:rsid w:val="005B360B"/>
    <w:rsid w:val="005B3DDD"/>
    <w:rsid w:val="005B3E4A"/>
    <w:rsid w:val="005C3043"/>
    <w:rsid w:val="005C42D9"/>
    <w:rsid w:val="005C5A6E"/>
    <w:rsid w:val="005D11F0"/>
    <w:rsid w:val="005D3281"/>
    <w:rsid w:val="005D41E6"/>
    <w:rsid w:val="005D4C94"/>
    <w:rsid w:val="005D5B42"/>
    <w:rsid w:val="005D74FB"/>
    <w:rsid w:val="005D7DFF"/>
    <w:rsid w:val="005E1F28"/>
    <w:rsid w:val="005E443E"/>
    <w:rsid w:val="005E4C96"/>
    <w:rsid w:val="005E60F6"/>
    <w:rsid w:val="005F31C1"/>
    <w:rsid w:val="00601F8F"/>
    <w:rsid w:val="006033BD"/>
    <w:rsid w:val="00605FAF"/>
    <w:rsid w:val="00606B19"/>
    <w:rsid w:val="00606FBC"/>
    <w:rsid w:val="00612B3B"/>
    <w:rsid w:val="006156DC"/>
    <w:rsid w:val="00623B26"/>
    <w:rsid w:val="00624C21"/>
    <w:rsid w:val="00625503"/>
    <w:rsid w:val="00630C55"/>
    <w:rsid w:val="00633924"/>
    <w:rsid w:val="00640494"/>
    <w:rsid w:val="00646D74"/>
    <w:rsid w:val="00650902"/>
    <w:rsid w:val="0065153C"/>
    <w:rsid w:val="00651D03"/>
    <w:rsid w:val="0065506F"/>
    <w:rsid w:val="006618CF"/>
    <w:rsid w:val="006620C8"/>
    <w:rsid w:val="006652BA"/>
    <w:rsid w:val="00667000"/>
    <w:rsid w:val="006676D9"/>
    <w:rsid w:val="00672555"/>
    <w:rsid w:val="00673898"/>
    <w:rsid w:val="00674094"/>
    <w:rsid w:val="0067482F"/>
    <w:rsid w:val="00675503"/>
    <w:rsid w:val="00681C83"/>
    <w:rsid w:val="00682B2C"/>
    <w:rsid w:val="006849F6"/>
    <w:rsid w:val="00684B75"/>
    <w:rsid w:val="00684BC2"/>
    <w:rsid w:val="00684D30"/>
    <w:rsid w:val="006856FF"/>
    <w:rsid w:val="006863D8"/>
    <w:rsid w:val="00686B26"/>
    <w:rsid w:val="00690AD8"/>
    <w:rsid w:val="00695734"/>
    <w:rsid w:val="00695EEC"/>
    <w:rsid w:val="006A20B3"/>
    <w:rsid w:val="006B0FE8"/>
    <w:rsid w:val="006B1609"/>
    <w:rsid w:val="006B2ABD"/>
    <w:rsid w:val="006B3946"/>
    <w:rsid w:val="006B54C7"/>
    <w:rsid w:val="006B7033"/>
    <w:rsid w:val="006B7FBE"/>
    <w:rsid w:val="006C2E50"/>
    <w:rsid w:val="006C53A7"/>
    <w:rsid w:val="006C6246"/>
    <w:rsid w:val="006C7AE7"/>
    <w:rsid w:val="006D5A9A"/>
    <w:rsid w:val="006E15E4"/>
    <w:rsid w:val="006E1F02"/>
    <w:rsid w:val="006E3397"/>
    <w:rsid w:val="006F11BD"/>
    <w:rsid w:val="006F3882"/>
    <w:rsid w:val="006F4BEB"/>
    <w:rsid w:val="006F6676"/>
    <w:rsid w:val="007001E0"/>
    <w:rsid w:val="007123C2"/>
    <w:rsid w:val="0071316F"/>
    <w:rsid w:val="007136E6"/>
    <w:rsid w:val="00720E37"/>
    <w:rsid w:val="00720FC0"/>
    <w:rsid w:val="0072349E"/>
    <w:rsid w:val="007238DB"/>
    <w:rsid w:val="00724536"/>
    <w:rsid w:val="007253E3"/>
    <w:rsid w:val="007255CD"/>
    <w:rsid w:val="007318BA"/>
    <w:rsid w:val="007334EA"/>
    <w:rsid w:val="00735F36"/>
    <w:rsid w:val="00737025"/>
    <w:rsid w:val="00737A54"/>
    <w:rsid w:val="00737FB2"/>
    <w:rsid w:val="00741E4A"/>
    <w:rsid w:val="007437EE"/>
    <w:rsid w:val="00744F5A"/>
    <w:rsid w:val="007455AD"/>
    <w:rsid w:val="00746E66"/>
    <w:rsid w:val="00747F40"/>
    <w:rsid w:val="0075063F"/>
    <w:rsid w:val="007605C8"/>
    <w:rsid w:val="00763554"/>
    <w:rsid w:val="00764614"/>
    <w:rsid w:val="0076526B"/>
    <w:rsid w:val="007652AE"/>
    <w:rsid w:val="007677BE"/>
    <w:rsid w:val="00767FF2"/>
    <w:rsid w:val="007707AA"/>
    <w:rsid w:val="0077224E"/>
    <w:rsid w:val="00781039"/>
    <w:rsid w:val="007825E8"/>
    <w:rsid w:val="00790246"/>
    <w:rsid w:val="00792A34"/>
    <w:rsid w:val="00793C25"/>
    <w:rsid w:val="007A1136"/>
    <w:rsid w:val="007A5C4C"/>
    <w:rsid w:val="007B0579"/>
    <w:rsid w:val="007B41A6"/>
    <w:rsid w:val="007B6AD8"/>
    <w:rsid w:val="007B6D97"/>
    <w:rsid w:val="007B7906"/>
    <w:rsid w:val="007D14DF"/>
    <w:rsid w:val="007D22BA"/>
    <w:rsid w:val="007D3AB9"/>
    <w:rsid w:val="007D3C35"/>
    <w:rsid w:val="007D42A1"/>
    <w:rsid w:val="007D441F"/>
    <w:rsid w:val="007D4868"/>
    <w:rsid w:val="007D4A60"/>
    <w:rsid w:val="007D7BA6"/>
    <w:rsid w:val="007E0AC1"/>
    <w:rsid w:val="007E30B0"/>
    <w:rsid w:val="007E37C0"/>
    <w:rsid w:val="007E5598"/>
    <w:rsid w:val="007E6279"/>
    <w:rsid w:val="007F2249"/>
    <w:rsid w:val="007F28B9"/>
    <w:rsid w:val="007F6C2A"/>
    <w:rsid w:val="008001D1"/>
    <w:rsid w:val="008008D4"/>
    <w:rsid w:val="008020D3"/>
    <w:rsid w:val="008043AE"/>
    <w:rsid w:val="00804869"/>
    <w:rsid w:val="00804908"/>
    <w:rsid w:val="0080704C"/>
    <w:rsid w:val="00807BBD"/>
    <w:rsid w:val="00811A5D"/>
    <w:rsid w:val="008120DB"/>
    <w:rsid w:val="00813665"/>
    <w:rsid w:val="00814698"/>
    <w:rsid w:val="0081479B"/>
    <w:rsid w:val="00815ECC"/>
    <w:rsid w:val="00823D56"/>
    <w:rsid w:val="00825B44"/>
    <w:rsid w:val="00825DEB"/>
    <w:rsid w:val="0083062A"/>
    <w:rsid w:val="00831D49"/>
    <w:rsid w:val="0083210B"/>
    <w:rsid w:val="0083386C"/>
    <w:rsid w:val="008355CE"/>
    <w:rsid w:val="00835736"/>
    <w:rsid w:val="00836DF0"/>
    <w:rsid w:val="00837AF9"/>
    <w:rsid w:val="00850F9B"/>
    <w:rsid w:val="00853260"/>
    <w:rsid w:val="00854470"/>
    <w:rsid w:val="00861B39"/>
    <w:rsid w:val="00864D3B"/>
    <w:rsid w:val="00866220"/>
    <w:rsid w:val="008672D5"/>
    <w:rsid w:val="00870A8D"/>
    <w:rsid w:val="00871D8A"/>
    <w:rsid w:val="00873067"/>
    <w:rsid w:val="0087448C"/>
    <w:rsid w:val="00874C32"/>
    <w:rsid w:val="00874E79"/>
    <w:rsid w:val="00876E01"/>
    <w:rsid w:val="00880D87"/>
    <w:rsid w:val="00881B29"/>
    <w:rsid w:val="00882EAC"/>
    <w:rsid w:val="0088428C"/>
    <w:rsid w:val="00884340"/>
    <w:rsid w:val="00886394"/>
    <w:rsid w:val="00887004"/>
    <w:rsid w:val="00892BA9"/>
    <w:rsid w:val="008968E9"/>
    <w:rsid w:val="008A04D3"/>
    <w:rsid w:val="008A3D7F"/>
    <w:rsid w:val="008A3E3B"/>
    <w:rsid w:val="008A4334"/>
    <w:rsid w:val="008A4374"/>
    <w:rsid w:val="008B0E70"/>
    <w:rsid w:val="008B3C30"/>
    <w:rsid w:val="008B5577"/>
    <w:rsid w:val="008C2161"/>
    <w:rsid w:val="008C3AC7"/>
    <w:rsid w:val="008C47FA"/>
    <w:rsid w:val="008C5342"/>
    <w:rsid w:val="008C692E"/>
    <w:rsid w:val="008C7230"/>
    <w:rsid w:val="008C7A52"/>
    <w:rsid w:val="008D26B6"/>
    <w:rsid w:val="008D26CF"/>
    <w:rsid w:val="008D368D"/>
    <w:rsid w:val="008D4344"/>
    <w:rsid w:val="008D4839"/>
    <w:rsid w:val="008E0C1C"/>
    <w:rsid w:val="008E45B5"/>
    <w:rsid w:val="008E4A71"/>
    <w:rsid w:val="008E5FF5"/>
    <w:rsid w:val="008F0075"/>
    <w:rsid w:val="008F2D3E"/>
    <w:rsid w:val="008F30F4"/>
    <w:rsid w:val="008F7F4E"/>
    <w:rsid w:val="00904B90"/>
    <w:rsid w:val="00906147"/>
    <w:rsid w:val="00907B68"/>
    <w:rsid w:val="009111C1"/>
    <w:rsid w:val="009130AC"/>
    <w:rsid w:val="0091561E"/>
    <w:rsid w:val="00915ADA"/>
    <w:rsid w:val="00917467"/>
    <w:rsid w:val="00922831"/>
    <w:rsid w:val="00922872"/>
    <w:rsid w:val="00924030"/>
    <w:rsid w:val="0093538A"/>
    <w:rsid w:val="009362DC"/>
    <w:rsid w:val="009365EB"/>
    <w:rsid w:val="00936F1B"/>
    <w:rsid w:val="00937D6D"/>
    <w:rsid w:val="00937EF5"/>
    <w:rsid w:val="00940EA3"/>
    <w:rsid w:val="00943C72"/>
    <w:rsid w:val="00947A3E"/>
    <w:rsid w:val="00947E0F"/>
    <w:rsid w:val="00950337"/>
    <w:rsid w:val="009509CC"/>
    <w:rsid w:val="00951DB8"/>
    <w:rsid w:val="0095216F"/>
    <w:rsid w:val="0095680F"/>
    <w:rsid w:val="00956932"/>
    <w:rsid w:val="00956A25"/>
    <w:rsid w:val="00960235"/>
    <w:rsid w:val="009607E3"/>
    <w:rsid w:val="009612EF"/>
    <w:rsid w:val="00961316"/>
    <w:rsid w:val="00962D05"/>
    <w:rsid w:val="00963043"/>
    <w:rsid w:val="009634C8"/>
    <w:rsid w:val="0096488C"/>
    <w:rsid w:val="00965007"/>
    <w:rsid w:val="0096518D"/>
    <w:rsid w:val="0096547A"/>
    <w:rsid w:val="00967EDE"/>
    <w:rsid w:val="009706CE"/>
    <w:rsid w:val="00974A2D"/>
    <w:rsid w:val="0097633B"/>
    <w:rsid w:val="00976A70"/>
    <w:rsid w:val="00977B31"/>
    <w:rsid w:val="00982774"/>
    <w:rsid w:val="00982991"/>
    <w:rsid w:val="00983C40"/>
    <w:rsid w:val="00984D4F"/>
    <w:rsid w:val="00986C46"/>
    <w:rsid w:val="009911D2"/>
    <w:rsid w:val="009925A1"/>
    <w:rsid w:val="009A1543"/>
    <w:rsid w:val="009A315A"/>
    <w:rsid w:val="009A36FD"/>
    <w:rsid w:val="009A3C36"/>
    <w:rsid w:val="009A40CA"/>
    <w:rsid w:val="009A6BB3"/>
    <w:rsid w:val="009B4FF9"/>
    <w:rsid w:val="009C0793"/>
    <w:rsid w:val="009C0ECA"/>
    <w:rsid w:val="009C138D"/>
    <w:rsid w:val="009C1B84"/>
    <w:rsid w:val="009C365B"/>
    <w:rsid w:val="009C535B"/>
    <w:rsid w:val="009C5C65"/>
    <w:rsid w:val="009C7478"/>
    <w:rsid w:val="009D23D9"/>
    <w:rsid w:val="009D2988"/>
    <w:rsid w:val="009D3BDF"/>
    <w:rsid w:val="009D556F"/>
    <w:rsid w:val="009D66DF"/>
    <w:rsid w:val="009D6FFC"/>
    <w:rsid w:val="009E3060"/>
    <w:rsid w:val="009E317D"/>
    <w:rsid w:val="009E6ADA"/>
    <w:rsid w:val="009F0FAC"/>
    <w:rsid w:val="009F2CB2"/>
    <w:rsid w:val="009F42D5"/>
    <w:rsid w:val="009F59EE"/>
    <w:rsid w:val="00A00614"/>
    <w:rsid w:val="00A0626C"/>
    <w:rsid w:val="00A06687"/>
    <w:rsid w:val="00A0680F"/>
    <w:rsid w:val="00A07B57"/>
    <w:rsid w:val="00A1017F"/>
    <w:rsid w:val="00A11002"/>
    <w:rsid w:val="00A12D97"/>
    <w:rsid w:val="00A145E2"/>
    <w:rsid w:val="00A15C5F"/>
    <w:rsid w:val="00A1706A"/>
    <w:rsid w:val="00A17595"/>
    <w:rsid w:val="00A2129E"/>
    <w:rsid w:val="00A22380"/>
    <w:rsid w:val="00A267CE"/>
    <w:rsid w:val="00A3119E"/>
    <w:rsid w:val="00A3163A"/>
    <w:rsid w:val="00A34404"/>
    <w:rsid w:val="00A345F7"/>
    <w:rsid w:val="00A351F4"/>
    <w:rsid w:val="00A35204"/>
    <w:rsid w:val="00A35900"/>
    <w:rsid w:val="00A36D79"/>
    <w:rsid w:val="00A371A8"/>
    <w:rsid w:val="00A401A3"/>
    <w:rsid w:val="00A4441D"/>
    <w:rsid w:val="00A51DB8"/>
    <w:rsid w:val="00A526C9"/>
    <w:rsid w:val="00A52E40"/>
    <w:rsid w:val="00A553F8"/>
    <w:rsid w:val="00A644DF"/>
    <w:rsid w:val="00A661EE"/>
    <w:rsid w:val="00A672EA"/>
    <w:rsid w:val="00A67865"/>
    <w:rsid w:val="00A706DB"/>
    <w:rsid w:val="00A75581"/>
    <w:rsid w:val="00A80A8B"/>
    <w:rsid w:val="00A82D27"/>
    <w:rsid w:val="00A85069"/>
    <w:rsid w:val="00A86EF2"/>
    <w:rsid w:val="00A902B4"/>
    <w:rsid w:val="00A93669"/>
    <w:rsid w:val="00A969E4"/>
    <w:rsid w:val="00A973F9"/>
    <w:rsid w:val="00AA0C1B"/>
    <w:rsid w:val="00AA104C"/>
    <w:rsid w:val="00AA13C3"/>
    <w:rsid w:val="00AA1EF9"/>
    <w:rsid w:val="00AA3C5C"/>
    <w:rsid w:val="00AA58B4"/>
    <w:rsid w:val="00AB5C28"/>
    <w:rsid w:val="00AC0B97"/>
    <w:rsid w:val="00AC0F4F"/>
    <w:rsid w:val="00AC14FC"/>
    <w:rsid w:val="00AC1B87"/>
    <w:rsid w:val="00AC1E03"/>
    <w:rsid w:val="00AC3155"/>
    <w:rsid w:val="00AC4CEE"/>
    <w:rsid w:val="00AD0B09"/>
    <w:rsid w:val="00AD2933"/>
    <w:rsid w:val="00AD3089"/>
    <w:rsid w:val="00AD79CC"/>
    <w:rsid w:val="00AE4CC4"/>
    <w:rsid w:val="00AE662F"/>
    <w:rsid w:val="00AE7AFA"/>
    <w:rsid w:val="00AF080F"/>
    <w:rsid w:val="00AF0BE0"/>
    <w:rsid w:val="00AF2D1B"/>
    <w:rsid w:val="00AF5FA6"/>
    <w:rsid w:val="00B00B35"/>
    <w:rsid w:val="00B012F6"/>
    <w:rsid w:val="00B03608"/>
    <w:rsid w:val="00B04D58"/>
    <w:rsid w:val="00B0598D"/>
    <w:rsid w:val="00B05BB0"/>
    <w:rsid w:val="00B066DB"/>
    <w:rsid w:val="00B07063"/>
    <w:rsid w:val="00B0741A"/>
    <w:rsid w:val="00B13DF1"/>
    <w:rsid w:val="00B14797"/>
    <w:rsid w:val="00B1561F"/>
    <w:rsid w:val="00B15FD4"/>
    <w:rsid w:val="00B177AF"/>
    <w:rsid w:val="00B17AD8"/>
    <w:rsid w:val="00B20F7B"/>
    <w:rsid w:val="00B21A92"/>
    <w:rsid w:val="00B21D7F"/>
    <w:rsid w:val="00B2288F"/>
    <w:rsid w:val="00B244B9"/>
    <w:rsid w:val="00B24AB2"/>
    <w:rsid w:val="00B24DBE"/>
    <w:rsid w:val="00B26C1E"/>
    <w:rsid w:val="00B278D2"/>
    <w:rsid w:val="00B30195"/>
    <w:rsid w:val="00B3074F"/>
    <w:rsid w:val="00B3103A"/>
    <w:rsid w:val="00B3354F"/>
    <w:rsid w:val="00B34562"/>
    <w:rsid w:val="00B41012"/>
    <w:rsid w:val="00B45ED0"/>
    <w:rsid w:val="00B45F71"/>
    <w:rsid w:val="00B46015"/>
    <w:rsid w:val="00B475E1"/>
    <w:rsid w:val="00B51F3C"/>
    <w:rsid w:val="00B5230B"/>
    <w:rsid w:val="00B52B36"/>
    <w:rsid w:val="00B55F72"/>
    <w:rsid w:val="00B564A6"/>
    <w:rsid w:val="00B6512E"/>
    <w:rsid w:val="00B65A3B"/>
    <w:rsid w:val="00B676E6"/>
    <w:rsid w:val="00B67D59"/>
    <w:rsid w:val="00B708C9"/>
    <w:rsid w:val="00B70A80"/>
    <w:rsid w:val="00B7116F"/>
    <w:rsid w:val="00B712F8"/>
    <w:rsid w:val="00B714D3"/>
    <w:rsid w:val="00B7285B"/>
    <w:rsid w:val="00B74D65"/>
    <w:rsid w:val="00B76BBE"/>
    <w:rsid w:val="00B76DDA"/>
    <w:rsid w:val="00B777C3"/>
    <w:rsid w:val="00B80003"/>
    <w:rsid w:val="00B81F38"/>
    <w:rsid w:val="00B82BA4"/>
    <w:rsid w:val="00B84690"/>
    <w:rsid w:val="00B86D21"/>
    <w:rsid w:val="00B92DE5"/>
    <w:rsid w:val="00B95EBA"/>
    <w:rsid w:val="00BA29AE"/>
    <w:rsid w:val="00BA6059"/>
    <w:rsid w:val="00BA6DBC"/>
    <w:rsid w:val="00BA6DD7"/>
    <w:rsid w:val="00BA7E4C"/>
    <w:rsid w:val="00BB0801"/>
    <w:rsid w:val="00BB1BAE"/>
    <w:rsid w:val="00BB27FC"/>
    <w:rsid w:val="00BB5F03"/>
    <w:rsid w:val="00BC10FE"/>
    <w:rsid w:val="00BC1BA1"/>
    <w:rsid w:val="00BC30D1"/>
    <w:rsid w:val="00BC43C3"/>
    <w:rsid w:val="00BD0305"/>
    <w:rsid w:val="00BD18EA"/>
    <w:rsid w:val="00BD25BD"/>
    <w:rsid w:val="00BD26AB"/>
    <w:rsid w:val="00BD4FB4"/>
    <w:rsid w:val="00BD56CC"/>
    <w:rsid w:val="00BD6A7F"/>
    <w:rsid w:val="00BD7095"/>
    <w:rsid w:val="00BE127F"/>
    <w:rsid w:val="00BE34DD"/>
    <w:rsid w:val="00BE7D75"/>
    <w:rsid w:val="00BF02EE"/>
    <w:rsid w:val="00BF0F80"/>
    <w:rsid w:val="00BF1CB0"/>
    <w:rsid w:val="00BF3B93"/>
    <w:rsid w:val="00BF3C3D"/>
    <w:rsid w:val="00BF4FA6"/>
    <w:rsid w:val="00BF5DE1"/>
    <w:rsid w:val="00BF69D4"/>
    <w:rsid w:val="00C00860"/>
    <w:rsid w:val="00C0488B"/>
    <w:rsid w:val="00C05509"/>
    <w:rsid w:val="00C12B80"/>
    <w:rsid w:val="00C1553C"/>
    <w:rsid w:val="00C16738"/>
    <w:rsid w:val="00C16A07"/>
    <w:rsid w:val="00C213F3"/>
    <w:rsid w:val="00C2196C"/>
    <w:rsid w:val="00C25196"/>
    <w:rsid w:val="00C25A49"/>
    <w:rsid w:val="00C30103"/>
    <w:rsid w:val="00C306CA"/>
    <w:rsid w:val="00C35BFC"/>
    <w:rsid w:val="00C36244"/>
    <w:rsid w:val="00C362AF"/>
    <w:rsid w:val="00C36818"/>
    <w:rsid w:val="00C36AC8"/>
    <w:rsid w:val="00C36E73"/>
    <w:rsid w:val="00C40157"/>
    <w:rsid w:val="00C42096"/>
    <w:rsid w:val="00C45232"/>
    <w:rsid w:val="00C4735A"/>
    <w:rsid w:val="00C503A0"/>
    <w:rsid w:val="00C505D4"/>
    <w:rsid w:val="00C50A39"/>
    <w:rsid w:val="00C51E90"/>
    <w:rsid w:val="00C53ECE"/>
    <w:rsid w:val="00C55E4E"/>
    <w:rsid w:val="00C5726E"/>
    <w:rsid w:val="00C6048F"/>
    <w:rsid w:val="00C607F2"/>
    <w:rsid w:val="00C61777"/>
    <w:rsid w:val="00C639A8"/>
    <w:rsid w:val="00C63DF0"/>
    <w:rsid w:val="00C63E32"/>
    <w:rsid w:val="00C64B40"/>
    <w:rsid w:val="00C650DB"/>
    <w:rsid w:val="00C653C3"/>
    <w:rsid w:val="00C7180F"/>
    <w:rsid w:val="00C72C9B"/>
    <w:rsid w:val="00C73FC6"/>
    <w:rsid w:val="00C741D3"/>
    <w:rsid w:val="00C7462C"/>
    <w:rsid w:val="00C805AC"/>
    <w:rsid w:val="00C85300"/>
    <w:rsid w:val="00C8584A"/>
    <w:rsid w:val="00C85AB7"/>
    <w:rsid w:val="00C86EBC"/>
    <w:rsid w:val="00C91F7F"/>
    <w:rsid w:val="00CA3FE4"/>
    <w:rsid w:val="00CA5FC8"/>
    <w:rsid w:val="00CB1985"/>
    <w:rsid w:val="00CB40F4"/>
    <w:rsid w:val="00CB7416"/>
    <w:rsid w:val="00CC04E3"/>
    <w:rsid w:val="00CC32D9"/>
    <w:rsid w:val="00CC45E5"/>
    <w:rsid w:val="00CC5BEB"/>
    <w:rsid w:val="00CC60A9"/>
    <w:rsid w:val="00CC7C89"/>
    <w:rsid w:val="00CD1C31"/>
    <w:rsid w:val="00CD2522"/>
    <w:rsid w:val="00CD3324"/>
    <w:rsid w:val="00CD3C1E"/>
    <w:rsid w:val="00CD4B4B"/>
    <w:rsid w:val="00CD6EEC"/>
    <w:rsid w:val="00CE2578"/>
    <w:rsid w:val="00CE3577"/>
    <w:rsid w:val="00CF10DA"/>
    <w:rsid w:val="00CF2718"/>
    <w:rsid w:val="00CF3762"/>
    <w:rsid w:val="00CF7691"/>
    <w:rsid w:val="00D01461"/>
    <w:rsid w:val="00D01832"/>
    <w:rsid w:val="00D04122"/>
    <w:rsid w:val="00D047B7"/>
    <w:rsid w:val="00D11870"/>
    <w:rsid w:val="00D132FF"/>
    <w:rsid w:val="00D15557"/>
    <w:rsid w:val="00D15686"/>
    <w:rsid w:val="00D16F9E"/>
    <w:rsid w:val="00D21B27"/>
    <w:rsid w:val="00D223BF"/>
    <w:rsid w:val="00D2253B"/>
    <w:rsid w:val="00D22A67"/>
    <w:rsid w:val="00D245D2"/>
    <w:rsid w:val="00D25B0B"/>
    <w:rsid w:val="00D31127"/>
    <w:rsid w:val="00D31386"/>
    <w:rsid w:val="00D31FA8"/>
    <w:rsid w:val="00D3396D"/>
    <w:rsid w:val="00D3397B"/>
    <w:rsid w:val="00D3569B"/>
    <w:rsid w:val="00D35A90"/>
    <w:rsid w:val="00D36065"/>
    <w:rsid w:val="00D40D11"/>
    <w:rsid w:val="00D423AD"/>
    <w:rsid w:val="00D46528"/>
    <w:rsid w:val="00D46587"/>
    <w:rsid w:val="00D46E13"/>
    <w:rsid w:val="00D4733D"/>
    <w:rsid w:val="00D53085"/>
    <w:rsid w:val="00D532C1"/>
    <w:rsid w:val="00D57146"/>
    <w:rsid w:val="00D618AD"/>
    <w:rsid w:val="00D63DD3"/>
    <w:rsid w:val="00D6464D"/>
    <w:rsid w:val="00D72895"/>
    <w:rsid w:val="00D76F6E"/>
    <w:rsid w:val="00D777C9"/>
    <w:rsid w:val="00D77E6E"/>
    <w:rsid w:val="00D80B6D"/>
    <w:rsid w:val="00D82E2D"/>
    <w:rsid w:val="00D8513A"/>
    <w:rsid w:val="00D87CCE"/>
    <w:rsid w:val="00D9306C"/>
    <w:rsid w:val="00DA087D"/>
    <w:rsid w:val="00DA1662"/>
    <w:rsid w:val="00DA327C"/>
    <w:rsid w:val="00DA576C"/>
    <w:rsid w:val="00DA6D6A"/>
    <w:rsid w:val="00DA7689"/>
    <w:rsid w:val="00DA78FC"/>
    <w:rsid w:val="00DB270B"/>
    <w:rsid w:val="00DB365A"/>
    <w:rsid w:val="00DB4335"/>
    <w:rsid w:val="00DB7664"/>
    <w:rsid w:val="00DC1FA8"/>
    <w:rsid w:val="00DC2A4B"/>
    <w:rsid w:val="00DC6476"/>
    <w:rsid w:val="00DC6AB6"/>
    <w:rsid w:val="00DD1EC1"/>
    <w:rsid w:val="00DD5E05"/>
    <w:rsid w:val="00DE17B0"/>
    <w:rsid w:val="00DE36DE"/>
    <w:rsid w:val="00DE448F"/>
    <w:rsid w:val="00DE75F4"/>
    <w:rsid w:val="00DE7686"/>
    <w:rsid w:val="00DE7CE1"/>
    <w:rsid w:val="00DF006F"/>
    <w:rsid w:val="00DF1F56"/>
    <w:rsid w:val="00DF296C"/>
    <w:rsid w:val="00DF2A53"/>
    <w:rsid w:val="00DF388B"/>
    <w:rsid w:val="00DF5E95"/>
    <w:rsid w:val="00E02125"/>
    <w:rsid w:val="00E04F24"/>
    <w:rsid w:val="00E04F7B"/>
    <w:rsid w:val="00E06CEA"/>
    <w:rsid w:val="00E11435"/>
    <w:rsid w:val="00E121F2"/>
    <w:rsid w:val="00E166F1"/>
    <w:rsid w:val="00E16928"/>
    <w:rsid w:val="00E16FE8"/>
    <w:rsid w:val="00E17539"/>
    <w:rsid w:val="00E23F1D"/>
    <w:rsid w:val="00E24FED"/>
    <w:rsid w:val="00E25085"/>
    <w:rsid w:val="00E343B0"/>
    <w:rsid w:val="00E364A9"/>
    <w:rsid w:val="00E36E36"/>
    <w:rsid w:val="00E400AA"/>
    <w:rsid w:val="00E40BF0"/>
    <w:rsid w:val="00E42149"/>
    <w:rsid w:val="00E4768E"/>
    <w:rsid w:val="00E47BA7"/>
    <w:rsid w:val="00E515C8"/>
    <w:rsid w:val="00E53945"/>
    <w:rsid w:val="00E5639B"/>
    <w:rsid w:val="00E57D1A"/>
    <w:rsid w:val="00E608E3"/>
    <w:rsid w:val="00E60E78"/>
    <w:rsid w:val="00E63C9B"/>
    <w:rsid w:val="00E669EF"/>
    <w:rsid w:val="00E67800"/>
    <w:rsid w:val="00E71B7C"/>
    <w:rsid w:val="00E71C1E"/>
    <w:rsid w:val="00E71D31"/>
    <w:rsid w:val="00E72BA8"/>
    <w:rsid w:val="00E74BB2"/>
    <w:rsid w:val="00E804FF"/>
    <w:rsid w:val="00E81785"/>
    <w:rsid w:val="00E83CCD"/>
    <w:rsid w:val="00E847E6"/>
    <w:rsid w:val="00E856C2"/>
    <w:rsid w:val="00E90FB8"/>
    <w:rsid w:val="00E938B3"/>
    <w:rsid w:val="00E945C4"/>
    <w:rsid w:val="00E9495C"/>
    <w:rsid w:val="00EA29EC"/>
    <w:rsid w:val="00EA3186"/>
    <w:rsid w:val="00EA3C99"/>
    <w:rsid w:val="00EA47AD"/>
    <w:rsid w:val="00EA64D4"/>
    <w:rsid w:val="00EB06C5"/>
    <w:rsid w:val="00EB1535"/>
    <w:rsid w:val="00EB26B3"/>
    <w:rsid w:val="00EB4375"/>
    <w:rsid w:val="00EB5B94"/>
    <w:rsid w:val="00EB657F"/>
    <w:rsid w:val="00EC046B"/>
    <w:rsid w:val="00EC75DD"/>
    <w:rsid w:val="00ED4C36"/>
    <w:rsid w:val="00EE520F"/>
    <w:rsid w:val="00EE6C6D"/>
    <w:rsid w:val="00EF1568"/>
    <w:rsid w:val="00EF5EE0"/>
    <w:rsid w:val="00EF62F8"/>
    <w:rsid w:val="00F0275F"/>
    <w:rsid w:val="00F040CA"/>
    <w:rsid w:val="00F04FF5"/>
    <w:rsid w:val="00F06420"/>
    <w:rsid w:val="00F06844"/>
    <w:rsid w:val="00F0734C"/>
    <w:rsid w:val="00F1214E"/>
    <w:rsid w:val="00F12CDD"/>
    <w:rsid w:val="00F16128"/>
    <w:rsid w:val="00F161D2"/>
    <w:rsid w:val="00F20841"/>
    <w:rsid w:val="00F2446D"/>
    <w:rsid w:val="00F257ED"/>
    <w:rsid w:val="00F27366"/>
    <w:rsid w:val="00F30542"/>
    <w:rsid w:val="00F30BB8"/>
    <w:rsid w:val="00F33E63"/>
    <w:rsid w:val="00F366A6"/>
    <w:rsid w:val="00F37E08"/>
    <w:rsid w:val="00F41968"/>
    <w:rsid w:val="00F428EF"/>
    <w:rsid w:val="00F44539"/>
    <w:rsid w:val="00F44AEB"/>
    <w:rsid w:val="00F45620"/>
    <w:rsid w:val="00F45E5F"/>
    <w:rsid w:val="00F4632A"/>
    <w:rsid w:val="00F52462"/>
    <w:rsid w:val="00F53850"/>
    <w:rsid w:val="00F542F8"/>
    <w:rsid w:val="00F61061"/>
    <w:rsid w:val="00F63E7A"/>
    <w:rsid w:val="00F64A9E"/>
    <w:rsid w:val="00F6505F"/>
    <w:rsid w:val="00F655E3"/>
    <w:rsid w:val="00F65A7D"/>
    <w:rsid w:val="00F739AD"/>
    <w:rsid w:val="00F76B0E"/>
    <w:rsid w:val="00F7782E"/>
    <w:rsid w:val="00F77BD8"/>
    <w:rsid w:val="00F8482C"/>
    <w:rsid w:val="00F84DCA"/>
    <w:rsid w:val="00F93799"/>
    <w:rsid w:val="00F94B22"/>
    <w:rsid w:val="00F95B39"/>
    <w:rsid w:val="00F968E3"/>
    <w:rsid w:val="00F97A8C"/>
    <w:rsid w:val="00FA0F28"/>
    <w:rsid w:val="00FA1AF3"/>
    <w:rsid w:val="00FA6E14"/>
    <w:rsid w:val="00FB551F"/>
    <w:rsid w:val="00FB6C4F"/>
    <w:rsid w:val="00FB7593"/>
    <w:rsid w:val="00FC1254"/>
    <w:rsid w:val="00FC33AA"/>
    <w:rsid w:val="00FC5217"/>
    <w:rsid w:val="00FD08A6"/>
    <w:rsid w:val="00FD37BD"/>
    <w:rsid w:val="00FD5578"/>
    <w:rsid w:val="00FE189D"/>
    <w:rsid w:val="00FE28BC"/>
    <w:rsid w:val="00FE3A27"/>
    <w:rsid w:val="00FE6DB7"/>
    <w:rsid w:val="00FE7E9A"/>
    <w:rsid w:val="00FF29F0"/>
    <w:rsid w:val="00FF3A4B"/>
    <w:rsid w:val="00FF4E85"/>
    <w:rsid w:val="00FF5DCC"/>
    <w:rsid w:val="00FF7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Mkatabulky">
    <w:name w:val="Table Grid"/>
    <w:basedOn w:val="Normlntabulka"/>
    <w:uiPriority w:val="39"/>
    <w:rsid w:val="00B20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146015115">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61032890">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326908074">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55357261">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58339459">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782841264">
      <w:bodyDiv w:val="1"/>
      <w:marLeft w:val="0"/>
      <w:marRight w:val="0"/>
      <w:marTop w:val="0"/>
      <w:marBottom w:val="0"/>
      <w:divBdr>
        <w:top w:val="none" w:sz="0" w:space="0" w:color="auto"/>
        <w:left w:val="none" w:sz="0" w:space="0" w:color="auto"/>
        <w:bottom w:val="none" w:sz="0" w:space="0" w:color="auto"/>
        <w:right w:val="none" w:sz="0" w:space="0" w:color="auto"/>
      </w:divBdr>
    </w:div>
    <w:div w:id="812987891">
      <w:bodyDiv w:val="1"/>
      <w:marLeft w:val="0"/>
      <w:marRight w:val="0"/>
      <w:marTop w:val="0"/>
      <w:marBottom w:val="0"/>
      <w:divBdr>
        <w:top w:val="none" w:sz="0" w:space="0" w:color="auto"/>
        <w:left w:val="none" w:sz="0" w:space="0" w:color="auto"/>
        <w:bottom w:val="none" w:sz="0" w:space="0" w:color="auto"/>
        <w:right w:val="none" w:sz="0" w:space="0" w:color="auto"/>
      </w:divBdr>
    </w:div>
    <w:div w:id="852458738">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965039135">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07889667">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593927371">
      <w:bodyDiv w:val="1"/>
      <w:marLeft w:val="0"/>
      <w:marRight w:val="0"/>
      <w:marTop w:val="0"/>
      <w:marBottom w:val="0"/>
      <w:divBdr>
        <w:top w:val="none" w:sz="0" w:space="0" w:color="auto"/>
        <w:left w:val="none" w:sz="0" w:space="0" w:color="auto"/>
        <w:bottom w:val="none" w:sz="0" w:space="0" w:color="auto"/>
        <w:right w:val="none" w:sz="0" w:space="0" w:color="auto"/>
      </w:divBdr>
    </w:div>
    <w:div w:id="1598050925">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231828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46095237">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886138050">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yperlink" Target="mailto:michaela.sahulova@bcas.cz"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hyperlink" Target="https://www.porovnej24.cz/zivotni-pojisteni"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ntTable" Target="fontTable.xml"/><Relationship Id="rId10" Type="http://schemas.openxmlformats.org/officeDocument/2006/relationships/hyperlink" Target="http://www.okpointy.cz"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5AF5D-16C3-4B4D-9F56-BB903BD4B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Pages>
  <Words>1264</Words>
  <Characters>7459</Characters>
  <Application>Microsoft Office Word</Application>
  <DocSecurity>0</DocSecurity>
  <Lines>62</Lines>
  <Paragraphs>17</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11</cp:revision>
  <dcterms:created xsi:type="dcterms:W3CDTF">2023-11-15T14:12:00Z</dcterms:created>
  <dcterms:modified xsi:type="dcterms:W3CDTF">2023-11-22T11:20:00Z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