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3DEA865B" w:rsidR="00D80B6D" w:rsidRPr="00FC2522" w:rsidRDefault="00D80B6D">
          <w:pPr>
            <w:rPr>
              <w:highlight w:val="yellow"/>
            </w:rPr>
          </w:pPr>
        </w:p>
        <w:p w14:paraId="7ED014A1" w14:textId="77777777" w:rsidR="00D80B6D" w:rsidRPr="00FC2522" w:rsidRDefault="00D80B6D" w:rsidP="00D80B6D">
          <w:pPr>
            <w:pStyle w:val="Nadpis3"/>
            <w:spacing w:before="10"/>
            <w:rPr>
              <w:rFonts w:ascii="Arial" w:hAnsi="Arial" w:cs="Arial"/>
              <w:color w:val="1D1D1B"/>
              <w:highlight w:val="yellow"/>
            </w:rPr>
          </w:pPr>
        </w:p>
        <w:p w14:paraId="0FB45B67" w14:textId="77777777" w:rsidR="00D80B6D" w:rsidRPr="00BC331D" w:rsidRDefault="00D80B6D" w:rsidP="00D80B6D">
          <w:pPr>
            <w:spacing w:before="230"/>
            <w:ind w:left="165"/>
            <w:jc w:val="center"/>
            <w:rPr>
              <w:rFonts w:asciiTheme="minorHAnsi" w:hAnsiTheme="minorHAnsi" w:cstheme="minorHAnsi"/>
              <w:color w:val="CD1719"/>
              <w:sz w:val="24"/>
            </w:rPr>
          </w:pPr>
          <w:r w:rsidRPr="00BC331D">
            <w:rPr>
              <w:rFonts w:asciiTheme="minorHAnsi" w:hAnsiTheme="minorHAnsi" w:cstheme="minorHAnsi"/>
              <w:color w:val="1D1D1B"/>
              <w:sz w:val="24"/>
            </w:rPr>
            <w:t xml:space="preserve">INDEX HYPOTEČNÍCH ÚVĚRŮ </w:t>
          </w:r>
          <w:r w:rsidRPr="00BC331D">
            <w:rPr>
              <w:rFonts w:asciiTheme="minorHAnsi" w:hAnsiTheme="minorHAnsi" w:cstheme="minorHAnsi"/>
              <w:color w:val="CD1719"/>
              <w:sz w:val="24"/>
            </w:rPr>
            <w:t xml:space="preserve">| </w:t>
          </w:r>
          <w:r w:rsidRPr="00BC331D">
            <w:rPr>
              <w:rFonts w:asciiTheme="minorHAnsi" w:hAnsiTheme="minorHAnsi" w:cstheme="minorHAnsi"/>
              <w:color w:val="1D1D1B"/>
              <w:sz w:val="24"/>
            </w:rPr>
            <w:t xml:space="preserve">FIXINDEX </w:t>
          </w:r>
        </w:p>
        <w:p w14:paraId="6D3B5ACD" w14:textId="14F47C98" w:rsidR="00BC331D" w:rsidRPr="00BC331D" w:rsidRDefault="00BC331D"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REALINDEX</w:t>
          </w:r>
        </w:p>
        <w:p w14:paraId="32900BCE" w14:textId="16FEEC9E" w:rsidR="00D80B6D" w:rsidRPr="00BC331D" w:rsidRDefault="00A252BA" w:rsidP="00D80B6D">
          <w:pPr>
            <w:spacing w:before="230"/>
            <w:ind w:left="165"/>
            <w:jc w:val="center"/>
            <w:rPr>
              <w:rFonts w:asciiTheme="minorHAnsi" w:hAnsiTheme="minorHAnsi" w:cstheme="minorHAnsi"/>
              <w:color w:val="1D1D1B"/>
              <w:sz w:val="24"/>
            </w:rPr>
          </w:pPr>
          <w:r w:rsidRPr="00BC331D">
            <w:rPr>
              <w:rFonts w:asciiTheme="minorHAnsi" w:hAnsiTheme="minorHAnsi" w:cstheme="minorHAnsi"/>
              <w:color w:val="1D1D1B"/>
              <w:sz w:val="24"/>
            </w:rPr>
            <w:t>POV</w:t>
          </w:r>
          <w:r w:rsidR="00D80B6D" w:rsidRPr="00BC331D">
            <w:rPr>
              <w:rFonts w:asciiTheme="minorHAnsi" w:hAnsiTheme="minorHAnsi" w:cstheme="minorHAnsi"/>
              <w:color w:val="1D1D1B"/>
              <w:sz w:val="24"/>
            </w:rPr>
            <w:t xml:space="preserve">INDEX </w:t>
          </w:r>
        </w:p>
        <w:p w14:paraId="35B1FBE8" w14:textId="77777777" w:rsidR="00BC331D" w:rsidRPr="00BC331D" w:rsidRDefault="00BC331D" w:rsidP="00BC331D">
          <w:pPr>
            <w:spacing w:before="240" w:line="288" w:lineRule="exact"/>
            <w:ind w:left="162"/>
            <w:jc w:val="center"/>
            <w:rPr>
              <w:rFonts w:asciiTheme="minorHAnsi" w:hAnsiTheme="minorHAnsi" w:cstheme="minorHAnsi"/>
              <w:color w:val="1D1D1B"/>
              <w:sz w:val="24"/>
            </w:rPr>
          </w:pPr>
          <w:r w:rsidRPr="00BC331D">
            <w:rPr>
              <w:rFonts w:asciiTheme="minorHAnsi" w:hAnsiTheme="minorHAnsi" w:cstheme="minorHAnsi"/>
              <w:color w:val="1D1D1B"/>
              <w:sz w:val="24"/>
            </w:rPr>
            <w:t>INDEX PODÍLOVÝCH FONDŮ</w:t>
          </w:r>
        </w:p>
        <w:p w14:paraId="5B21B8A6" w14:textId="616329FC" w:rsidR="00D80B6D" w:rsidRPr="00BC331D" w:rsidRDefault="00D80B6D" w:rsidP="00BC331D">
          <w:pPr>
            <w:spacing w:before="230"/>
            <w:jc w:val="center"/>
            <w:rPr>
              <w:rFonts w:asciiTheme="minorHAnsi" w:hAnsiTheme="minorHAnsi" w:cstheme="minorHAnsi"/>
              <w:b/>
              <w:color w:val="CD1719"/>
              <w:sz w:val="24"/>
            </w:rPr>
          </w:pPr>
          <w:r w:rsidRPr="00BC331D">
            <w:rPr>
              <w:rFonts w:asciiTheme="minorHAnsi" w:hAnsiTheme="minorHAnsi" w:cstheme="minorHAnsi"/>
              <w:b/>
              <w:color w:val="1D1D1B"/>
              <w:sz w:val="24"/>
            </w:rPr>
            <w:t>INDEX SPOTŘEBITELSKÝCH ÚVĚRŮ</w:t>
          </w:r>
        </w:p>
        <w:p w14:paraId="1FCC0C9E" w14:textId="77777777" w:rsidR="00D80B6D" w:rsidRPr="00FC2522" w:rsidRDefault="00D80B6D" w:rsidP="00D80B6D">
          <w:pPr>
            <w:pStyle w:val="Zkladntext"/>
            <w:spacing w:before="240"/>
            <w:rPr>
              <w:sz w:val="20"/>
              <w:highlight w:val="yellow"/>
            </w:rPr>
          </w:pPr>
        </w:p>
        <w:p w14:paraId="720CCDBB" w14:textId="77777777" w:rsidR="00D80B6D" w:rsidRPr="00FC2522" w:rsidRDefault="00D80B6D" w:rsidP="00D80B6D">
          <w:pPr>
            <w:pStyle w:val="Zkladntext"/>
            <w:spacing w:before="240"/>
            <w:rPr>
              <w:sz w:val="20"/>
              <w:highlight w:val="yellow"/>
            </w:rPr>
          </w:pPr>
        </w:p>
        <w:p w14:paraId="703D71F2" w14:textId="77777777" w:rsidR="00D80B6D" w:rsidRPr="00FC2522" w:rsidRDefault="00D80B6D" w:rsidP="00D80B6D">
          <w:pPr>
            <w:pStyle w:val="Zkladntext"/>
            <w:rPr>
              <w:sz w:val="20"/>
              <w:highlight w:val="yellow"/>
            </w:rPr>
          </w:pPr>
        </w:p>
        <w:p w14:paraId="00494A3A" w14:textId="77777777" w:rsidR="00D80B6D" w:rsidRPr="00FC2522" w:rsidRDefault="00D80B6D" w:rsidP="00D80B6D">
          <w:pPr>
            <w:pStyle w:val="Zkladntext"/>
            <w:rPr>
              <w:sz w:val="20"/>
              <w:highlight w:val="yellow"/>
            </w:rPr>
          </w:pPr>
          <w:r w:rsidRPr="00FC2522">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FC2522" w:rsidRDefault="00D80B6D" w:rsidP="00D80B6D">
          <w:pPr>
            <w:pStyle w:val="Zkladntext"/>
            <w:rPr>
              <w:sz w:val="20"/>
              <w:highlight w:val="yellow"/>
            </w:rPr>
          </w:pPr>
        </w:p>
        <w:p w14:paraId="2A5F355C" w14:textId="77777777" w:rsidR="00D80B6D" w:rsidRPr="00FC2522" w:rsidRDefault="00D80B6D" w:rsidP="00D80B6D">
          <w:pPr>
            <w:pStyle w:val="Zkladntext"/>
            <w:rPr>
              <w:sz w:val="20"/>
              <w:highlight w:val="yellow"/>
            </w:rPr>
          </w:pPr>
        </w:p>
        <w:p w14:paraId="218EE6CB" w14:textId="77777777" w:rsidR="00D80B6D" w:rsidRPr="00FC2522" w:rsidRDefault="00D80B6D" w:rsidP="00D80B6D">
          <w:pPr>
            <w:pStyle w:val="Zkladntext"/>
            <w:rPr>
              <w:sz w:val="20"/>
              <w:highlight w:val="yellow"/>
            </w:rPr>
          </w:pPr>
        </w:p>
        <w:p w14:paraId="0238B3AB" w14:textId="77777777" w:rsidR="00D80B6D" w:rsidRPr="00FC2522" w:rsidRDefault="00D80B6D" w:rsidP="00D80B6D">
          <w:pPr>
            <w:pStyle w:val="Zkladntext"/>
            <w:rPr>
              <w:sz w:val="20"/>
              <w:highlight w:val="yellow"/>
            </w:rPr>
          </w:pPr>
        </w:p>
        <w:p w14:paraId="54516A42" w14:textId="77777777" w:rsidR="00D80B6D" w:rsidRPr="00FC2522" w:rsidRDefault="00D80B6D" w:rsidP="00D80B6D">
          <w:pPr>
            <w:pStyle w:val="Zkladntext"/>
            <w:rPr>
              <w:sz w:val="20"/>
              <w:highlight w:val="yellow"/>
            </w:rPr>
          </w:pPr>
        </w:p>
        <w:p w14:paraId="5266363A" w14:textId="77777777" w:rsidR="00D80B6D" w:rsidRPr="00FC2522" w:rsidRDefault="00D80B6D" w:rsidP="00D80B6D">
          <w:pPr>
            <w:pStyle w:val="Zkladntext"/>
            <w:rPr>
              <w:sz w:val="20"/>
              <w:highlight w:val="yellow"/>
            </w:rPr>
          </w:pPr>
        </w:p>
        <w:p w14:paraId="363B2E28" w14:textId="77777777" w:rsidR="00D80B6D" w:rsidRPr="00FC2522" w:rsidRDefault="00D80B6D" w:rsidP="00D80B6D">
          <w:pPr>
            <w:pStyle w:val="Zkladntext"/>
            <w:rPr>
              <w:sz w:val="20"/>
              <w:highlight w:val="yellow"/>
            </w:rPr>
          </w:pPr>
        </w:p>
        <w:p w14:paraId="17667B44" w14:textId="77777777" w:rsidR="00D80B6D" w:rsidRPr="00FC2522" w:rsidRDefault="00D80B6D" w:rsidP="00D80B6D">
          <w:pPr>
            <w:pStyle w:val="Zkladntext"/>
            <w:jc w:val="both"/>
            <w:rPr>
              <w:rFonts w:ascii="Arial" w:hAnsi="Arial" w:cs="Arial"/>
              <w:color w:val="FFFFFF" w:themeColor="background1"/>
              <w:sz w:val="20"/>
              <w:highlight w:val="yellow"/>
            </w:rPr>
          </w:pPr>
        </w:p>
        <w:p w14:paraId="5193A529" w14:textId="77777777" w:rsidR="00D80B6D" w:rsidRPr="00FC2522" w:rsidRDefault="00D80B6D" w:rsidP="00D80B6D">
          <w:pPr>
            <w:pStyle w:val="Zkladntext"/>
            <w:jc w:val="both"/>
            <w:rPr>
              <w:rFonts w:ascii="Arial" w:hAnsi="Arial" w:cs="Arial"/>
              <w:b/>
              <w:sz w:val="20"/>
              <w:highlight w:val="yellow"/>
            </w:rPr>
          </w:pPr>
        </w:p>
        <w:p w14:paraId="2833FE59" w14:textId="77777777" w:rsidR="00D80B6D" w:rsidRPr="00FC2522" w:rsidRDefault="00D80B6D" w:rsidP="00D80B6D">
          <w:pPr>
            <w:pStyle w:val="Zkladntext"/>
            <w:jc w:val="both"/>
            <w:rPr>
              <w:rFonts w:ascii="Arial" w:hAnsi="Arial" w:cs="Arial"/>
              <w:b/>
              <w:sz w:val="20"/>
              <w:highlight w:val="yellow"/>
            </w:rPr>
          </w:pPr>
        </w:p>
        <w:p w14:paraId="6DB157BF" w14:textId="77777777" w:rsidR="00D80B6D" w:rsidRPr="00FC2522" w:rsidRDefault="00D80B6D" w:rsidP="00D80B6D">
          <w:pPr>
            <w:pStyle w:val="Zkladntext"/>
            <w:jc w:val="both"/>
            <w:rPr>
              <w:rFonts w:ascii="Arial" w:hAnsi="Arial" w:cs="Arial"/>
              <w:b/>
              <w:sz w:val="20"/>
              <w:highlight w:val="yellow"/>
            </w:rPr>
          </w:pPr>
        </w:p>
        <w:p w14:paraId="47803C2A" w14:textId="77777777" w:rsidR="00D80B6D" w:rsidRPr="00FC2522" w:rsidRDefault="00D80B6D" w:rsidP="00D80B6D">
          <w:pPr>
            <w:pStyle w:val="Zkladntext"/>
            <w:jc w:val="both"/>
            <w:rPr>
              <w:rFonts w:ascii="Arial" w:hAnsi="Arial" w:cs="Arial"/>
              <w:b/>
              <w:sz w:val="20"/>
              <w:highlight w:val="yellow"/>
            </w:rPr>
          </w:pPr>
        </w:p>
        <w:p w14:paraId="1D90E1D0" w14:textId="77777777" w:rsidR="00D80B6D" w:rsidRPr="00FC2522" w:rsidRDefault="00D80B6D" w:rsidP="00D80B6D">
          <w:pPr>
            <w:pStyle w:val="Zkladntext"/>
            <w:jc w:val="both"/>
            <w:rPr>
              <w:rFonts w:ascii="Arial" w:hAnsi="Arial" w:cs="Arial"/>
              <w:b/>
              <w:sz w:val="20"/>
              <w:highlight w:val="yellow"/>
            </w:rPr>
          </w:pPr>
        </w:p>
        <w:p w14:paraId="5A33B823" w14:textId="77777777" w:rsidR="00D80B6D" w:rsidRPr="00FC2522" w:rsidRDefault="00D80B6D" w:rsidP="00D80B6D">
          <w:pPr>
            <w:pStyle w:val="Zkladntext"/>
            <w:jc w:val="both"/>
            <w:rPr>
              <w:rFonts w:ascii="Arial" w:hAnsi="Arial" w:cs="Arial"/>
              <w:b/>
              <w:sz w:val="20"/>
              <w:highlight w:val="yellow"/>
            </w:rPr>
          </w:pPr>
        </w:p>
        <w:p w14:paraId="0D2BECD0" w14:textId="77777777" w:rsidR="00D80B6D" w:rsidRPr="00FC2522" w:rsidRDefault="00D80B6D" w:rsidP="00D80B6D">
          <w:pPr>
            <w:pStyle w:val="Zkladntext"/>
            <w:jc w:val="both"/>
            <w:rPr>
              <w:rFonts w:ascii="Arial" w:hAnsi="Arial" w:cs="Arial"/>
              <w:b/>
              <w:sz w:val="20"/>
              <w:highlight w:val="yellow"/>
            </w:rPr>
          </w:pPr>
        </w:p>
        <w:p w14:paraId="69288FB9" w14:textId="77777777" w:rsidR="00D80B6D" w:rsidRPr="00FC2522" w:rsidRDefault="00D80B6D" w:rsidP="00D80B6D">
          <w:pPr>
            <w:pStyle w:val="Zkladntext"/>
            <w:jc w:val="both"/>
            <w:rPr>
              <w:rFonts w:ascii="Arial" w:hAnsi="Arial" w:cs="Arial"/>
              <w:b/>
              <w:sz w:val="20"/>
              <w:highlight w:val="yellow"/>
            </w:rPr>
          </w:pPr>
        </w:p>
        <w:p w14:paraId="541E93D5" w14:textId="77777777" w:rsidR="00D80B6D" w:rsidRPr="00FC2522" w:rsidRDefault="00D80B6D" w:rsidP="00D80B6D">
          <w:pPr>
            <w:pStyle w:val="Zkladntext"/>
            <w:jc w:val="both"/>
            <w:rPr>
              <w:rFonts w:ascii="Arial" w:hAnsi="Arial" w:cs="Arial"/>
              <w:b/>
              <w:sz w:val="20"/>
              <w:highlight w:val="yellow"/>
            </w:rPr>
          </w:pPr>
        </w:p>
        <w:p w14:paraId="341A343C" w14:textId="77777777" w:rsidR="00D80B6D" w:rsidRPr="00FC2522" w:rsidRDefault="00D80B6D" w:rsidP="00D80B6D">
          <w:pPr>
            <w:pStyle w:val="Zkladntext"/>
            <w:jc w:val="both"/>
            <w:rPr>
              <w:rFonts w:ascii="Arial" w:hAnsi="Arial" w:cs="Arial"/>
              <w:b/>
              <w:sz w:val="20"/>
              <w:highlight w:val="yellow"/>
            </w:rPr>
          </w:pPr>
        </w:p>
        <w:p w14:paraId="6C52C42D" w14:textId="77777777" w:rsidR="00D80B6D" w:rsidRPr="00FC2522" w:rsidRDefault="00D80B6D" w:rsidP="00D80B6D">
          <w:pPr>
            <w:pStyle w:val="Zkladntext"/>
            <w:jc w:val="both"/>
            <w:rPr>
              <w:rFonts w:ascii="Arial" w:hAnsi="Arial" w:cs="Arial"/>
              <w:b/>
              <w:sz w:val="20"/>
              <w:highlight w:val="yellow"/>
            </w:rPr>
          </w:pPr>
        </w:p>
        <w:p w14:paraId="3E3CDF25" w14:textId="77777777" w:rsidR="00D80B6D" w:rsidRPr="00FC2522" w:rsidRDefault="00D80B6D" w:rsidP="00D80B6D">
          <w:pPr>
            <w:pStyle w:val="Zkladntext"/>
            <w:jc w:val="both"/>
            <w:rPr>
              <w:rFonts w:ascii="Arial" w:hAnsi="Arial" w:cs="Arial"/>
              <w:b/>
              <w:sz w:val="20"/>
              <w:highlight w:val="yellow"/>
            </w:rPr>
          </w:pPr>
        </w:p>
        <w:p w14:paraId="40495E64" w14:textId="77777777" w:rsidR="00D80B6D" w:rsidRPr="00FC2522" w:rsidRDefault="00D80B6D" w:rsidP="00D80B6D">
          <w:pPr>
            <w:pStyle w:val="Zkladntext"/>
            <w:jc w:val="both"/>
            <w:rPr>
              <w:rFonts w:ascii="Arial" w:hAnsi="Arial" w:cs="Arial"/>
              <w:b/>
              <w:sz w:val="20"/>
              <w:highlight w:val="yellow"/>
            </w:rPr>
          </w:pPr>
        </w:p>
        <w:p w14:paraId="59B6F4E6" w14:textId="77777777" w:rsidR="00D80B6D" w:rsidRPr="00FC2522" w:rsidRDefault="00D80B6D" w:rsidP="00D80B6D">
          <w:pPr>
            <w:pStyle w:val="Zkladntext"/>
            <w:jc w:val="both"/>
            <w:rPr>
              <w:rFonts w:ascii="Arial" w:hAnsi="Arial" w:cs="Arial"/>
              <w:b/>
              <w:sz w:val="20"/>
              <w:highlight w:val="yellow"/>
            </w:rPr>
          </w:pPr>
        </w:p>
        <w:p w14:paraId="5ADDFBD6" w14:textId="77777777" w:rsidR="00D80B6D" w:rsidRPr="00FC2522" w:rsidRDefault="00D80B6D" w:rsidP="00D80B6D">
          <w:pPr>
            <w:pStyle w:val="Zkladntext"/>
            <w:jc w:val="both"/>
            <w:rPr>
              <w:rFonts w:ascii="Arial" w:hAnsi="Arial" w:cs="Arial"/>
              <w:b/>
              <w:sz w:val="20"/>
              <w:highlight w:val="yellow"/>
            </w:rPr>
          </w:pPr>
        </w:p>
        <w:p w14:paraId="1CB27DF8" w14:textId="77777777" w:rsidR="007B358E" w:rsidRPr="00FC2522" w:rsidRDefault="007B358E" w:rsidP="00D80B6D">
          <w:pPr>
            <w:pStyle w:val="Zkladntext"/>
            <w:jc w:val="both"/>
            <w:rPr>
              <w:rFonts w:ascii="Arial" w:hAnsi="Arial" w:cs="Arial"/>
              <w:b/>
              <w:sz w:val="20"/>
              <w:highlight w:val="yellow"/>
            </w:rPr>
          </w:pPr>
        </w:p>
        <w:p w14:paraId="3A61C564" w14:textId="77777777" w:rsidR="0068617E" w:rsidRPr="00FC2522" w:rsidRDefault="0068617E" w:rsidP="00D80B6D">
          <w:pPr>
            <w:pStyle w:val="Zkladntext"/>
            <w:jc w:val="both"/>
            <w:rPr>
              <w:rFonts w:ascii="Arial" w:hAnsi="Arial" w:cs="Arial"/>
              <w:b/>
              <w:sz w:val="20"/>
              <w:highlight w:val="yellow"/>
            </w:rPr>
          </w:pPr>
        </w:p>
        <w:p w14:paraId="1414E639" w14:textId="77777777" w:rsidR="0068617E" w:rsidRPr="00BC331D" w:rsidRDefault="0068617E" w:rsidP="00D80B6D">
          <w:pPr>
            <w:pStyle w:val="Zkladntext"/>
            <w:jc w:val="both"/>
            <w:rPr>
              <w:rFonts w:asciiTheme="minorHAnsi" w:hAnsiTheme="minorHAnsi" w:cstheme="minorHAnsi"/>
              <w:b/>
              <w:sz w:val="20"/>
              <w:highlight w:val="yellow"/>
            </w:rPr>
          </w:pPr>
        </w:p>
        <w:p w14:paraId="11132A3F" w14:textId="53DE594E" w:rsidR="00D80B6D" w:rsidRPr="00BC331D" w:rsidRDefault="00D80B6D" w:rsidP="00D80B6D">
          <w:pPr>
            <w:pStyle w:val="Zkladntext"/>
            <w:jc w:val="both"/>
            <w:rPr>
              <w:rFonts w:asciiTheme="minorHAnsi" w:hAnsiTheme="minorHAnsi" w:cstheme="minorHAnsi"/>
              <w:b/>
              <w:sz w:val="20"/>
            </w:rPr>
          </w:pPr>
          <w:r w:rsidRPr="00BC331D">
            <w:rPr>
              <w:rFonts w:asciiTheme="minorHAnsi" w:hAnsiTheme="minorHAnsi" w:cstheme="minorHAnsi"/>
              <w:b/>
              <w:sz w:val="20"/>
            </w:rPr>
            <w:t>O společnosti Broker Consulting</w:t>
          </w:r>
        </w:p>
        <w:p w14:paraId="27485CC6" w14:textId="77777777" w:rsidR="00D80B6D" w:rsidRPr="00BC331D" w:rsidRDefault="00D80B6D" w:rsidP="00D80B6D">
          <w:pPr>
            <w:jc w:val="both"/>
            <w:rPr>
              <w:rFonts w:asciiTheme="minorHAnsi" w:hAnsiTheme="minorHAnsi" w:cstheme="minorHAnsi"/>
              <w:sz w:val="20"/>
            </w:rPr>
          </w:pPr>
        </w:p>
        <w:p w14:paraId="08070DCC" w14:textId="2232FC82" w:rsidR="00792EE9" w:rsidRPr="00BC331D" w:rsidRDefault="00792EE9" w:rsidP="00792EE9">
          <w:pPr>
            <w:jc w:val="both"/>
            <w:rPr>
              <w:rStyle w:val="dn"/>
              <w:rFonts w:asciiTheme="minorHAnsi" w:hAnsiTheme="minorHAnsi" w:cstheme="minorHAnsi"/>
              <w:sz w:val="20"/>
              <w:szCs w:val="20"/>
            </w:rPr>
          </w:pPr>
          <w:r w:rsidRPr="00BC331D">
            <w:rPr>
              <w:rFonts w:asciiTheme="minorHAnsi" w:hAnsiTheme="minorHAnsi" w:cstheme="minorHAnsi"/>
              <w:sz w:val="20"/>
              <w:szCs w:val="20"/>
            </w:rPr>
            <w:t>Broker Consulting je jednou z největších společností na českém a slovenském trhu, která poskytuje služby v oblasti financí a realit. Od rok</w:t>
          </w:r>
          <w:r w:rsidR="008171F9">
            <w:rPr>
              <w:rFonts w:asciiTheme="minorHAnsi" w:hAnsiTheme="minorHAnsi" w:cstheme="minorHAnsi"/>
              <w:sz w:val="20"/>
              <w:szCs w:val="20"/>
            </w:rPr>
            <w:t>u 1998 získala důvěru více než 7</w:t>
          </w:r>
          <w:r w:rsidRPr="00BC331D">
            <w:rPr>
              <w:rFonts w:asciiTheme="minorHAnsi" w:hAnsiTheme="minorHAnsi" w:cstheme="minorHAnsi"/>
              <w:sz w:val="20"/>
              <w:szCs w:val="20"/>
            </w:rPr>
            <w:t>00 000 klientů. Poskytuje také služby přes 4 000 firmám. Distribuci služeb zajišťuje přibližně 2 000 konzultantů (profesionální konzultanti, zaměstnanci, konzultanti v zapra</w:t>
          </w:r>
          <w:r w:rsidR="00477DC5">
            <w:rPr>
              <w:rFonts w:asciiTheme="minorHAnsi" w:hAnsiTheme="minorHAnsi" w:cstheme="minorHAnsi"/>
              <w:sz w:val="20"/>
              <w:szCs w:val="20"/>
            </w:rPr>
            <w:t>cování v ČR i SR) ve více než 15</w:t>
          </w:r>
          <w:r w:rsidRPr="00BC331D">
            <w:rPr>
              <w:rFonts w:asciiTheme="minorHAnsi" w:hAnsiTheme="minorHAnsi" w:cstheme="minorHAnsi"/>
              <w:sz w:val="20"/>
              <w:szCs w:val="20"/>
            </w:rPr>
            <w:t xml:space="preserve">0 kancelářích a </w:t>
          </w:r>
          <w:r w:rsidR="00477DC5">
            <w:rPr>
              <w:rFonts w:asciiTheme="minorHAnsi" w:hAnsiTheme="minorHAnsi" w:cstheme="minorHAnsi"/>
              <w:sz w:val="20"/>
              <w:szCs w:val="20"/>
            </w:rPr>
            <w:t>několika desítek poboček</w:t>
          </w:r>
          <w:r w:rsidRPr="00BC331D">
            <w:rPr>
              <w:rFonts w:asciiTheme="minorHAnsi" w:hAnsiTheme="minorHAnsi" w:cstheme="minorHAnsi"/>
              <w:sz w:val="20"/>
              <w:szCs w:val="20"/>
            </w:rPr>
            <w:t xml:space="preserve">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w:t>
          </w:r>
          <w:r w:rsidR="00A10BF9">
            <w:rPr>
              <w:rFonts w:asciiTheme="minorHAnsi" w:hAnsiTheme="minorHAnsi" w:cstheme="minorHAnsi"/>
              <w:sz w:val="20"/>
              <w:szCs w:val="20"/>
            </w:rPr>
            <w:t xml:space="preserve">jehož přináší společnost Broker Consulting, která za vedení franšízy a její podporu získala ocenění </w:t>
          </w:r>
          <w:proofErr w:type="spellStart"/>
          <w:r w:rsidR="00A10BF9" w:rsidRPr="00A0680F">
            <w:rPr>
              <w:rFonts w:asciiTheme="minorHAnsi" w:hAnsiTheme="minorHAnsi" w:cstheme="minorHAnsi"/>
              <w:b/>
              <w:color w:val="FF0000"/>
              <w:sz w:val="20"/>
              <w:szCs w:val="20"/>
            </w:rPr>
            <w:t>Franchisor</w:t>
          </w:r>
          <w:proofErr w:type="spellEnd"/>
          <w:r w:rsidR="00A10BF9" w:rsidRPr="00A0680F">
            <w:rPr>
              <w:rFonts w:asciiTheme="minorHAnsi" w:hAnsiTheme="minorHAnsi" w:cstheme="minorHAnsi"/>
              <w:b/>
              <w:color w:val="FF0000"/>
              <w:sz w:val="20"/>
              <w:szCs w:val="20"/>
            </w:rPr>
            <w:t xml:space="preserve"> roku 2022</w:t>
          </w:r>
          <w:r w:rsidR="00A10BF9" w:rsidRPr="00A0680F">
            <w:rPr>
              <w:rFonts w:asciiTheme="minorHAnsi" w:hAnsiTheme="minorHAnsi" w:cstheme="minorHAnsi"/>
              <w:color w:val="FF0000"/>
              <w:sz w:val="20"/>
              <w:szCs w:val="20"/>
            </w:rPr>
            <w:t xml:space="preserve"> </w:t>
          </w:r>
          <w:r w:rsidR="00A10BF9">
            <w:rPr>
              <w:rFonts w:asciiTheme="minorHAnsi" w:hAnsiTheme="minorHAnsi" w:cstheme="minorHAnsi"/>
              <w:sz w:val="20"/>
              <w:szCs w:val="20"/>
            </w:rPr>
            <w:t xml:space="preserve">od České asociace </w:t>
          </w:r>
          <w:proofErr w:type="spellStart"/>
          <w:r w:rsidR="00A10BF9">
            <w:rPr>
              <w:rFonts w:asciiTheme="minorHAnsi" w:hAnsiTheme="minorHAnsi" w:cstheme="minorHAnsi"/>
              <w:sz w:val="20"/>
              <w:szCs w:val="20"/>
            </w:rPr>
            <w:t>franchisingu</w:t>
          </w:r>
          <w:proofErr w:type="spellEnd"/>
          <w:r w:rsidRPr="00BC331D">
            <w:rPr>
              <w:rFonts w:asciiTheme="minorHAnsi" w:hAnsiTheme="minorHAnsi" w:cstheme="minorHAnsi"/>
              <w:sz w:val="20"/>
              <w:szCs w:val="20"/>
            </w:rPr>
            <w:t xml:space="preserve">. </w:t>
          </w:r>
          <w:r w:rsidRPr="00BC331D">
            <w:rPr>
              <w:rStyle w:val="dn"/>
              <w:rFonts w:asciiTheme="minorHAnsi" w:hAnsiTheme="minorHAnsi" w:cstheme="minorHAnsi"/>
              <w:sz w:val="20"/>
              <w:szCs w:val="20"/>
            </w:rPr>
            <w:t xml:space="preserve">Více na </w:t>
          </w:r>
          <w:hyperlink r:id="rId9" w:history="1">
            <w:r w:rsidRPr="00BC331D">
              <w:rPr>
                <w:rStyle w:val="Hypertextovodkaz"/>
                <w:rFonts w:asciiTheme="minorHAnsi" w:hAnsiTheme="minorHAnsi" w:cstheme="minorHAnsi"/>
                <w:color w:val="FF0000"/>
                <w:sz w:val="20"/>
                <w:szCs w:val="20"/>
              </w:rPr>
              <w:t>www.bcas.cz</w:t>
            </w:r>
          </w:hyperlink>
          <w:r w:rsidRPr="00BC331D">
            <w:rPr>
              <w:rStyle w:val="Hypertextovodkaz"/>
              <w:rFonts w:asciiTheme="minorHAnsi" w:hAnsiTheme="minorHAnsi" w:cstheme="minorHAnsi"/>
              <w:sz w:val="20"/>
              <w:szCs w:val="20"/>
            </w:rPr>
            <w:t xml:space="preserve">, </w:t>
          </w:r>
          <w:hyperlink r:id="rId10" w:history="1">
            <w:r w:rsidRPr="00BC331D">
              <w:rPr>
                <w:rStyle w:val="Hypertextovodkaz"/>
                <w:rFonts w:asciiTheme="minorHAnsi" w:hAnsiTheme="minorHAnsi" w:cstheme="minorHAnsi"/>
                <w:color w:val="FF0000"/>
                <w:sz w:val="20"/>
                <w:szCs w:val="20"/>
              </w:rPr>
              <w:t>www.okpointy.cz</w:t>
            </w:r>
          </w:hyperlink>
          <w:r w:rsidR="004F6195" w:rsidRPr="00BC331D">
            <w:rPr>
              <w:rStyle w:val="Hypertextovodkaz"/>
              <w:rFonts w:asciiTheme="minorHAnsi" w:hAnsiTheme="minorHAnsi" w:cstheme="minorHAnsi"/>
              <w:color w:val="FF0000"/>
              <w:sz w:val="20"/>
              <w:szCs w:val="20"/>
            </w:rPr>
            <w:t>, www.okpoint.tv</w:t>
          </w:r>
          <w:r w:rsidRPr="00BC331D">
            <w:rPr>
              <w:rStyle w:val="dn"/>
              <w:rFonts w:asciiTheme="minorHAnsi" w:hAnsiTheme="minorHAnsi" w:cstheme="minorHAnsi"/>
              <w:sz w:val="20"/>
              <w:szCs w:val="20"/>
            </w:rPr>
            <w:t xml:space="preserve"> a na </w:t>
          </w:r>
          <w:hyperlink r:id="rId11" w:history="1">
            <w:r w:rsidRPr="00BC331D">
              <w:rPr>
                <w:rStyle w:val="Hypertextovodkaz"/>
                <w:rFonts w:asciiTheme="minorHAnsi" w:hAnsiTheme="minorHAnsi" w:cstheme="minorHAnsi"/>
                <w:color w:val="FF0000"/>
                <w:sz w:val="20"/>
                <w:szCs w:val="20"/>
              </w:rPr>
              <w:t>www.realityspolu.cz</w:t>
            </w:r>
          </w:hyperlink>
          <w:r w:rsidRPr="00BC331D">
            <w:rPr>
              <w:rStyle w:val="dn"/>
              <w:rFonts w:asciiTheme="minorHAnsi" w:hAnsiTheme="minorHAnsi" w:cstheme="minorHAnsi"/>
              <w:sz w:val="20"/>
              <w:szCs w:val="20"/>
            </w:rPr>
            <w:t xml:space="preserve">. Navštivte také náš </w:t>
          </w:r>
          <w:hyperlink r:id="rId12"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3" w:history="1">
            <w:r w:rsidRPr="00BC331D">
              <w:rPr>
                <w:rStyle w:val="Hypertextovodkaz"/>
                <w:rFonts w:asciiTheme="minorHAnsi" w:hAnsiTheme="minorHAnsi" w:cstheme="minorHAnsi"/>
                <w:color w:val="FF0000"/>
                <w:sz w:val="20"/>
                <w:szCs w:val="20"/>
              </w:rPr>
              <w:t>LinkedIN</w:t>
            </w:r>
          </w:hyperlink>
          <w:r w:rsidRPr="00BC331D">
            <w:rPr>
              <w:rStyle w:val="dn"/>
              <w:rFonts w:asciiTheme="minorHAnsi" w:hAnsiTheme="minorHAnsi" w:cstheme="minorHAnsi"/>
              <w:sz w:val="20"/>
              <w:szCs w:val="20"/>
            </w:rPr>
            <w:t xml:space="preserve"> Broker Consulting a </w:t>
          </w:r>
          <w:hyperlink r:id="rId14" w:history="1">
            <w:r w:rsidRPr="00BC331D">
              <w:rPr>
                <w:rStyle w:val="Hypertextovodkaz"/>
                <w:rFonts w:asciiTheme="minorHAnsi" w:hAnsiTheme="minorHAnsi" w:cstheme="minorHAnsi"/>
                <w:color w:val="FF0000"/>
                <w:sz w:val="20"/>
                <w:szCs w:val="20"/>
              </w:rPr>
              <w:t>Facebook</w:t>
            </w:r>
          </w:hyperlink>
          <w:r w:rsidRPr="00BC331D">
            <w:rPr>
              <w:rStyle w:val="dn"/>
              <w:rFonts w:asciiTheme="minorHAnsi" w:hAnsiTheme="minorHAnsi" w:cstheme="minorHAnsi"/>
              <w:color w:val="FF0000"/>
              <w:sz w:val="20"/>
              <w:szCs w:val="20"/>
            </w:rPr>
            <w:t xml:space="preserve"> </w:t>
          </w:r>
          <w:r w:rsidRPr="00BC331D">
            <w:rPr>
              <w:rStyle w:val="dn"/>
              <w:rFonts w:asciiTheme="minorHAnsi" w:hAnsiTheme="minorHAnsi" w:cstheme="minorHAnsi"/>
              <w:sz w:val="20"/>
              <w:szCs w:val="20"/>
            </w:rPr>
            <w:t xml:space="preserve">a </w:t>
          </w:r>
          <w:hyperlink r:id="rId15" w:history="1">
            <w:r w:rsidRPr="00BC331D">
              <w:rPr>
                <w:rStyle w:val="Hypertextovodkaz"/>
                <w:rFonts w:asciiTheme="minorHAnsi" w:hAnsiTheme="minorHAnsi" w:cstheme="minorHAnsi"/>
                <w:color w:val="FF0000"/>
                <w:sz w:val="20"/>
                <w:szCs w:val="20"/>
              </w:rPr>
              <w:t>LinkedI</w:t>
            </w:r>
          </w:hyperlink>
          <w:r w:rsidRPr="00BC331D">
            <w:rPr>
              <w:rStyle w:val="Hypertextovodkaz"/>
              <w:rFonts w:asciiTheme="minorHAnsi" w:hAnsiTheme="minorHAnsi" w:cstheme="minorHAnsi"/>
              <w:color w:val="FF0000"/>
              <w:sz w:val="20"/>
              <w:szCs w:val="20"/>
            </w:rPr>
            <w:t>N</w:t>
          </w:r>
          <w:r w:rsidRPr="00BC331D">
            <w:rPr>
              <w:rStyle w:val="dn"/>
              <w:rFonts w:asciiTheme="minorHAnsi" w:hAnsiTheme="minorHAnsi" w:cstheme="minorHAnsi"/>
              <w:color w:val="FF0000"/>
              <w:sz w:val="20"/>
              <w:szCs w:val="20"/>
            </w:rPr>
            <w:t xml:space="preserve"> </w:t>
          </w:r>
          <w:r w:rsidR="0022066E">
            <w:rPr>
              <w:rStyle w:val="dn"/>
              <w:rFonts w:asciiTheme="minorHAnsi" w:hAnsiTheme="minorHAnsi" w:cstheme="minorHAnsi"/>
              <w:sz w:val="20"/>
              <w:szCs w:val="20"/>
            </w:rPr>
            <w:t>OK POINTŮ</w:t>
          </w:r>
          <w:r w:rsidRPr="00BC331D">
            <w:rPr>
              <w:rStyle w:val="dn"/>
              <w:rFonts w:asciiTheme="minorHAnsi" w:hAnsiTheme="minorHAnsi" w:cstheme="minorHAnsi"/>
              <w:sz w:val="20"/>
              <w:szCs w:val="20"/>
            </w:rPr>
            <w:t xml:space="preserve">. </w:t>
          </w:r>
        </w:p>
        <w:p w14:paraId="3F0EC976" w14:textId="3496D289" w:rsidR="00D80B6D" w:rsidRPr="00FC2522" w:rsidRDefault="00D80B6D" w:rsidP="0068617E">
          <w:pPr>
            <w:pStyle w:val="Zkladntext"/>
            <w:jc w:val="both"/>
            <w:rPr>
              <w:rFonts w:ascii="Arial" w:hAnsi="Arial" w:cs="Arial"/>
              <w:sz w:val="20"/>
              <w:highlight w:val="yellow"/>
            </w:rPr>
            <w:sectPr w:rsidR="00D80B6D" w:rsidRPr="00FC2522" w:rsidSect="00D80B6D">
              <w:headerReference w:type="default" r:id="rId16"/>
              <w:footerReference w:type="default" r:id="rId17"/>
              <w:pgSz w:w="11910" w:h="16840"/>
              <w:pgMar w:top="960" w:right="740" w:bottom="0" w:left="720" w:header="708" w:footer="708" w:gutter="0"/>
              <w:cols w:space="708"/>
            </w:sectPr>
          </w:pPr>
        </w:p>
        <w:p w14:paraId="35539C65" w14:textId="7A3AAC27" w:rsidR="00D31127" w:rsidRPr="00FC2522" w:rsidRDefault="00C521D9" w:rsidP="0025264B">
          <w:pPr>
            <w:rPr>
              <w:rFonts w:ascii="Arial" w:hAnsi="Arial" w:cs="Arial"/>
              <w:b/>
              <w:sz w:val="20"/>
              <w:szCs w:val="20"/>
              <w:highlight w:val="yellow"/>
            </w:rPr>
            <w:sectPr w:rsidR="00D31127" w:rsidRPr="00FC2522" w:rsidSect="00D80B6D">
              <w:headerReference w:type="even" r:id="rId18"/>
              <w:headerReference w:type="default" r:id="rId19"/>
              <w:footerReference w:type="even" r:id="rId20"/>
              <w:footerReference w:type="default" r:id="rId21"/>
              <w:headerReference w:type="first" r:id="rId22"/>
              <w:footerReference w:type="first" r:id="rId23"/>
              <w:pgSz w:w="11910" w:h="16840"/>
              <w:pgMar w:top="1418" w:right="740" w:bottom="420" w:left="720" w:header="340" w:footer="223" w:gutter="0"/>
              <w:pgNumType w:start="0"/>
              <w:cols w:space="708"/>
              <w:titlePg/>
              <w:docGrid w:linePitch="299"/>
            </w:sectPr>
          </w:pPr>
        </w:p>
      </w:sdtContent>
    </w:sdt>
    <w:p w14:paraId="6A10485D" w14:textId="649FD664" w:rsidR="00704D83" w:rsidRPr="00AD647D" w:rsidRDefault="00704D83" w:rsidP="0053728E">
      <w:pPr>
        <w:rPr>
          <w:rFonts w:asciiTheme="minorHAnsi" w:hAnsiTheme="minorHAnsi" w:cstheme="minorHAnsi"/>
          <w:b/>
          <w:sz w:val="28"/>
          <w:szCs w:val="28"/>
        </w:rPr>
      </w:pPr>
    </w:p>
    <w:p w14:paraId="2EF192F9" w14:textId="2271691A" w:rsidR="00345DD2" w:rsidRPr="00345DD2" w:rsidRDefault="00345DD2" w:rsidP="00345DD2">
      <w:pPr>
        <w:pStyle w:val="Odstavecseseznamem"/>
        <w:spacing w:after="200"/>
        <w:ind w:left="720" w:firstLine="0"/>
        <w:rPr>
          <w:rFonts w:asciiTheme="minorHAnsi" w:hAnsiTheme="minorHAnsi" w:cstheme="minorHAnsi"/>
          <w:b/>
          <w:color w:val="000000" w:themeColor="text1"/>
          <w:sz w:val="28"/>
          <w:szCs w:val="28"/>
        </w:rPr>
      </w:pPr>
      <w:r w:rsidRPr="00345DD2">
        <w:rPr>
          <w:rFonts w:asciiTheme="minorHAnsi" w:hAnsiTheme="minorHAnsi" w:cstheme="minorHAnsi"/>
          <w:b/>
          <w:color w:val="000000" w:themeColor="text1"/>
          <w:sz w:val="28"/>
          <w:szCs w:val="28"/>
        </w:rPr>
        <w:t xml:space="preserve">Průměrné </w:t>
      </w:r>
      <w:r w:rsidR="00F02D95">
        <w:rPr>
          <w:rFonts w:asciiTheme="minorHAnsi" w:hAnsiTheme="minorHAnsi" w:cstheme="minorHAnsi"/>
          <w:b/>
          <w:color w:val="000000" w:themeColor="text1"/>
          <w:sz w:val="28"/>
          <w:szCs w:val="28"/>
        </w:rPr>
        <w:t xml:space="preserve">sazby spotřebitelských úvěrů </w:t>
      </w:r>
      <w:r w:rsidRPr="00345DD2">
        <w:rPr>
          <w:rFonts w:asciiTheme="minorHAnsi" w:hAnsiTheme="minorHAnsi" w:cstheme="minorHAnsi"/>
          <w:b/>
          <w:color w:val="000000" w:themeColor="text1"/>
          <w:sz w:val="28"/>
          <w:szCs w:val="28"/>
        </w:rPr>
        <w:t xml:space="preserve">už rok </w:t>
      </w:r>
      <w:r w:rsidR="00F02D95">
        <w:rPr>
          <w:rFonts w:asciiTheme="minorHAnsi" w:hAnsiTheme="minorHAnsi" w:cstheme="minorHAnsi"/>
          <w:b/>
          <w:color w:val="000000" w:themeColor="text1"/>
          <w:sz w:val="28"/>
          <w:szCs w:val="28"/>
        </w:rPr>
        <w:t>oscilují kolem devíti procent</w:t>
      </w:r>
    </w:p>
    <w:p w14:paraId="0BB877F8" w14:textId="7D0AE991" w:rsidR="00345DD2" w:rsidRPr="007777E1" w:rsidRDefault="00345DD2" w:rsidP="00345DD2">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7777E1">
        <w:rPr>
          <w:rFonts w:asciiTheme="minorHAnsi" w:eastAsiaTheme="minorHAnsi" w:hAnsiTheme="minorHAnsi" w:cstheme="minorHAnsi"/>
          <w:b/>
          <w:color w:val="000000" w:themeColor="text1"/>
          <w:sz w:val="21"/>
          <w:szCs w:val="21"/>
          <w:lang w:bidi="ar-SA"/>
        </w:rPr>
        <w:t>V říjnu dosáhla hodnota Broker Consulting Indexu spotřebitelských úvěrů 9,36 procenta</w:t>
      </w:r>
      <w:r w:rsidR="00E8372E">
        <w:rPr>
          <w:rFonts w:asciiTheme="minorHAnsi" w:eastAsiaTheme="minorHAnsi" w:hAnsiTheme="minorHAnsi" w:cstheme="minorHAnsi"/>
          <w:b/>
          <w:color w:val="000000" w:themeColor="text1"/>
          <w:sz w:val="21"/>
          <w:szCs w:val="21"/>
          <w:lang w:bidi="ar-SA"/>
        </w:rPr>
        <w:t>.</w:t>
      </w:r>
    </w:p>
    <w:p w14:paraId="3EDF1247" w14:textId="3A4B7D19" w:rsidR="00345DD2" w:rsidRPr="007777E1" w:rsidRDefault="00345DD2" w:rsidP="00345DD2">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7777E1">
        <w:rPr>
          <w:rFonts w:asciiTheme="minorHAnsi" w:eastAsiaTheme="minorHAnsi" w:hAnsiTheme="minorHAnsi" w:cstheme="minorHAnsi"/>
          <w:b/>
          <w:color w:val="000000" w:themeColor="text1"/>
          <w:sz w:val="21"/>
          <w:szCs w:val="21"/>
          <w:lang w:bidi="ar-SA"/>
        </w:rPr>
        <w:t>Průměrné sazby spotřebitelských úvěrů se od zářijo</w:t>
      </w:r>
      <w:r w:rsidR="00E8372E">
        <w:rPr>
          <w:rFonts w:asciiTheme="minorHAnsi" w:eastAsiaTheme="minorHAnsi" w:hAnsiTheme="minorHAnsi" w:cstheme="minorHAnsi"/>
          <w:b/>
          <w:color w:val="000000" w:themeColor="text1"/>
          <w:sz w:val="21"/>
          <w:szCs w:val="21"/>
          <w:lang w:bidi="ar-SA"/>
        </w:rPr>
        <w:t>vých hodnot prakticky nezměnily.</w:t>
      </w:r>
    </w:p>
    <w:p w14:paraId="0ECCF594" w14:textId="26AF5670" w:rsidR="00345DD2" w:rsidRPr="007777E1" w:rsidRDefault="00345DD2" w:rsidP="00345DD2">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7777E1">
        <w:rPr>
          <w:rFonts w:asciiTheme="minorHAnsi" w:eastAsiaTheme="minorHAnsi" w:hAnsiTheme="minorHAnsi" w:cstheme="minorHAnsi"/>
          <w:b/>
          <w:color w:val="000000" w:themeColor="text1"/>
          <w:sz w:val="21"/>
          <w:szCs w:val="21"/>
          <w:lang w:bidi="ar-SA"/>
        </w:rPr>
        <w:t>Podle analytiků nelze ani do konce roku očekávat významnější odchylku</w:t>
      </w:r>
      <w:r w:rsidR="00E8372E">
        <w:rPr>
          <w:rFonts w:asciiTheme="minorHAnsi" w:eastAsiaTheme="minorHAnsi" w:hAnsiTheme="minorHAnsi" w:cstheme="minorHAnsi"/>
          <w:b/>
          <w:color w:val="000000" w:themeColor="text1"/>
          <w:sz w:val="21"/>
          <w:szCs w:val="21"/>
          <w:lang w:bidi="ar-SA"/>
        </w:rPr>
        <w:t>.</w:t>
      </w:r>
    </w:p>
    <w:p w14:paraId="67F5E2B0" w14:textId="2F93DCC8" w:rsidR="00345DD2" w:rsidRPr="007777E1" w:rsidRDefault="00345DD2" w:rsidP="00345DD2">
      <w:pPr>
        <w:pStyle w:val="Odstavecseseznamem"/>
        <w:numPr>
          <w:ilvl w:val="0"/>
          <w:numId w:val="4"/>
        </w:numPr>
        <w:ind w:left="357" w:right="40" w:hanging="357"/>
        <w:rPr>
          <w:rFonts w:asciiTheme="minorHAnsi" w:eastAsiaTheme="minorHAnsi" w:hAnsiTheme="minorHAnsi" w:cstheme="minorHAnsi"/>
          <w:b/>
          <w:color w:val="000000" w:themeColor="text1"/>
          <w:sz w:val="21"/>
          <w:szCs w:val="21"/>
          <w:lang w:bidi="ar-SA"/>
        </w:rPr>
      </w:pPr>
      <w:r w:rsidRPr="007777E1">
        <w:rPr>
          <w:rFonts w:asciiTheme="minorHAnsi" w:eastAsiaTheme="minorHAnsi" w:hAnsiTheme="minorHAnsi" w:cstheme="minorHAnsi"/>
          <w:b/>
          <w:color w:val="000000" w:themeColor="text1"/>
          <w:sz w:val="21"/>
          <w:szCs w:val="21"/>
          <w:lang w:bidi="ar-SA"/>
        </w:rPr>
        <w:t>Úrokové sazby mohou ovlivnit zvýhodněné podmínky bank před Vánoci</w:t>
      </w:r>
      <w:r w:rsidR="00E8372E">
        <w:rPr>
          <w:rFonts w:asciiTheme="minorHAnsi" w:eastAsiaTheme="minorHAnsi" w:hAnsiTheme="minorHAnsi" w:cstheme="minorHAnsi"/>
          <w:b/>
          <w:color w:val="000000" w:themeColor="text1"/>
          <w:sz w:val="21"/>
          <w:szCs w:val="21"/>
          <w:lang w:bidi="ar-SA"/>
        </w:rPr>
        <w:t>.</w:t>
      </w:r>
    </w:p>
    <w:p w14:paraId="32E19872" w14:textId="7FB2F881" w:rsidR="007F3E94" w:rsidRPr="0049280D" w:rsidRDefault="007F3E94" w:rsidP="007F3E94">
      <w:pPr>
        <w:ind w:right="40"/>
        <w:rPr>
          <w:rFonts w:asciiTheme="minorHAnsi" w:eastAsiaTheme="minorHAnsi" w:hAnsiTheme="minorHAnsi" w:cstheme="minorHAnsi"/>
          <w:b/>
          <w:sz w:val="21"/>
          <w:szCs w:val="21"/>
          <w:lang w:bidi="ar-SA"/>
        </w:rPr>
      </w:pPr>
    </w:p>
    <w:p w14:paraId="1D70A45A" w14:textId="26DDE1D4" w:rsidR="00C94C33" w:rsidRDefault="008C3A59" w:rsidP="00320E0F">
      <w:pPr>
        <w:spacing w:after="200"/>
        <w:rPr>
          <w:rFonts w:asciiTheme="minorHAnsi" w:hAnsiTheme="minorHAnsi" w:cstheme="minorHAnsi"/>
          <w:b/>
          <w:color w:val="4F81BD" w:themeColor="accent1"/>
          <w:sz w:val="21"/>
          <w:szCs w:val="21"/>
        </w:rPr>
      </w:pPr>
      <w:r w:rsidRPr="0049280D">
        <w:rPr>
          <w:rFonts w:asciiTheme="minorHAnsi" w:hAnsiTheme="minorHAnsi" w:cstheme="minorHAnsi"/>
          <w:b/>
          <w:i/>
          <w:sz w:val="21"/>
          <w:szCs w:val="21"/>
        </w:rPr>
        <w:t>Praha,</w:t>
      </w:r>
      <w:r w:rsidR="007F3E94" w:rsidRPr="0049280D">
        <w:rPr>
          <w:rFonts w:asciiTheme="minorHAnsi" w:hAnsiTheme="minorHAnsi" w:cstheme="minorHAnsi"/>
          <w:b/>
          <w:i/>
          <w:sz w:val="21"/>
          <w:szCs w:val="21"/>
        </w:rPr>
        <w:t xml:space="preserve"> </w:t>
      </w:r>
      <w:r w:rsidR="007131CE">
        <w:rPr>
          <w:rFonts w:asciiTheme="minorHAnsi" w:hAnsiTheme="minorHAnsi" w:cstheme="minorHAnsi"/>
          <w:b/>
          <w:i/>
          <w:sz w:val="21"/>
          <w:szCs w:val="21"/>
        </w:rPr>
        <w:t>15</w:t>
      </w:r>
      <w:r w:rsidR="0014644B">
        <w:rPr>
          <w:rFonts w:asciiTheme="minorHAnsi" w:hAnsiTheme="minorHAnsi" w:cstheme="minorHAnsi"/>
          <w:b/>
          <w:i/>
          <w:sz w:val="21"/>
          <w:szCs w:val="21"/>
        </w:rPr>
        <w:t>. listopadu</w:t>
      </w:r>
      <w:r w:rsidR="00F21D05" w:rsidRPr="00F640A4">
        <w:rPr>
          <w:rFonts w:asciiTheme="minorHAnsi" w:hAnsiTheme="minorHAnsi" w:cstheme="minorHAnsi"/>
          <w:b/>
          <w:i/>
          <w:sz w:val="21"/>
          <w:szCs w:val="21"/>
        </w:rPr>
        <w:t xml:space="preserve"> 2023</w:t>
      </w:r>
      <w:r w:rsidR="00F21D05" w:rsidRPr="0049280D">
        <w:rPr>
          <w:rFonts w:asciiTheme="minorHAnsi" w:hAnsiTheme="minorHAnsi" w:cstheme="minorHAnsi"/>
          <w:b/>
          <w:sz w:val="21"/>
          <w:szCs w:val="21"/>
        </w:rPr>
        <w:t xml:space="preserve"> </w:t>
      </w:r>
      <w:r w:rsidR="00FA69C2" w:rsidRPr="00E225BA">
        <w:rPr>
          <w:rFonts w:asciiTheme="minorHAnsi" w:hAnsiTheme="minorHAnsi" w:cstheme="minorHAnsi"/>
          <w:b/>
          <w:sz w:val="21"/>
          <w:szCs w:val="21"/>
        </w:rPr>
        <w:t xml:space="preserve">– </w:t>
      </w:r>
      <w:r w:rsidR="00345DD2" w:rsidRPr="007777E1">
        <w:rPr>
          <w:rFonts w:asciiTheme="minorHAnsi" w:hAnsiTheme="minorHAnsi" w:cstheme="minorHAnsi"/>
          <w:b/>
          <w:color w:val="000000" w:themeColor="text1"/>
          <w:sz w:val="21"/>
          <w:szCs w:val="21"/>
        </w:rPr>
        <w:t xml:space="preserve">Broker Consulting Index spotřebitelských úvěrů </w:t>
      </w:r>
      <w:r w:rsidR="00E8372E">
        <w:rPr>
          <w:rFonts w:asciiTheme="minorHAnsi" w:hAnsiTheme="minorHAnsi" w:cstheme="minorHAnsi"/>
          <w:b/>
          <w:color w:val="000000" w:themeColor="text1"/>
          <w:sz w:val="21"/>
          <w:szCs w:val="21"/>
        </w:rPr>
        <w:t>dosáhl</w:t>
      </w:r>
      <w:r w:rsidR="00345DD2" w:rsidRPr="007777E1">
        <w:rPr>
          <w:rFonts w:asciiTheme="minorHAnsi" w:hAnsiTheme="minorHAnsi" w:cstheme="minorHAnsi"/>
          <w:b/>
          <w:color w:val="000000" w:themeColor="text1"/>
          <w:sz w:val="21"/>
          <w:szCs w:val="21"/>
        </w:rPr>
        <w:t xml:space="preserve"> </w:t>
      </w:r>
      <w:r w:rsidR="00E8372E">
        <w:rPr>
          <w:rFonts w:asciiTheme="minorHAnsi" w:hAnsiTheme="minorHAnsi" w:cstheme="minorHAnsi"/>
          <w:b/>
          <w:color w:val="000000" w:themeColor="text1"/>
          <w:sz w:val="21"/>
          <w:szCs w:val="21"/>
        </w:rPr>
        <w:t xml:space="preserve">v říjnu </w:t>
      </w:r>
      <w:r w:rsidR="00345DD2" w:rsidRPr="007777E1">
        <w:rPr>
          <w:rFonts w:asciiTheme="minorHAnsi" w:hAnsiTheme="minorHAnsi" w:cstheme="minorHAnsi"/>
          <w:b/>
          <w:color w:val="000000" w:themeColor="text1"/>
          <w:sz w:val="21"/>
          <w:szCs w:val="21"/>
        </w:rPr>
        <w:t xml:space="preserve">hodnoty 9,36 </w:t>
      </w:r>
      <w:r w:rsidR="00E8372E">
        <w:rPr>
          <w:rFonts w:asciiTheme="minorHAnsi" w:hAnsiTheme="minorHAnsi" w:cstheme="minorHAnsi"/>
          <w:b/>
          <w:color w:val="000000" w:themeColor="text1"/>
          <w:sz w:val="21"/>
          <w:szCs w:val="21"/>
        </w:rPr>
        <w:t>procenta</w:t>
      </w:r>
      <w:r w:rsidR="00345DD2" w:rsidRPr="007777E1">
        <w:rPr>
          <w:rFonts w:asciiTheme="minorHAnsi" w:hAnsiTheme="minorHAnsi" w:cstheme="minorHAnsi"/>
          <w:b/>
          <w:color w:val="000000" w:themeColor="text1"/>
          <w:sz w:val="21"/>
          <w:szCs w:val="21"/>
        </w:rPr>
        <w:t>.</w:t>
      </w:r>
      <w:r w:rsidR="00E8372E">
        <w:rPr>
          <w:rFonts w:asciiTheme="minorHAnsi" w:hAnsiTheme="minorHAnsi" w:cstheme="minorHAnsi"/>
          <w:b/>
          <w:color w:val="000000" w:themeColor="text1"/>
          <w:sz w:val="21"/>
          <w:szCs w:val="21"/>
        </w:rPr>
        <w:t xml:space="preserve"> Od zářijového měření je to pokles o šest bazických bodů.</w:t>
      </w:r>
      <w:r w:rsidR="00345DD2" w:rsidRPr="007777E1">
        <w:rPr>
          <w:rFonts w:asciiTheme="minorHAnsi" w:hAnsiTheme="minorHAnsi" w:cstheme="minorHAnsi"/>
          <w:b/>
          <w:color w:val="000000" w:themeColor="text1"/>
          <w:sz w:val="21"/>
          <w:szCs w:val="21"/>
        </w:rPr>
        <w:t xml:space="preserve"> V meziročním porov</w:t>
      </w:r>
      <w:r w:rsidR="00E8372E">
        <w:rPr>
          <w:rFonts w:asciiTheme="minorHAnsi" w:hAnsiTheme="minorHAnsi" w:cstheme="minorHAnsi"/>
          <w:b/>
          <w:color w:val="000000" w:themeColor="text1"/>
          <w:sz w:val="21"/>
          <w:szCs w:val="21"/>
        </w:rPr>
        <w:t>nání je pak aktuální hodnota nižší jen o 0,10 procentních bodů</w:t>
      </w:r>
      <w:r w:rsidR="00345DD2" w:rsidRPr="007777E1">
        <w:rPr>
          <w:rFonts w:asciiTheme="minorHAnsi" w:hAnsiTheme="minorHAnsi" w:cstheme="minorHAnsi"/>
          <w:b/>
          <w:color w:val="000000" w:themeColor="text1"/>
          <w:sz w:val="21"/>
          <w:szCs w:val="21"/>
        </w:rPr>
        <w:t>. Analytici z </w:t>
      </w:r>
      <w:proofErr w:type="gramStart"/>
      <w:r w:rsidR="00345DD2" w:rsidRPr="007777E1">
        <w:rPr>
          <w:rFonts w:asciiTheme="minorHAnsi" w:hAnsiTheme="minorHAnsi" w:cstheme="minorHAnsi"/>
          <w:b/>
          <w:color w:val="000000" w:themeColor="text1"/>
          <w:sz w:val="21"/>
          <w:szCs w:val="21"/>
        </w:rPr>
        <w:t>Broker</w:t>
      </w:r>
      <w:proofErr w:type="gramEnd"/>
      <w:r w:rsidR="00345DD2" w:rsidRPr="007777E1">
        <w:rPr>
          <w:rFonts w:asciiTheme="minorHAnsi" w:hAnsiTheme="minorHAnsi" w:cstheme="minorHAnsi"/>
          <w:b/>
          <w:color w:val="000000" w:themeColor="text1"/>
          <w:sz w:val="21"/>
          <w:szCs w:val="21"/>
        </w:rPr>
        <w:t xml:space="preserve"> Consulting neočekávají minimálně d</w:t>
      </w:r>
      <w:r w:rsidR="004A7830">
        <w:rPr>
          <w:rFonts w:asciiTheme="minorHAnsi" w:hAnsiTheme="minorHAnsi" w:cstheme="minorHAnsi"/>
          <w:b/>
          <w:color w:val="000000" w:themeColor="text1"/>
          <w:sz w:val="21"/>
          <w:szCs w:val="21"/>
        </w:rPr>
        <w:t>o konce tohoto roku výraznější výkyvy hodnot</w:t>
      </w:r>
      <w:r w:rsidR="00345DD2" w:rsidRPr="007777E1">
        <w:rPr>
          <w:rFonts w:asciiTheme="minorHAnsi" w:hAnsiTheme="minorHAnsi" w:cstheme="minorHAnsi"/>
          <w:b/>
          <w:color w:val="000000" w:themeColor="text1"/>
          <w:sz w:val="21"/>
          <w:szCs w:val="21"/>
        </w:rPr>
        <w:t xml:space="preserve"> ani jedním směrem. </w:t>
      </w:r>
      <w:r w:rsidR="004A7830">
        <w:rPr>
          <w:rFonts w:asciiTheme="minorHAnsi" w:hAnsiTheme="minorHAnsi" w:cstheme="minorHAnsi"/>
          <w:b/>
          <w:color w:val="000000" w:themeColor="text1"/>
          <w:sz w:val="21"/>
          <w:szCs w:val="21"/>
        </w:rPr>
        <w:t>Mírně by mohly trend ovlivnit opět</w:t>
      </w:r>
      <w:r w:rsidR="00345DD2" w:rsidRPr="007777E1">
        <w:rPr>
          <w:rFonts w:asciiTheme="minorHAnsi" w:hAnsiTheme="minorHAnsi" w:cstheme="minorHAnsi"/>
          <w:b/>
          <w:color w:val="000000" w:themeColor="text1"/>
          <w:sz w:val="21"/>
          <w:szCs w:val="21"/>
        </w:rPr>
        <w:t xml:space="preserve"> konkurenční nabídky bank, které v předvánočním období vždy připravují pro klienty zvýhodněné nabídky úvěrů. </w:t>
      </w:r>
      <w:r w:rsidR="00550AC2">
        <w:rPr>
          <w:rFonts w:asciiTheme="minorHAnsi" w:hAnsiTheme="minorHAnsi" w:cstheme="minorHAnsi"/>
          <w:b/>
          <w:color w:val="000000" w:themeColor="text1"/>
          <w:sz w:val="21"/>
          <w:szCs w:val="21"/>
        </w:rPr>
        <w:t xml:space="preserve">Část lidí </w:t>
      </w:r>
      <w:r w:rsidR="00345DD2" w:rsidRPr="007777E1">
        <w:rPr>
          <w:rFonts w:asciiTheme="minorHAnsi" w:hAnsiTheme="minorHAnsi" w:cstheme="minorHAnsi"/>
          <w:b/>
          <w:color w:val="000000" w:themeColor="text1"/>
          <w:sz w:val="21"/>
          <w:szCs w:val="21"/>
        </w:rPr>
        <w:t>si totiž opakovaně bere půjčky na nákup vánočních dárků a na pokrytí zvýšených provozních nákladů v tomto období. Odborníci před neuváženými vánočními půjčkami varují.</w:t>
      </w:r>
    </w:p>
    <w:p w14:paraId="0C084467" w14:textId="1A555937" w:rsidR="00187ECB" w:rsidRPr="007777E1" w:rsidRDefault="00187ECB" w:rsidP="00187ECB">
      <w:pPr>
        <w:spacing w:after="200"/>
        <w:rPr>
          <w:rFonts w:asciiTheme="minorHAnsi" w:hAnsiTheme="minorHAnsi" w:cs="Calibri"/>
          <w:b/>
          <w:color w:val="000000" w:themeColor="text1"/>
          <w:sz w:val="21"/>
          <w:szCs w:val="21"/>
        </w:rPr>
      </w:pPr>
      <w:r w:rsidRPr="007777E1">
        <w:rPr>
          <w:rFonts w:asciiTheme="minorHAnsi" w:hAnsiTheme="minorHAnsi" w:cstheme="minorHAnsi"/>
          <w:b/>
          <w:color w:val="000000" w:themeColor="text1"/>
          <w:sz w:val="21"/>
          <w:szCs w:val="21"/>
        </w:rPr>
        <w:t>Říjnové hodnoty Broker Consulting Indexu</w:t>
      </w:r>
      <w:r w:rsidRPr="007777E1">
        <w:rPr>
          <w:rFonts w:asciiTheme="minorHAnsi" w:hAnsiTheme="minorHAnsi" w:cstheme="minorHAnsi"/>
          <w:bCs/>
          <w:color w:val="000000" w:themeColor="text1"/>
          <w:sz w:val="21"/>
          <w:szCs w:val="21"/>
        </w:rPr>
        <w:t xml:space="preserve"> spotřebitelských úvěrů dosáhly průměrné hodnoty </w:t>
      </w:r>
      <w:r w:rsidR="009C16D4">
        <w:rPr>
          <w:rFonts w:asciiTheme="minorHAnsi" w:hAnsiTheme="minorHAnsi" w:cstheme="minorHAnsi"/>
          <w:b/>
          <w:color w:val="000000" w:themeColor="text1"/>
          <w:sz w:val="21"/>
          <w:szCs w:val="21"/>
        </w:rPr>
        <w:t>9,36 procenta</w:t>
      </w:r>
      <w:r w:rsidRPr="007777E1">
        <w:rPr>
          <w:rFonts w:asciiTheme="minorHAnsi" w:hAnsiTheme="minorHAnsi" w:cstheme="minorHAnsi"/>
          <w:b/>
          <w:color w:val="000000" w:themeColor="text1"/>
          <w:sz w:val="21"/>
          <w:szCs w:val="21"/>
        </w:rPr>
        <w:t>.</w:t>
      </w:r>
      <w:r w:rsidRPr="007777E1">
        <w:rPr>
          <w:rFonts w:asciiTheme="minorHAnsi" w:hAnsiTheme="minorHAnsi" w:cstheme="minorHAnsi"/>
          <w:bCs/>
          <w:color w:val="000000" w:themeColor="text1"/>
          <w:sz w:val="21"/>
          <w:szCs w:val="21"/>
        </w:rPr>
        <w:t xml:space="preserve"> </w:t>
      </w:r>
      <w:r w:rsidRPr="007777E1">
        <w:rPr>
          <w:rFonts w:asciiTheme="minorHAnsi" w:hAnsiTheme="minorHAnsi" w:cstheme="minorHAnsi"/>
          <w:bCs/>
          <w:i/>
          <w:iCs/>
          <w:color w:val="000000" w:themeColor="text1"/>
          <w:sz w:val="21"/>
          <w:szCs w:val="21"/>
        </w:rPr>
        <w:t>„Prakticky již od října loňského roku zůstávají úrokové sazby úvěrů na cokoliv na podobné hodnotě. V říjnu 2022 činila průměrná hodnota 9,46 procenta. Celý rok 2023 jsou tedy průměrné úroky kolem této hodnoty s maximál</w:t>
      </w:r>
      <w:r w:rsidR="009C16D4">
        <w:rPr>
          <w:rFonts w:asciiTheme="minorHAnsi" w:hAnsiTheme="minorHAnsi" w:cstheme="minorHAnsi"/>
          <w:bCs/>
          <w:i/>
          <w:iCs/>
          <w:color w:val="000000" w:themeColor="text1"/>
          <w:sz w:val="21"/>
          <w:szCs w:val="21"/>
        </w:rPr>
        <w:t>ní odchylkou do jednoho procentního bodu</w:t>
      </w:r>
      <w:r w:rsidRPr="007777E1">
        <w:rPr>
          <w:rFonts w:asciiTheme="minorHAnsi" w:hAnsiTheme="minorHAnsi" w:cstheme="minorHAnsi"/>
          <w:bCs/>
          <w:i/>
          <w:iCs/>
          <w:color w:val="000000" w:themeColor="text1"/>
          <w:sz w:val="21"/>
          <w:szCs w:val="21"/>
        </w:rPr>
        <w:t xml:space="preserve"> v obou směrech,“</w:t>
      </w:r>
      <w:r w:rsidRPr="007777E1">
        <w:rPr>
          <w:rFonts w:asciiTheme="minorHAnsi" w:hAnsiTheme="minorHAnsi" w:cstheme="minorHAnsi"/>
          <w:bCs/>
          <w:color w:val="000000" w:themeColor="text1"/>
          <w:sz w:val="21"/>
          <w:szCs w:val="21"/>
        </w:rPr>
        <w:t xml:space="preserve"> říká </w:t>
      </w:r>
      <w:r w:rsidRPr="007777E1">
        <w:rPr>
          <w:rFonts w:asciiTheme="minorHAnsi" w:hAnsiTheme="minorHAnsi" w:cs="Calibri"/>
          <w:b/>
          <w:color w:val="000000" w:themeColor="text1"/>
          <w:sz w:val="21"/>
          <w:szCs w:val="21"/>
        </w:rPr>
        <w:t xml:space="preserve">Michaela Pudilová, analytička hypotečních a spotřebitelských úvěrů ze společnosti Broker Consulting. </w:t>
      </w:r>
    </w:p>
    <w:p w14:paraId="45106496" w14:textId="60494E3E" w:rsidR="004228ED" w:rsidRPr="00E225BA" w:rsidRDefault="009750FA" w:rsidP="004228ED">
      <w:pPr>
        <w:spacing w:after="200"/>
        <w:jc w:val="center"/>
        <w:rPr>
          <w:rFonts w:asciiTheme="minorHAnsi" w:hAnsiTheme="minorHAnsi" w:cs="Calibri"/>
          <w:b/>
          <w:sz w:val="21"/>
          <w:szCs w:val="21"/>
        </w:rPr>
      </w:pPr>
      <w:r>
        <w:rPr>
          <w:rFonts w:asciiTheme="minorHAnsi" w:hAnsiTheme="minorHAnsi" w:cs="Calibri"/>
          <w:b/>
          <w:noProof/>
          <w:sz w:val="21"/>
          <w:szCs w:val="21"/>
          <w:lang w:bidi="ar-SA"/>
        </w:rPr>
        <w:drawing>
          <wp:inline distT="0" distB="0" distL="0" distR="0" wp14:anchorId="774B878C" wp14:editId="263A15CD">
            <wp:extent cx="6521785" cy="2940201"/>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 BC Index spotřebitelských úvěrů - říjen 2023.png"/>
                    <pic:cNvPicPr/>
                  </pic:nvPicPr>
                  <pic:blipFill>
                    <a:blip r:embed="rId24">
                      <a:extLst>
                        <a:ext uri="{28A0092B-C50C-407E-A947-70E740481C1C}">
                          <a14:useLocalDpi xmlns:a14="http://schemas.microsoft.com/office/drawing/2010/main" val="0"/>
                        </a:ext>
                      </a:extLst>
                    </a:blip>
                    <a:stretch>
                      <a:fillRect/>
                    </a:stretch>
                  </pic:blipFill>
                  <pic:spPr>
                    <a:xfrm>
                      <a:off x="0" y="0"/>
                      <a:ext cx="6521785" cy="2940201"/>
                    </a:xfrm>
                    <a:prstGeom prst="rect">
                      <a:avLst/>
                    </a:prstGeom>
                  </pic:spPr>
                </pic:pic>
              </a:graphicData>
            </a:graphic>
          </wp:inline>
        </w:drawing>
      </w:r>
    </w:p>
    <w:p w14:paraId="6C56D040" w14:textId="77777777" w:rsidR="00187ECB" w:rsidRPr="007777E1" w:rsidRDefault="00187ECB" w:rsidP="00187ECB">
      <w:pPr>
        <w:spacing w:after="200"/>
        <w:rPr>
          <w:rFonts w:asciiTheme="minorHAnsi" w:hAnsiTheme="minorHAnsi" w:cs="Calibri"/>
          <w:b/>
          <w:color w:val="000000" w:themeColor="text1"/>
          <w:sz w:val="21"/>
          <w:szCs w:val="21"/>
        </w:rPr>
      </w:pPr>
      <w:r w:rsidRPr="007777E1">
        <w:rPr>
          <w:rFonts w:asciiTheme="minorHAnsi" w:hAnsiTheme="minorHAnsi" w:cs="Calibri"/>
          <w:b/>
          <w:color w:val="000000" w:themeColor="text1"/>
          <w:sz w:val="21"/>
          <w:szCs w:val="21"/>
        </w:rPr>
        <w:t>Vliv mají Vánoce i případná změna základní sazby ČNB</w:t>
      </w:r>
    </w:p>
    <w:p w14:paraId="59801432" w14:textId="67982B96" w:rsidR="00187ECB" w:rsidRPr="007777E1" w:rsidRDefault="00187ECB" w:rsidP="00187ECB">
      <w:pPr>
        <w:spacing w:after="200"/>
        <w:rPr>
          <w:rFonts w:asciiTheme="minorHAnsi" w:hAnsiTheme="minorHAnsi" w:cs="Calibri"/>
          <w:bCs/>
          <w:color w:val="000000" w:themeColor="text1"/>
          <w:sz w:val="21"/>
          <w:szCs w:val="21"/>
        </w:rPr>
      </w:pPr>
      <w:r w:rsidRPr="007777E1">
        <w:rPr>
          <w:rFonts w:asciiTheme="minorHAnsi" w:hAnsiTheme="minorHAnsi" w:cs="Calibri"/>
          <w:bCs/>
          <w:color w:val="000000" w:themeColor="text1"/>
          <w:sz w:val="21"/>
          <w:szCs w:val="21"/>
        </w:rPr>
        <w:t xml:space="preserve">Ačkoli do konce roku neočekávají odborníci výrazné výkyvy úrokových sazeb ani jedním směrem, je pravděpodobné, že v listopadu a prosinci budou hodnoty Broker Consulting Indexu spotřebitelských úvěrů ovlivněny blížícími se Vánocemi a s tím souvisejícími </w:t>
      </w:r>
      <w:r w:rsidRPr="007777E1">
        <w:rPr>
          <w:rFonts w:asciiTheme="minorHAnsi" w:hAnsiTheme="minorHAnsi" w:cs="Calibri"/>
          <w:b/>
          <w:color w:val="000000" w:themeColor="text1"/>
          <w:sz w:val="21"/>
          <w:szCs w:val="21"/>
        </w:rPr>
        <w:t>výhodnými nabídkami bank</w:t>
      </w:r>
      <w:r w:rsidRPr="007777E1">
        <w:rPr>
          <w:rFonts w:asciiTheme="minorHAnsi" w:hAnsiTheme="minorHAnsi" w:cs="Calibri"/>
          <w:bCs/>
          <w:color w:val="000000" w:themeColor="text1"/>
          <w:sz w:val="21"/>
          <w:szCs w:val="21"/>
        </w:rPr>
        <w:t xml:space="preserve">. </w:t>
      </w:r>
      <w:r w:rsidRPr="007777E1">
        <w:rPr>
          <w:rFonts w:asciiTheme="minorHAnsi" w:hAnsiTheme="minorHAnsi" w:cs="Calibri"/>
          <w:bCs/>
          <w:i/>
          <w:iCs/>
          <w:color w:val="000000" w:themeColor="text1"/>
          <w:sz w:val="21"/>
          <w:szCs w:val="21"/>
        </w:rPr>
        <w:t xml:space="preserve">„V předvánočním období mezi sebou banky běžně soutěží a snaží se s o něco málo nižším úrokem oslovit co nejvíce klientů. Právě v těchto měsících bývá poptávka po spotřebitelských úvěrech standardně největší za celý rok,“ </w:t>
      </w:r>
      <w:r w:rsidRPr="007777E1">
        <w:rPr>
          <w:rFonts w:asciiTheme="minorHAnsi" w:hAnsiTheme="minorHAnsi" w:cs="Calibri"/>
          <w:b/>
          <w:color w:val="000000" w:themeColor="text1"/>
          <w:sz w:val="21"/>
          <w:szCs w:val="21"/>
        </w:rPr>
        <w:t>popisuje</w:t>
      </w:r>
      <w:r w:rsidR="00432DAE">
        <w:rPr>
          <w:rFonts w:asciiTheme="minorHAnsi" w:hAnsiTheme="minorHAnsi" w:cs="Calibri"/>
          <w:b/>
          <w:color w:val="000000" w:themeColor="text1"/>
          <w:sz w:val="21"/>
          <w:szCs w:val="21"/>
        </w:rPr>
        <w:t xml:space="preserve"> Michaela</w:t>
      </w:r>
      <w:r w:rsidRPr="007777E1">
        <w:rPr>
          <w:rFonts w:asciiTheme="minorHAnsi" w:hAnsiTheme="minorHAnsi" w:cs="Calibri"/>
          <w:b/>
          <w:color w:val="000000" w:themeColor="text1"/>
          <w:sz w:val="21"/>
          <w:szCs w:val="21"/>
        </w:rPr>
        <w:t xml:space="preserve"> Pudilová z </w:t>
      </w:r>
      <w:proofErr w:type="gramStart"/>
      <w:r w:rsidRPr="007777E1">
        <w:rPr>
          <w:rFonts w:asciiTheme="minorHAnsi" w:hAnsiTheme="minorHAnsi" w:cs="Calibri"/>
          <w:b/>
          <w:color w:val="000000" w:themeColor="text1"/>
          <w:sz w:val="21"/>
          <w:szCs w:val="21"/>
        </w:rPr>
        <w:t>Broker</w:t>
      </w:r>
      <w:proofErr w:type="gramEnd"/>
      <w:r w:rsidRPr="007777E1">
        <w:rPr>
          <w:rFonts w:asciiTheme="minorHAnsi" w:hAnsiTheme="minorHAnsi" w:cs="Calibri"/>
          <w:b/>
          <w:color w:val="000000" w:themeColor="text1"/>
          <w:sz w:val="21"/>
          <w:szCs w:val="21"/>
        </w:rPr>
        <w:t xml:space="preserve"> Consulting.</w:t>
      </w:r>
    </w:p>
    <w:p w14:paraId="2193A034" w14:textId="7E462171" w:rsidR="00187ECB" w:rsidRPr="007777E1" w:rsidRDefault="00187ECB" w:rsidP="00187ECB">
      <w:pPr>
        <w:spacing w:after="200"/>
        <w:rPr>
          <w:rFonts w:asciiTheme="minorHAnsi" w:hAnsiTheme="minorHAnsi" w:cs="Calibri"/>
          <w:bCs/>
          <w:color w:val="000000" w:themeColor="text1"/>
          <w:sz w:val="21"/>
          <w:szCs w:val="21"/>
        </w:rPr>
      </w:pPr>
      <w:r w:rsidRPr="007777E1">
        <w:rPr>
          <w:rFonts w:asciiTheme="minorHAnsi" w:hAnsiTheme="minorHAnsi" w:cs="Calibri"/>
          <w:bCs/>
          <w:color w:val="000000" w:themeColor="text1"/>
          <w:sz w:val="21"/>
          <w:szCs w:val="21"/>
        </w:rPr>
        <w:t xml:space="preserve">Do koncových sazeb u spotřebitelských úvěrů by se vedle Vánoc mohl propsat také případný pokles základní úrokové sazby ČNB. </w:t>
      </w:r>
      <w:r w:rsidRPr="007777E1">
        <w:rPr>
          <w:rFonts w:asciiTheme="minorHAnsi" w:hAnsiTheme="minorHAnsi" w:cs="Calibri"/>
          <w:bCs/>
          <w:i/>
          <w:iCs/>
          <w:color w:val="000000" w:themeColor="text1"/>
          <w:sz w:val="21"/>
          <w:szCs w:val="21"/>
        </w:rPr>
        <w:t>„S jakou razancí a rychlostí, to ale nelze jednoduše odhadnout. Určitě se ale dá počítat s tím, že budou úroky klesat mnohem pomaleji v porovnání s tím, jak rychle zejména v minulém roce rostly,“</w:t>
      </w:r>
      <w:r w:rsidRPr="007777E1">
        <w:rPr>
          <w:rFonts w:asciiTheme="minorHAnsi" w:hAnsiTheme="minorHAnsi" w:cs="Calibri"/>
          <w:bCs/>
          <w:color w:val="000000" w:themeColor="text1"/>
          <w:sz w:val="21"/>
          <w:szCs w:val="21"/>
        </w:rPr>
        <w:t xml:space="preserve"> říká </w:t>
      </w:r>
      <w:r w:rsidRPr="007777E1">
        <w:rPr>
          <w:rFonts w:asciiTheme="minorHAnsi" w:hAnsiTheme="minorHAnsi" w:cs="Calibri"/>
          <w:b/>
          <w:color w:val="000000" w:themeColor="text1"/>
          <w:sz w:val="21"/>
          <w:szCs w:val="21"/>
        </w:rPr>
        <w:t>Martin Novák, hlavní analytik ze společnosti Broker Consulting</w:t>
      </w:r>
      <w:r w:rsidRPr="007777E1">
        <w:rPr>
          <w:rFonts w:asciiTheme="minorHAnsi" w:hAnsiTheme="minorHAnsi" w:cs="Calibri"/>
          <w:bCs/>
          <w:color w:val="000000" w:themeColor="text1"/>
          <w:sz w:val="21"/>
          <w:szCs w:val="21"/>
        </w:rPr>
        <w:t xml:space="preserve"> a dodává</w:t>
      </w:r>
      <w:r w:rsidR="00315AC2">
        <w:rPr>
          <w:rFonts w:asciiTheme="minorHAnsi" w:hAnsiTheme="minorHAnsi" w:cs="Calibri"/>
          <w:bCs/>
          <w:color w:val="000000" w:themeColor="text1"/>
          <w:sz w:val="21"/>
          <w:szCs w:val="21"/>
        </w:rPr>
        <w:t>,</w:t>
      </w:r>
      <w:r w:rsidRPr="007777E1">
        <w:rPr>
          <w:rFonts w:asciiTheme="minorHAnsi" w:hAnsiTheme="minorHAnsi" w:cs="Calibri"/>
          <w:bCs/>
          <w:color w:val="000000" w:themeColor="text1"/>
          <w:sz w:val="21"/>
          <w:szCs w:val="21"/>
        </w:rPr>
        <w:t xml:space="preserve"> že v předvánočním čase banky každoročně nabízejí akční úroky i bez ohledu na snižování ze strany ČNB. </w:t>
      </w:r>
    </w:p>
    <w:p w14:paraId="37759CCB" w14:textId="77777777" w:rsidR="00187ECB" w:rsidRPr="007777E1" w:rsidRDefault="00187ECB" w:rsidP="00187ECB">
      <w:pPr>
        <w:spacing w:after="200"/>
        <w:rPr>
          <w:rFonts w:asciiTheme="minorHAnsi" w:hAnsiTheme="minorHAnsi" w:cs="Calibri"/>
          <w:b/>
          <w:color w:val="000000" w:themeColor="text1"/>
          <w:sz w:val="21"/>
          <w:szCs w:val="21"/>
        </w:rPr>
      </w:pPr>
      <w:r w:rsidRPr="007777E1">
        <w:rPr>
          <w:rFonts w:asciiTheme="minorHAnsi" w:hAnsiTheme="minorHAnsi" w:cs="Calibri"/>
          <w:b/>
          <w:color w:val="000000" w:themeColor="text1"/>
          <w:sz w:val="21"/>
          <w:szCs w:val="21"/>
        </w:rPr>
        <w:t>Půjčka na Vánoce? Ano, ale...</w:t>
      </w:r>
    </w:p>
    <w:p w14:paraId="360CF089" w14:textId="15E1C54A" w:rsidR="00187ECB" w:rsidRDefault="009A4FC0" w:rsidP="00187ECB">
      <w:pPr>
        <w:spacing w:after="200"/>
        <w:rPr>
          <w:rFonts w:asciiTheme="minorHAnsi" w:hAnsiTheme="minorHAnsi" w:cs="Calibri"/>
          <w:bCs/>
          <w:color w:val="000000" w:themeColor="text1"/>
          <w:sz w:val="21"/>
          <w:szCs w:val="21"/>
        </w:rPr>
      </w:pPr>
      <w:r>
        <w:rPr>
          <w:rFonts w:asciiTheme="minorHAnsi" w:hAnsiTheme="minorHAnsi" w:cs="Calibri"/>
          <w:bCs/>
          <w:color w:val="000000" w:themeColor="text1"/>
          <w:sz w:val="21"/>
          <w:szCs w:val="21"/>
        </w:rPr>
        <w:t>Část veřejnosti</w:t>
      </w:r>
      <w:r w:rsidR="00187ECB" w:rsidRPr="007777E1">
        <w:rPr>
          <w:rFonts w:asciiTheme="minorHAnsi" w:hAnsiTheme="minorHAnsi" w:cs="Calibri"/>
          <w:bCs/>
          <w:color w:val="000000" w:themeColor="text1"/>
          <w:sz w:val="21"/>
          <w:szCs w:val="21"/>
        </w:rPr>
        <w:t xml:space="preserve"> si před Vánoci opakovaně bere půjčky na pořízení dárků i na zvýšené útraty domácnosti v době před vánočními svátky. Taková půjčka samozřejmě dokáže pomoci, ale musí být dobře promyšlená. V opačném případě může </w:t>
      </w:r>
      <w:r w:rsidR="00187ECB" w:rsidRPr="007777E1">
        <w:rPr>
          <w:rFonts w:asciiTheme="minorHAnsi" w:hAnsiTheme="minorHAnsi" w:cs="Calibri"/>
          <w:bCs/>
          <w:color w:val="000000" w:themeColor="text1"/>
          <w:sz w:val="21"/>
          <w:szCs w:val="21"/>
        </w:rPr>
        <w:lastRenderedPageBreak/>
        <w:t xml:space="preserve">zadlužení se na Vánoce napáchat i výrazné škody. Podle odborníků je tedy vždy důležitá obezřetnost, porovnávání několika nabídek a dodržování pravidel chytrého půjčování. </w:t>
      </w:r>
      <w:r w:rsidR="00187ECB" w:rsidRPr="007777E1">
        <w:rPr>
          <w:rFonts w:asciiTheme="minorHAnsi" w:hAnsiTheme="minorHAnsi" w:cs="Calibri"/>
          <w:bCs/>
          <w:i/>
          <w:iCs/>
          <w:color w:val="000000" w:themeColor="text1"/>
          <w:sz w:val="21"/>
          <w:szCs w:val="21"/>
        </w:rPr>
        <w:t>„Různé zvýhodnění bank v podobě nižší úrokové sazby či slevy na poplatcích je mnohdy rozhodujícím faktorem toho, kde si klienti půjčku nechají poskytnout. I když se na první pohled mohou zdát nabídky bank lákavé a splátky úvěrů nízké, je dobré si uvědomit, že jejich splácení může trvat i několik let,“</w:t>
      </w:r>
      <w:r w:rsidR="00187ECB" w:rsidRPr="007777E1">
        <w:rPr>
          <w:rFonts w:asciiTheme="minorHAnsi" w:hAnsiTheme="minorHAnsi" w:cs="Calibri"/>
          <w:bCs/>
          <w:color w:val="000000" w:themeColor="text1"/>
          <w:sz w:val="21"/>
          <w:szCs w:val="21"/>
        </w:rPr>
        <w:t xml:space="preserve"> varuje </w:t>
      </w:r>
      <w:r w:rsidR="00432DAE">
        <w:rPr>
          <w:rFonts w:asciiTheme="minorHAnsi" w:hAnsiTheme="minorHAnsi" w:cs="Calibri"/>
          <w:bCs/>
          <w:color w:val="000000" w:themeColor="text1"/>
          <w:sz w:val="21"/>
          <w:szCs w:val="21"/>
        </w:rPr>
        <w:t xml:space="preserve">Michaela </w:t>
      </w:r>
      <w:r w:rsidR="00187ECB" w:rsidRPr="007777E1">
        <w:rPr>
          <w:rFonts w:asciiTheme="minorHAnsi" w:hAnsiTheme="minorHAnsi" w:cs="Calibri"/>
          <w:bCs/>
          <w:color w:val="000000" w:themeColor="text1"/>
          <w:sz w:val="21"/>
          <w:szCs w:val="21"/>
        </w:rPr>
        <w:t xml:space="preserve">Pudilová. </w:t>
      </w:r>
    </w:p>
    <w:p w14:paraId="5C325780" w14:textId="77777777" w:rsidR="00DF7709" w:rsidRPr="00DF7709" w:rsidRDefault="00DF7709" w:rsidP="00DF7709">
      <w:pPr>
        <w:pBdr>
          <w:bottom w:val="single" w:sz="4" w:space="1" w:color="auto"/>
        </w:pBdr>
        <w:jc w:val="both"/>
        <w:rPr>
          <w:rFonts w:asciiTheme="minorHAnsi" w:hAnsiTheme="minorHAnsi" w:cs="Calibri"/>
          <w:bCs/>
          <w:sz w:val="2"/>
          <w:szCs w:val="2"/>
        </w:rPr>
      </w:pPr>
    </w:p>
    <w:p w14:paraId="4CF17F9A" w14:textId="31E6AE10" w:rsidR="00C10C80" w:rsidRDefault="008F3C6D" w:rsidP="00EE3451">
      <w:pPr>
        <w:spacing w:before="120"/>
        <w:rPr>
          <w:rFonts w:asciiTheme="minorHAnsi" w:hAnsiTheme="minorHAnsi" w:cstheme="minorHAnsi"/>
          <w:b/>
          <w:sz w:val="21"/>
          <w:szCs w:val="21"/>
        </w:rPr>
      </w:pPr>
      <w:r w:rsidRPr="00233A58">
        <w:rPr>
          <w:rFonts w:asciiTheme="minorHAnsi" w:hAnsiTheme="minorHAnsi" w:cstheme="minorHAnsi"/>
          <w:b/>
          <w:sz w:val="21"/>
          <w:szCs w:val="21"/>
        </w:rPr>
        <w:t>Broker Consulting Index spotřebitelských úvěrů</w:t>
      </w:r>
      <w:r w:rsidRPr="0049280D">
        <w:rPr>
          <w:rFonts w:asciiTheme="minorHAnsi" w:hAnsiTheme="minorHAnsi" w:cstheme="minorHAnsi"/>
          <w:sz w:val="21"/>
          <w:szCs w:val="21"/>
        </w:rPr>
        <w:t xml:space="preserve"> je analytický nástroj, který ukazuje průměrnou úrokovou sazbu </w:t>
      </w:r>
      <w:r w:rsidR="00BE768F" w:rsidRPr="0049280D">
        <w:rPr>
          <w:rFonts w:asciiTheme="minorHAnsi" w:hAnsiTheme="minorHAnsi" w:cstheme="minorHAnsi"/>
          <w:sz w:val="21"/>
          <w:szCs w:val="21"/>
        </w:rPr>
        <w:br/>
      </w:r>
      <w:r w:rsidRPr="0049280D">
        <w:rPr>
          <w:rFonts w:asciiTheme="minorHAnsi" w:hAnsiTheme="minorHAnsi" w:cstheme="minorHAnsi"/>
          <w:sz w:val="21"/>
          <w:szCs w:val="21"/>
        </w:rPr>
        <w:t>u spotřebitelských úvěrů, jež zprostředkovali konzultanti Broker Consulting a pobočky OK POINT u kteréhokoli poskytovatele bankovních úvěrů. Jedná se o vážený aritmetický průměr, kdy hlavní vahou je objem úvěru. Tedy čím vyšší úvěr, tím jeho sazba do Indexu vstupuje větší vahou. Výhodou metody výpočtu je to, že se do stati</w:t>
      </w:r>
      <w:r w:rsidR="009066E9">
        <w:rPr>
          <w:rFonts w:asciiTheme="minorHAnsi" w:hAnsiTheme="minorHAnsi" w:cstheme="minorHAnsi"/>
          <w:sz w:val="21"/>
          <w:szCs w:val="21"/>
        </w:rPr>
        <w:t xml:space="preserve">stiky dostávají pouze  skutečně schválené </w:t>
      </w:r>
      <w:r w:rsidRPr="0049280D">
        <w:rPr>
          <w:rFonts w:asciiTheme="minorHAnsi" w:hAnsiTheme="minorHAnsi" w:cstheme="minorHAnsi"/>
          <w:sz w:val="21"/>
          <w:szCs w:val="21"/>
        </w:rPr>
        <w:t xml:space="preserve">úvěry, a to bez výjimky všechny. Nemůže tak </w:t>
      </w:r>
      <w:r w:rsidR="00EE3451">
        <w:rPr>
          <w:rFonts w:asciiTheme="minorHAnsi" w:hAnsiTheme="minorHAnsi" w:cstheme="minorHAnsi"/>
          <w:sz w:val="21"/>
          <w:szCs w:val="21"/>
        </w:rPr>
        <w:t>dojít ke zkreslení informací a i</w:t>
      </w:r>
      <w:r w:rsidRPr="0049280D">
        <w:rPr>
          <w:rFonts w:asciiTheme="minorHAnsi" w:hAnsiTheme="minorHAnsi" w:cstheme="minorHAnsi"/>
          <w:sz w:val="21"/>
          <w:szCs w:val="21"/>
        </w:rPr>
        <w:t>ndex není závislý na datech dodávaných třetími stranami.</w:t>
      </w:r>
      <w:r w:rsidRPr="0049280D">
        <w:rPr>
          <w:rFonts w:asciiTheme="minorHAnsi" w:hAnsiTheme="minorHAnsi" w:cstheme="minorHAnsi"/>
          <w:b/>
          <w:sz w:val="21"/>
          <w:szCs w:val="21"/>
        </w:rPr>
        <w:tab/>
      </w:r>
    </w:p>
    <w:p w14:paraId="2FA3FD44" w14:textId="1E7A17D8" w:rsidR="008F3C6D" w:rsidRPr="00C10C80" w:rsidRDefault="008F3C6D" w:rsidP="00EE3451">
      <w:pPr>
        <w:spacing w:before="120" w:after="120"/>
        <w:rPr>
          <w:rFonts w:asciiTheme="minorHAnsi" w:hAnsiTheme="minorHAnsi" w:cstheme="minorHAnsi"/>
          <w:b/>
          <w:sz w:val="21"/>
          <w:szCs w:val="21"/>
        </w:rPr>
      </w:pPr>
      <w:r w:rsidRPr="0049280D">
        <w:rPr>
          <w:rFonts w:asciiTheme="minorHAnsi" w:hAnsiTheme="minorHAnsi" w:cstheme="minorHAnsi"/>
          <w:b/>
          <w:sz w:val="21"/>
          <w:szCs w:val="21"/>
        </w:rPr>
        <w:t>Proč je dobré Index sledovat</w:t>
      </w:r>
      <w:r w:rsidRPr="0049280D">
        <w:rPr>
          <w:rFonts w:asciiTheme="minorHAnsi" w:hAnsiTheme="minorHAnsi" w:cstheme="minorHAnsi"/>
          <w:b/>
          <w:sz w:val="21"/>
          <w:szCs w:val="21"/>
        </w:rPr>
        <w:tab/>
      </w:r>
    </w:p>
    <w:p w14:paraId="19369C4D" w14:textId="2C840D9C" w:rsidR="008F3C6D" w:rsidRPr="0049280D" w:rsidRDefault="008F3C6D" w:rsidP="00EE3451">
      <w:pPr>
        <w:rPr>
          <w:rFonts w:asciiTheme="minorHAnsi" w:hAnsiTheme="minorHAnsi" w:cstheme="minorHAnsi"/>
          <w:sz w:val="21"/>
          <w:szCs w:val="21"/>
        </w:rPr>
      </w:pPr>
      <w:r w:rsidRPr="0049280D">
        <w:rPr>
          <w:rFonts w:asciiTheme="minorHAnsi" w:hAnsiTheme="minorHAnsi" w:cstheme="minorHAnsi"/>
          <w:sz w:val="21"/>
          <w:szCs w:val="21"/>
        </w:rPr>
        <w:t>Broker Consulting Index spotřebitelských úvěrů zachycuje vývoj úrokových sazeb u spotřebitelských bankovních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Pr>
          <w:rFonts w:asciiTheme="minorHAnsi" w:hAnsiTheme="minorHAnsi" w:cstheme="minorHAnsi"/>
          <w:sz w:val="21"/>
          <w:szCs w:val="21"/>
        </w:rPr>
        <w:t>,</w:t>
      </w:r>
      <w:r w:rsidRPr="0049280D">
        <w:rPr>
          <w:rFonts w:asciiTheme="minorHAnsi" w:hAnsiTheme="minorHAnsi" w:cstheme="minorHAnsi"/>
          <w:sz w:val="21"/>
          <w:szCs w:val="21"/>
        </w:rPr>
        <w:t xml:space="preserve"> a úroková sazba je výrazněji vyšší než aktuální index, je potřeba zpozornět.</w:t>
      </w:r>
      <w:r w:rsidRPr="0049280D">
        <w:rPr>
          <w:rFonts w:asciiTheme="minorHAnsi" w:hAnsiTheme="minorHAnsi" w:cstheme="minorHAnsi"/>
          <w:sz w:val="21"/>
          <w:szCs w:val="21"/>
        </w:rPr>
        <w:tab/>
      </w:r>
    </w:p>
    <w:p w14:paraId="0979CE30" w14:textId="7CC17BAD" w:rsidR="008B3925" w:rsidRPr="0049280D" w:rsidRDefault="008B3925" w:rsidP="00CF7819">
      <w:pPr>
        <w:pBdr>
          <w:bottom w:val="single" w:sz="4" w:space="1" w:color="auto"/>
        </w:pBdr>
        <w:jc w:val="both"/>
        <w:rPr>
          <w:rFonts w:asciiTheme="minorHAnsi" w:hAnsiTheme="minorHAnsi" w:cs="Arial"/>
          <w:sz w:val="21"/>
          <w:szCs w:val="21"/>
        </w:rPr>
      </w:pPr>
    </w:p>
    <w:p w14:paraId="5F16FECD" w14:textId="69AB3698" w:rsidR="008F3C6D" w:rsidRPr="0049280D" w:rsidRDefault="008F3C6D" w:rsidP="008F3C6D">
      <w:pPr>
        <w:jc w:val="both"/>
        <w:rPr>
          <w:rFonts w:asciiTheme="minorHAnsi" w:hAnsiTheme="minorHAnsi"/>
          <w:sz w:val="21"/>
          <w:szCs w:val="21"/>
        </w:rPr>
      </w:pPr>
    </w:p>
    <w:p w14:paraId="6AF53FD1" w14:textId="77777777" w:rsidR="00B51F55" w:rsidRPr="0049280D" w:rsidRDefault="00B51F55" w:rsidP="00A2244B">
      <w:pPr>
        <w:rPr>
          <w:rFonts w:asciiTheme="minorHAnsi" w:hAnsiTheme="minorHAnsi" w:cstheme="minorHAnsi"/>
          <w:sz w:val="21"/>
          <w:szCs w:val="21"/>
        </w:rPr>
      </w:pPr>
      <w:bookmarkStart w:id="0" w:name="_GoBack"/>
      <w:r w:rsidRPr="0049280D">
        <w:rPr>
          <w:rFonts w:asciiTheme="minorHAnsi" w:hAnsiTheme="minorHAnsi" w:cstheme="minorHAnsi"/>
          <w:b/>
          <w:sz w:val="21"/>
          <w:szCs w:val="21"/>
        </w:rPr>
        <w:t>Poznámka pro média:</w:t>
      </w:r>
      <w:r w:rsidRPr="0049280D">
        <w:rPr>
          <w:rFonts w:asciiTheme="minorHAnsi" w:hAnsiTheme="minorHAnsi" w:cstheme="minorHAnsi"/>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Indexy</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je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možné</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volně</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spacing w:val="2"/>
          <w:w w:val="105"/>
          <w:sz w:val="21"/>
          <w:szCs w:val="21"/>
        </w:rPr>
        <w:t>publikovat</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pouze</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s</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označením</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„Broker</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w w:val="105"/>
          <w:sz w:val="21"/>
          <w:szCs w:val="21"/>
        </w:rPr>
        <w:t>Consulting</w:t>
      </w:r>
      <w:r w:rsidRPr="0049280D">
        <w:rPr>
          <w:rFonts w:asciiTheme="minorHAnsi" w:hAnsiTheme="minorHAnsi" w:cstheme="minorHAnsi"/>
          <w:color w:val="1D1D1B"/>
          <w:spacing w:val="-8"/>
          <w:w w:val="105"/>
          <w:sz w:val="21"/>
          <w:szCs w:val="21"/>
        </w:rPr>
        <w:t xml:space="preserve"> </w:t>
      </w:r>
      <w:r w:rsidRPr="0049280D">
        <w:rPr>
          <w:rFonts w:asciiTheme="minorHAnsi" w:hAnsiTheme="minorHAnsi" w:cstheme="minorHAnsi"/>
          <w:color w:val="1D1D1B"/>
          <w:w w:val="105"/>
          <w:sz w:val="21"/>
          <w:szCs w:val="21"/>
        </w:rPr>
        <w:t>Index“</w:t>
      </w:r>
      <w:r w:rsidRPr="0049280D">
        <w:rPr>
          <w:rFonts w:asciiTheme="minorHAnsi" w:hAnsiTheme="minorHAnsi" w:cstheme="minorHAnsi"/>
          <w:color w:val="1D1D1B"/>
          <w:spacing w:val="-9"/>
          <w:w w:val="105"/>
          <w:sz w:val="21"/>
          <w:szCs w:val="21"/>
        </w:rPr>
        <w:t xml:space="preserve"> </w:t>
      </w:r>
      <w:r w:rsidRPr="0049280D">
        <w:rPr>
          <w:rFonts w:asciiTheme="minorHAnsi" w:hAnsiTheme="minorHAnsi" w:cstheme="minorHAnsi"/>
          <w:color w:val="1D1D1B"/>
          <w:spacing w:val="-3"/>
          <w:w w:val="105"/>
          <w:sz w:val="21"/>
          <w:szCs w:val="21"/>
        </w:rPr>
        <w:t>(</w:t>
      </w:r>
      <w:r w:rsidRPr="0049280D">
        <w:rPr>
          <w:rFonts w:asciiTheme="minorHAnsi" w:hAnsiTheme="minorHAnsi" w:cstheme="minorHAnsi"/>
          <w:i/>
          <w:color w:val="1D1D1B"/>
          <w:spacing w:val="-3"/>
          <w:w w:val="105"/>
          <w:sz w:val="21"/>
          <w:szCs w:val="21"/>
        </w:rPr>
        <w:t>např.</w:t>
      </w:r>
      <w:r w:rsidRPr="0049280D">
        <w:rPr>
          <w:rFonts w:asciiTheme="minorHAnsi" w:hAnsiTheme="minorHAnsi" w:cstheme="minorHAnsi"/>
          <w:i/>
          <w:color w:val="1D1D1B"/>
          <w:spacing w:val="-8"/>
          <w:w w:val="105"/>
          <w:sz w:val="21"/>
          <w:szCs w:val="21"/>
        </w:rPr>
        <w:t xml:space="preserve"> </w:t>
      </w:r>
      <w:r w:rsidRPr="0049280D">
        <w:rPr>
          <w:rFonts w:asciiTheme="minorHAnsi" w:hAnsiTheme="minorHAnsi" w:cstheme="minorHAnsi"/>
          <w:i/>
          <w:color w:val="1D1D1B"/>
          <w:w w:val="105"/>
          <w:sz w:val="21"/>
          <w:szCs w:val="21"/>
        </w:rPr>
        <w:t>Broker</w:t>
      </w:r>
      <w:r w:rsidRPr="0049280D">
        <w:rPr>
          <w:rFonts w:asciiTheme="minorHAnsi" w:hAnsiTheme="minorHAnsi" w:cstheme="minorHAnsi"/>
          <w:i/>
          <w:color w:val="1D1D1B"/>
          <w:spacing w:val="-9"/>
          <w:w w:val="105"/>
          <w:sz w:val="21"/>
          <w:szCs w:val="21"/>
        </w:rPr>
        <w:t xml:space="preserve"> </w:t>
      </w:r>
      <w:r w:rsidRPr="0049280D">
        <w:rPr>
          <w:rFonts w:asciiTheme="minorHAnsi" w:hAnsiTheme="minorHAnsi" w:cstheme="minorHAnsi"/>
          <w:i/>
          <w:color w:val="1D1D1B"/>
          <w:w w:val="105"/>
          <w:sz w:val="21"/>
          <w:szCs w:val="21"/>
        </w:rPr>
        <w:t>Consulting</w:t>
      </w:r>
      <w:r w:rsidRPr="0049280D">
        <w:rPr>
          <w:rFonts w:asciiTheme="minorHAnsi" w:hAnsiTheme="minorHAnsi" w:cstheme="minorHAnsi"/>
          <w:i/>
          <w:color w:val="1D1D1B"/>
          <w:spacing w:val="-8"/>
          <w:w w:val="105"/>
          <w:sz w:val="21"/>
          <w:szCs w:val="21"/>
        </w:rPr>
        <w:t xml:space="preserve"> Index </w:t>
      </w:r>
      <w:r w:rsidRPr="0049280D">
        <w:rPr>
          <w:rFonts w:asciiTheme="minorHAnsi" w:hAnsiTheme="minorHAnsi" w:cstheme="minorHAnsi"/>
          <w:i/>
          <w:color w:val="1D1D1B"/>
          <w:w w:val="105"/>
          <w:sz w:val="21"/>
          <w:szCs w:val="21"/>
        </w:rPr>
        <w:t>hypoteční</w:t>
      </w:r>
      <w:r w:rsidRPr="0049280D">
        <w:rPr>
          <w:rFonts w:asciiTheme="minorHAnsi" w:hAnsiTheme="minorHAnsi" w:cstheme="minorHAnsi"/>
          <w:i/>
          <w:color w:val="1D1D1B"/>
          <w:spacing w:val="-9"/>
          <w:w w:val="105"/>
          <w:sz w:val="21"/>
          <w:szCs w:val="21"/>
        </w:rPr>
        <w:t>ch úvěrů</w:t>
      </w:r>
      <w:r w:rsidRPr="0049280D">
        <w:rPr>
          <w:rFonts w:asciiTheme="minorHAnsi" w:hAnsiTheme="minorHAnsi" w:cstheme="minorHAnsi"/>
          <w:i/>
          <w:color w:val="1D1D1B"/>
          <w:w w:val="105"/>
          <w:sz w:val="21"/>
          <w:szCs w:val="21"/>
        </w:rPr>
        <w:t xml:space="preserve">). Více informací najdete též na webu </w:t>
      </w:r>
      <w:r w:rsidRPr="0049280D">
        <w:rPr>
          <w:rStyle w:val="Hypertextovodkaz"/>
          <w:rFonts w:asciiTheme="minorHAnsi" w:hAnsiTheme="minorHAnsi" w:cstheme="minorHAnsi"/>
          <w:i/>
          <w:w w:val="105"/>
          <w:sz w:val="21"/>
          <w:szCs w:val="21"/>
        </w:rPr>
        <w:t>https://www.bcas.cz/onas/pro-media/</w:t>
      </w:r>
      <w:r w:rsidRPr="0049280D">
        <w:rPr>
          <w:rFonts w:asciiTheme="minorHAnsi" w:hAnsiTheme="minorHAnsi" w:cstheme="minorHAnsi"/>
          <w:i/>
          <w:color w:val="1D1D1B"/>
          <w:w w:val="105"/>
          <w:sz w:val="21"/>
          <w:szCs w:val="21"/>
        </w:rPr>
        <w:t xml:space="preserve">. </w:t>
      </w:r>
    </w:p>
    <w:p w14:paraId="685A4AD2" w14:textId="2FFF8BF2" w:rsidR="00B51F55" w:rsidRPr="0049280D" w:rsidRDefault="00B51F55" w:rsidP="00A2244B">
      <w:pPr>
        <w:rPr>
          <w:rFonts w:asciiTheme="minorHAnsi" w:hAnsiTheme="minorHAnsi" w:cstheme="minorHAnsi"/>
          <w:sz w:val="21"/>
          <w:szCs w:val="21"/>
        </w:rPr>
      </w:pPr>
    </w:p>
    <w:p w14:paraId="5245244C" w14:textId="59FD1ED6" w:rsidR="007563D8" w:rsidRPr="0049280D" w:rsidRDefault="007563D8" w:rsidP="00A2244B">
      <w:pPr>
        <w:rPr>
          <w:rFonts w:asciiTheme="minorHAnsi" w:hAnsiTheme="minorHAnsi" w:cstheme="minorHAnsi"/>
          <w:b/>
          <w:color w:val="1D1D1B"/>
          <w:w w:val="105"/>
          <w:sz w:val="21"/>
          <w:szCs w:val="21"/>
        </w:rPr>
      </w:pPr>
      <w:r w:rsidRPr="0049280D">
        <w:rPr>
          <w:rFonts w:asciiTheme="minorHAnsi" w:hAnsiTheme="minorHAnsi" w:cstheme="minorHAnsi"/>
          <w:b/>
          <w:color w:val="FF0000"/>
          <w:w w:val="105"/>
          <w:sz w:val="21"/>
          <w:szCs w:val="21"/>
        </w:rPr>
        <w:t>Broker Consulting Indexy je nyní možné sledovat v interaktivní formě na webu</w:t>
      </w:r>
      <w:r w:rsidRPr="0049280D">
        <w:rPr>
          <w:rFonts w:asciiTheme="minorHAnsi" w:hAnsiTheme="minorHAnsi" w:cstheme="minorHAnsi"/>
          <w:color w:val="1D1D1B"/>
          <w:w w:val="105"/>
          <w:sz w:val="21"/>
          <w:szCs w:val="21"/>
        </w:rPr>
        <w:t>. Zde lze zároveň exportovat zdrojová data ke grafům. Vice dostupné na odkaze</w:t>
      </w:r>
      <w:r w:rsidRPr="0049280D">
        <w:rPr>
          <w:rFonts w:asciiTheme="minorHAnsi" w:hAnsiTheme="minorHAnsi" w:cstheme="minorHAnsi"/>
          <w:b/>
          <w:color w:val="1D1D1B"/>
          <w:w w:val="105"/>
          <w:sz w:val="21"/>
          <w:szCs w:val="21"/>
        </w:rPr>
        <w:t xml:space="preserve">: </w:t>
      </w:r>
      <w:hyperlink r:id="rId25" w:history="1">
        <w:r w:rsidRPr="0049280D">
          <w:rPr>
            <w:rStyle w:val="Hypertextovodkaz"/>
            <w:rFonts w:asciiTheme="minorHAnsi" w:hAnsiTheme="minorHAnsi"/>
            <w:b/>
            <w:sz w:val="21"/>
            <w:szCs w:val="21"/>
          </w:rPr>
          <w:t>https://www.bcas.cz/o-nas/broker-consulting-index-spotrebitelskych-uveru/</w:t>
        </w:r>
      </w:hyperlink>
      <w:r w:rsidRPr="0049280D">
        <w:rPr>
          <w:rFonts w:asciiTheme="minorHAnsi" w:hAnsiTheme="minorHAnsi"/>
          <w:b/>
          <w:sz w:val="21"/>
          <w:szCs w:val="21"/>
        </w:rPr>
        <w:t xml:space="preserve">. </w:t>
      </w:r>
    </w:p>
    <w:bookmarkEnd w:id="0"/>
    <w:p w14:paraId="79A88D64" w14:textId="77777777" w:rsidR="007563D8" w:rsidRPr="0049280D" w:rsidRDefault="007563D8" w:rsidP="00A2244B">
      <w:pPr>
        <w:rPr>
          <w:rFonts w:asciiTheme="minorHAnsi" w:hAnsiTheme="minorHAnsi" w:cstheme="minorHAnsi"/>
          <w:sz w:val="21"/>
          <w:szCs w:val="21"/>
        </w:rPr>
      </w:pPr>
    </w:p>
    <w:p w14:paraId="1039ED98" w14:textId="77777777" w:rsidR="008F3C6D" w:rsidRPr="0049280D" w:rsidRDefault="008F3C6D" w:rsidP="00A2244B">
      <w:pPr>
        <w:rPr>
          <w:rFonts w:asciiTheme="minorHAnsi" w:eastAsia="Calibri" w:hAnsiTheme="minorHAnsi" w:cstheme="minorHAnsi"/>
          <w:b/>
          <w:bCs/>
          <w:noProof/>
          <w:sz w:val="21"/>
          <w:szCs w:val="21"/>
        </w:rPr>
      </w:pPr>
    </w:p>
    <w:p w14:paraId="195CA202" w14:textId="77777777" w:rsidR="008F3C6D" w:rsidRPr="0049280D" w:rsidRDefault="008F3C6D" w:rsidP="00A2244B">
      <w:pPr>
        <w:rPr>
          <w:rFonts w:asciiTheme="minorHAnsi" w:eastAsia="Calibri" w:hAnsiTheme="minorHAnsi" w:cstheme="minorHAnsi"/>
          <w:b/>
          <w:bCs/>
          <w:noProof/>
          <w:sz w:val="21"/>
          <w:szCs w:val="21"/>
        </w:rPr>
      </w:pPr>
      <w:r w:rsidRPr="0049280D">
        <w:rPr>
          <w:rFonts w:asciiTheme="minorHAnsi" w:eastAsia="Calibri" w:hAnsiTheme="minorHAnsi" w:cstheme="minorHAnsi"/>
          <w:b/>
          <w:bCs/>
          <w:noProof/>
          <w:sz w:val="21"/>
          <w:szCs w:val="21"/>
        </w:rPr>
        <w:t>Kontakt pro média:</w:t>
      </w:r>
    </w:p>
    <w:p w14:paraId="78012E24" w14:textId="77777777" w:rsidR="0053079B" w:rsidRPr="0049280D" w:rsidRDefault="0053079B" w:rsidP="0053079B">
      <w:pPr>
        <w:rPr>
          <w:rFonts w:asciiTheme="minorHAnsi" w:eastAsia="Calibri" w:hAnsiTheme="minorHAnsi" w:cstheme="minorHAnsi"/>
          <w:bCs/>
          <w:noProof/>
          <w:sz w:val="21"/>
          <w:szCs w:val="21"/>
        </w:rPr>
      </w:pPr>
    </w:p>
    <w:p w14:paraId="60542279" w14:textId="77777777" w:rsidR="0053079B" w:rsidRPr="0049280D" w:rsidRDefault="0053079B" w:rsidP="0053079B">
      <w:pPr>
        <w:spacing w:after="60"/>
        <w:rPr>
          <w:rFonts w:asciiTheme="minorHAnsi" w:eastAsia="Calibri" w:hAnsiTheme="minorHAnsi" w:cstheme="minorHAnsi"/>
          <w:bCs/>
          <w:noProof/>
          <w:sz w:val="21"/>
          <w:szCs w:val="21"/>
          <w:lang w:bidi="ar-SA"/>
        </w:rPr>
      </w:pPr>
      <w:r w:rsidRPr="0049280D">
        <w:rPr>
          <w:rFonts w:asciiTheme="minorHAnsi" w:eastAsia="Calibri" w:hAnsiTheme="minorHAnsi" w:cstheme="minorHAnsi"/>
          <w:bCs/>
          <w:noProof/>
          <w:sz w:val="21"/>
          <w:szCs w:val="21"/>
        </w:rPr>
        <w:t>Michaela Sahulová</w:t>
      </w:r>
    </w:p>
    <w:p w14:paraId="16BB5E7E" w14:textId="77777777" w:rsidR="0053079B" w:rsidRPr="0049280D" w:rsidRDefault="0053079B" w:rsidP="0053079B">
      <w:pPr>
        <w:pStyle w:val="Bezmezer"/>
        <w:rPr>
          <w:rFonts w:eastAsia="Calibri" w:cstheme="minorHAnsi"/>
          <w:noProof/>
          <w:sz w:val="21"/>
          <w:szCs w:val="21"/>
        </w:rPr>
      </w:pPr>
      <w:r w:rsidRPr="0049280D">
        <w:rPr>
          <w:rFonts w:eastAsia="Calibri" w:cstheme="minorHAnsi"/>
          <w:noProof/>
          <w:sz w:val="21"/>
          <w:szCs w:val="21"/>
        </w:rPr>
        <w:t>Specialistka PR a externí komunikace</w:t>
      </w:r>
    </w:p>
    <w:p w14:paraId="2D24B5C8" w14:textId="77777777" w:rsidR="0053079B" w:rsidRPr="0049280D" w:rsidRDefault="0053079B" w:rsidP="0053079B">
      <w:pPr>
        <w:rPr>
          <w:rFonts w:asciiTheme="minorHAnsi" w:eastAsiaTheme="minorEastAsia" w:hAnsiTheme="minorHAnsi" w:cstheme="minorHAnsi"/>
          <w:noProof/>
          <w:color w:val="000000" w:themeColor="text1"/>
          <w:sz w:val="21"/>
          <w:szCs w:val="21"/>
          <w:lang w:bidi="ar-SA"/>
        </w:rPr>
      </w:pPr>
      <w:r w:rsidRPr="0049280D">
        <w:rPr>
          <w:rFonts w:asciiTheme="minorHAnsi" w:eastAsiaTheme="minorEastAsia" w:hAnsiTheme="minorHAnsi" w:cstheme="minorHAnsi"/>
          <w:noProof/>
          <w:color w:val="000000" w:themeColor="text1"/>
          <w:sz w:val="21"/>
          <w:szCs w:val="21"/>
        </w:rPr>
        <w:t>tel.: +420 731 538 373</w:t>
      </w:r>
    </w:p>
    <w:p w14:paraId="745E815C" w14:textId="77777777" w:rsidR="0053079B" w:rsidRPr="0049280D" w:rsidRDefault="0053079B" w:rsidP="0053079B">
      <w:pPr>
        <w:rPr>
          <w:rFonts w:asciiTheme="minorHAnsi" w:eastAsia="Calibri" w:hAnsiTheme="minorHAnsi" w:cstheme="minorHAnsi"/>
          <w:noProof/>
          <w:sz w:val="21"/>
          <w:szCs w:val="21"/>
        </w:rPr>
      </w:pPr>
      <w:r w:rsidRPr="0049280D">
        <w:rPr>
          <w:rFonts w:asciiTheme="minorHAnsi" w:eastAsia="Calibri" w:hAnsiTheme="minorHAnsi" w:cstheme="minorHAnsi"/>
          <w:noProof/>
          <w:sz w:val="21"/>
          <w:szCs w:val="21"/>
        </w:rPr>
        <w:t xml:space="preserve">E-mail: </w:t>
      </w:r>
      <w:hyperlink r:id="rId26" w:history="1">
        <w:r w:rsidRPr="0049280D">
          <w:rPr>
            <w:rStyle w:val="Hypertextovodkaz"/>
            <w:rFonts w:asciiTheme="minorHAnsi" w:eastAsia="Calibri" w:hAnsiTheme="minorHAnsi" w:cstheme="minorHAnsi"/>
            <w:noProof/>
            <w:sz w:val="21"/>
            <w:szCs w:val="21"/>
          </w:rPr>
          <w:t>michaela.sahulova@bcas.cz</w:t>
        </w:r>
      </w:hyperlink>
      <w:r w:rsidRPr="0049280D">
        <w:rPr>
          <w:rFonts w:asciiTheme="minorHAnsi" w:eastAsia="Calibri" w:hAnsiTheme="minorHAnsi" w:cstheme="minorHAnsi"/>
          <w:noProof/>
          <w:sz w:val="21"/>
          <w:szCs w:val="21"/>
        </w:rPr>
        <w:t xml:space="preserve"> </w:t>
      </w:r>
    </w:p>
    <w:p w14:paraId="1FBC071D" w14:textId="77777777" w:rsidR="00FA6B22" w:rsidRPr="00AD647D" w:rsidRDefault="00FA6B22" w:rsidP="008F3C6D">
      <w:pPr>
        <w:rPr>
          <w:rFonts w:asciiTheme="minorHAnsi" w:eastAsia="Calibri" w:hAnsiTheme="minorHAnsi" w:cstheme="minorHAnsi"/>
          <w:noProof/>
        </w:rPr>
      </w:pPr>
    </w:p>
    <w:p w14:paraId="5BCE3D52" w14:textId="77777777" w:rsidR="008F3C6D" w:rsidRPr="00AD647D" w:rsidRDefault="008F3C6D" w:rsidP="008F3C6D">
      <w:pPr>
        <w:jc w:val="both"/>
        <w:rPr>
          <w:rFonts w:asciiTheme="minorHAnsi" w:hAnsiTheme="minorHAnsi" w:cstheme="minorHAnsi"/>
        </w:rPr>
      </w:pPr>
    </w:p>
    <w:p w14:paraId="12134AC2" w14:textId="77777777" w:rsidR="008F3C6D" w:rsidRPr="00AD647D" w:rsidRDefault="008F3C6D" w:rsidP="008F3C6D">
      <w:pPr>
        <w:jc w:val="both"/>
        <w:rPr>
          <w:rFonts w:asciiTheme="minorHAnsi" w:hAnsiTheme="minorHAnsi" w:cstheme="minorHAnsi"/>
          <w:b/>
          <w:bCs/>
          <w:color w:val="FF0000"/>
        </w:rPr>
      </w:pPr>
    </w:p>
    <w:sectPr w:rsidR="008F3C6D" w:rsidRPr="00AD647D"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D9375" w14:textId="77777777" w:rsidR="00C521D9" w:rsidRDefault="00C521D9">
      <w:r>
        <w:separator/>
      </w:r>
    </w:p>
  </w:endnote>
  <w:endnote w:type="continuationSeparator" w:id="0">
    <w:p w14:paraId="24EAD8E5" w14:textId="77777777" w:rsidR="00C521D9" w:rsidRDefault="00C52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C521D9"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8E1F4A"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C521D9"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8E1F4A"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C521D9"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8E1F4A"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C91F1D" w14:textId="77777777" w:rsidR="00C521D9" w:rsidRDefault="00C521D9">
      <w:r>
        <w:separator/>
      </w:r>
    </w:p>
  </w:footnote>
  <w:footnote w:type="continuationSeparator" w:id="0">
    <w:p w14:paraId="324AAD45" w14:textId="77777777" w:rsidR="00C521D9" w:rsidRDefault="00C52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2"/>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7A80"/>
    <w:rsid w:val="00020EC7"/>
    <w:rsid w:val="00021C70"/>
    <w:rsid w:val="00022715"/>
    <w:rsid w:val="00024AC6"/>
    <w:rsid w:val="00026F23"/>
    <w:rsid w:val="000276A7"/>
    <w:rsid w:val="000277AC"/>
    <w:rsid w:val="000329A2"/>
    <w:rsid w:val="00032D94"/>
    <w:rsid w:val="00036C73"/>
    <w:rsid w:val="000374D7"/>
    <w:rsid w:val="000400E4"/>
    <w:rsid w:val="0004253B"/>
    <w:rsid w:val="00045B39"/>
    <w:rsid w:val="0005252A"/>
    <w:rsid w:val="0005423A"/>
    <w:rsid w:val="00057018"/>
    <w:rsid w:val="000611E3"/>
    <w:rsid w:val="000618FE"/>
    <w:rsid w:val="00061ABB"/>
    <w:rsid w:val="00070675"/>
    <w:rsid w:val="000766E7"/>
    <w:rsid w:val="00076D0E"/>
    <w:rsid w:val="00080552"/>
    <w:rsid w:val="00080ADE"/>
    <w:rsid w:val="00081616"/>
    <w:rsid w:val="000853D4"/>
    <w:rsid w:val="00087263"/>
    <w:rsid w:val="0009776B"/>
    <w:rsid w:val="000A6063"/>
    <w:rsid w:val="000B0D84"/>
    <w:rsid w:val="000B2E5D"/>
    <w:rsid w:val="000B2F39"/>
    <w:rsid w:val="000B5339"/>
    <w:rsid w:val="000B54E5"/>
    <w:rsid w:val="000C0090"/>
    <w:rsid w:val="000C1853"/>
    <w:rsid w:val="000C4C77"/>
    <w:rsid w:val="000D145E"/>
    <w:rsid w:val="000D14E2"/>
    <w:rsid w:val="000D5F5D"/>
    <w:rsid w:val="000D68AC"/>
    <w:rsid w:val="000D7A4D"/>
    <w:rsid w:val="000E0EEC"/>
    <w:rsid w:val="000E168E"/>
    <w:rsid w:val="000E3D86"/>
    <w:rsid w:val="000F0BA4"/>
    <w:rsid w:val="000F1EC4"/>
    <w:rsid w:val="000F29D1"/>
    <w:rsid w:val="000F6249"/>
    <w:rsid w:val="00103543"/>
    <w:rsid w:val="001069A1"/>
    <w:rsid w:val="0010739A"/>
    <w:rsid w:val="00111C28"/>
    <w:rsid w:val="00112079"/>
    <w:rsid w:val="00112CC0"/>
    <w:rsid w:val="00112D65"/>
    <w:rsid w:val="001130B7"/>
    <w:rsid w:val="00114F7B"/>
    <w:rsid w:val="00115429"/>
    <w:rsid w:val="0012330F"/>
    <w:rsid w:val="00123939"/>
    <w:rsid w:val="001302C1"/>
    <w:rsid w:val="0013044E"/>
    <w:rsid w:val="00131A69"/>
    <w:rsid w:val="001352B7"/>
    <w:rsid w:val="00136C97"/>
    <w:rsid w:val="00137003"/>
    <w:rsid w:val="0013717C"/>
    <w:rsid w:val="00137474"/>
    <w:rsid w:val="00143EFE"/>
    <w:rsid w:val="0014644B"/>
    <w:rsid w:val="001546F5"/>
    <w:rsid w:val="00156082"/>
    <w:rsid w:val="00161D10"/>
    <w:rsid w:val="00164597"/>
    <w:rsid w:val="001675AF"/>
    <w:rsid w:val="00170556"/>
    <w:rsid w:val="00170D87"/>
    <w:rsid w:val="00170E0F"/>
    <w:rsid w:val="00173F5C"/>
    <w:rsid w:val="00175224"/>
    <w:rsid w:val="001767A5"/>
    <w:rsid w:val="00180051"/>
    <w:rsid w:val="00182B07"/>
    <w:rsid w:val="0018460D"/>
    <w:rsid w:val="00187ECB"/>
    <w:rsid w:val="001901D0"/>
    <w:rsid w:val="00191B34"/>
    <w:rsid w:val="001925C8"/>
    <w:rsid w:val="00192716"/>
    <w:rsid w:val="00192C2A"/>
    <w:rsid w:val="00193550"/>
    <w:rsid w:val="00194C95"/>
    <w:rsid w:val="001A54DD"/>
    <w:rsid w:val="001B296D"/>
    <w:rsid w:val="001B29C7"/>
    <w:rsid w:val="001B501B"/>
    <w:rsid w:val="001B745F"/>
    <w:rsid w:val="001D015A"/>
    <w:rsid w:val="001D3DFC"/>
    <w:rsid w:val="001D4EA8"/>
    <w:rsid w:val="001D6965"/>
    <w:rsid w:val="001E22F1"/>
    <w:rsid w:val="001E3D5F"/>
    <w:rsid w:val="001E3FBF"/>
    <w:rsid w:val="001E4209"/>
    <w:rsid w:val="001E44AC"/>
    <w:rsid w:val="001E5D83"/>
    <w:rsid w:val="001F045E"/>
    <w:rsid w:val="001F25C4"/>
    <w:rsid w:val="001F2BE0"/>
    <w:rsid w:val="001F3CF1"/>
    <w:rsid w:val="001F7194"/>
    <w:rsid w:val="001F71BA"/>
    <w:rsid w:val="001F7D30"/>
    <w:rsid w:val="00200B65"/>
    <w:rsid w:val="002141AF"/>
    <w:rsid w:val="002157B1"/>
    <w:rsid w:val="0022066E"/>
    <w:rsid w:val="00220944"/>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551C"/>
    <w:rsid w:val="0025264B"/>
    <w:rsid w:val="0025428A"/>
    <w:rsid w:val="002542AA"/>
    <w:rsid w:val="00255182"/>
    <w:rsid w:val="00263C8C"/>
    <w:rsid w:val="002645E4"/>
    <w:rsid w:val="002679C9"/>
    <w:rsid w:val="00270DB3"/>
    <w:rsid w:val="00271F07"/>
    <w:rsid w:val="0027623E"/>
    <w:rsid w:val="00281834"/>
    <w:rsid w:val="0028590C"/>
    <w:rsid w:val="00287D46"/>
    <w:rsid w:val="002A0285"/>
    <w:rsid w:val="002A3F19"/>
    <w:rsid w:val="002A6FA3"/>
    <w:rsid w:val="002A7325"/>
    <w:rsid w:val="002B0728"/>
    <w:rsid w:val="002B1317"/>
    <w:rsid w:val="002B7DA9"/>
    <w:rsid w:val="002B7F6D"/>
    <w:rsid w:val="002C0240"/>
    <w:rsid w:val="002C4A25"/>
    <w:rsid w:val="002C4BCE"/>
    <w:rsid w:val="002C7224"/>
    <w:rsid w:val="002D1619"/>
    <w:rsid w:val="002D6D20"/>
    <w:rsid w:val="002E1ABC"/>
    <w:rsid w:val="002E3DC6"/>
    <w:rsid w:val="002E633F"/>
    <w:rsid w:val="002F002B"/>
    <w:rsid w:val="002F05B2"/>
    <w:rsid w:val="002F1DD3"/>
    <w:rsid w:val="002F3FCA"/>
    <w:rsid w:val="002F485A"/>
    <w:rsid w:val="002F56BD"/>
    <w:rsid w:val="002F7EC2"/>
    <w:rsid w:val="003001F4"/>
    <w:rsid w:val="003028DB"/>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1518"/>
    <w:rsid w:val="00321E19"/>
    <w:rsid w:val="003226EB"/>
    <w:rsid w:val="003247B0"/>
    <w:rsid w:val="00330918"/>
    <w:rsid w:val="003358BA"/>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83942"/>
    <w:rsid w:val="00383DC5"/>
    <w:rsid w:val="00385325"/>
    <w:rsid w:val="00385EED"/>
    <w:rsid w:val="00386B09"/>
    <w:rsid w:val="00390B58"/>
    <w:rsid w:val="00392024"/>
    <w:rsid w:val="003948A1"/>
    <w:rsid w:val="003A1549"/>
    <w:rsid w:val="003A285A"/>
    <w:rsid w:val="003A2887"/>
    <w:rsid w:val="003A375A"/>
    <w:rsid w:val="003A43AB"/>
    <w:rsid w:val="003A6435"/>
    <w:rsid w:val="003B0E4E"/>
    <w:rsid w:val="003B0E4F"/>
    <w:rsid w:val="003B3F0C"/>
    <w:rsid w:val="003C0CBE"/>
    <w:rsid w:val="003C2A23"/>
    <w:rsid w:val="003C5664"/>
    <w:rsid w:val="003C59A8"/>
    <w:rsid w:val="003C6F57"/>
    <w:rsid w:val="003C7F98"/>
    <w:rsid w:val="003D157E"/>
    <w:rsid w:val="003D1987"/>
    <w:rsid w:val="003D47CB"/>
    <w:rsid w:val="003E0649"/>
    <w:rsid w:val="003E6537"/>
    <w:rsid w:val="003F0CAF"/>
    <w:rsid w:val="003F324C"/>
    <w:rsid w:val="003F7018"/>
    <w:rsid w:val="003F79EC"/>
    <w:rsid w:val="0040257E"/>
    <w:rsid w:val="00403729"/>
    <w:rsid w:val="004041EF"/>
    <w:rsid w:val="004053BB"/>
    <w:rsid w:val="004075C9"/>
    <w:rsid w:val="004116FD"/>
    <w:rsid w:val="0041759C"/>
    <w:rsid w:val="0042193A"/>
    <w:rsid w:val="004228ED"/>
    <w:rsid w:val="00432DAE"/>
    <w:rsid w:val="0043347D"/>
    <w:rsid w:val="004336E4"/>
    <w:rsid w:val="00433F20"/>
    <w:rsid w:val="00434FAE"/>
    <w:rsid w:val="00435342"/>
    <w:rsid w:val="004372BB"/>
    <w:rsid w:val="004376B0"/>
    <w:rsid w:val="00445316"/>
    <w:rsid w:val="00445D0A"/>
    <w:rsid w:val="00447FBA"/>
    <w:rsid w:val="004501B9"/>
    <w:rsid w:val="00453CFE"/>
    <w:rsid w:val="00454843"/>
    <w:rsid w:val="004556BB"/>
    <w:rsid w:val="00455F65"/>
    <w:rsid w:val="00457FFE"/>
    <w:rsid w:val="00460FA7"/>
    <w:rsid w:val="00461BF2"/>
    <w:rsid w:val="004627B9"/>
    <w:rsid w:val="004678E9"/>
    <w:rsid w:val="00467E69"/>
    <w:rsid w:val="00471166"/>
    <w:rsid w:val="00473E24"/>
    <w:rsid w:val="00474C76"/>
    <w:rsid w:val="00477DC5"/>
    <w:rsid w:val="00480982"/>
    <w:rsid w:val="00483C09"/>
    <w:rsid w:val="00486655"/>
    <w:rsid w:val="0049280D"/>
    <w:rsid w:val="00492BA9"/>
    <w:rsid w:val="004935C2"/>
    <w:rsid w:val="004A59C1"/>
    <w:rsid w:val="004A7830"/>
    <w:rsid w:val="004B2DF6"/>
    <w:rsid w:val="004B2FF6"/>
    <w:rsid w:val="004B4E91"/>
    <w:rsid w:val="004B5797"/>
    <w:rsid w:val="004B7412"/>
    <w:rsid w:val="004C222D"/>
    <w:rsid w:val="004C3DD1"/>
    <w:rsid w:val="004C3F71"/>
    <w:rsid w:val="004D5CC6"/>
    <w:rsid w:val="004E09B8"/>
    <w:rsid w:val="004E1737"/>
    <w:rsid w:val="004F303D"/>
    <w:rsid w:val="004F38CD"/>
    <w:rsid w:val="004F5D36"/>
    <w:rsid w:val="004F6195"/>
    <w:rsid w:val="00504EBB"/>
    <w:rsid w:val="0050659B"/>
    <w:rsid w:val="005130A9"/>
    <w:rsid w:val="00514932"/>
    <w:rsid w:val="005153F7"/>
    <w:rsid w:val="00515952"/>
    <w:rsid w:val="005224C1"/>
    <w:rsid w:val="005231DA"/>
    <w:rsid w:val="0053079B"/>
    <w:rsid w:val="0053153F"/>
    <w:rsid w:val="00531C9F"/>
    <w:rsid w:val="005361AF"/>
    <w:rsid w:val="00536822"/>
    <w:rsid w:val="00536954"/>
    <w:rsid w:val="0053728E"/>
    <w:rsid w:val="00540563"/>
    <w:rsid w:val="00540606"/>
    <w:rsid w:val="005411AC"/>
    <w:rsid w:val="00541870"/>
    <w:rsid w:val="005436EC"/>
    <w:rsid w:val="00544A37"/>
    <w:rsid w:val="00545971"/>
    <w:rsid w:val="00550147"/>
    <w:rsid w:val="00550AC2"/>
    <w:rsid w:val="00551FDB"/>
    <w:rsid w:val="00554D18"/>
    <w:rsid w:val="0056501A"/>
    <w:rsid w:val="00571AD4"/>
    <w:rsid w:val="00573886"/>
    <w:rsid w:val="00573EE2"/>
    <w:rsid w:val="00577D19"/>
    <w:rsid w:val="005907CD"/>
    <w:rsid w:val="005A2139"/>
    <w:rsid w:val="005A37E5"/>
    <w:rsid w:val="005A4EB8"/>
    <w:rsid w:val="005A50EB"/>
    <w:rsid w:val="005A5BBA"/>
    <w:rsid w:val="005A5F08"/>
    <w:rsid w:val="005B3143"/>
    <w:rsid w:val="005B31D7"/>
    <w:rsid w:val="005C150C"/>
    <w:rsid w:val="005C318A"/>
    <w:rsid w:val="005D52F3"/>
    <w:rsid w:val="005E1193"/>
    <w:rsid w:val="005E5A67"/>
    <w:rsid w:val="005E7865"/>
    <w:rsid w:val="005F2D95"/>
    <w:rsid w:val="005F6BD8"/>
    <w:rsid w:val="005F7E72"/>
    <w:rsid w:val="005F7EAE"/>
    <w:rsid w:val="0060397A"/>
    <w:rsid w:val="0060554F"/>
    <w:rsid w:val="006135FD"/>
    <w:rsid w:val="0061438C"/>
    <w:rsid w:val="006166CE"/>
    <w:rsid w:val="0062060D"/>
    <w:rsid w:val="006218E4"/>
    <w:rsid w:val="00623C47"/>
    <w:rsid w:val="0062747C"/>
    <w:rsid w:val="0062786E"/>
    <w:rsid w:val="00636142"/>
    <w:rsid w:val="006365D5"/>
    <w:rsid w:val="0064160C"/>
    <w:rsid w:val="00643131"/>
    <w:rsid w:val="00646E6F"/>
    <w:rsid w:val="00650123"/>
    <w:rsid w:val="006509E8"/>
    <w:rsid w:val="006542CA"/>
    <w:rsid w:val="006548C4"/>
    <w:rsid w:val="0066135D"/>
    <w:rsid w:val="00662758"/>
    <w:rsid w:val="00662AC6"/>
    <w:rsid w:val="00664259"/>
    <w:rsid w:val="00664867"/>
    <w:rsid w:val="00667012"/>
    <w:rsid w:val="00675867"/>
    <w:rsid w:val="006768F0"/>
    <w:rsid w:val="00677078"/>
    <w:rsid w:val="00681F49"/>
    <w:rsid w:val="00682D62"/>
    <w:rsid w:val="006839FB"/>
    <w:rsid w:val="00683F9A"/>
    <w:rsid w:val="006859AC"/>
    <w:rsid w:val="006859FD"/>
    <w:rsid w:val="00685AF9"/>
    <w:rsid w:val="0068617E"/>
    <w:rsid w:val="006870AB"/>
    <w:rsid w:val="006902C0"/>
    <w:rsid w:val="00690415"/>
    <w:rsid w:val="00691527"/>
    <w:rsid w:val="006939E7"/>
    <w:rsid w:val="006A2F6C"/>
    <w:rsid w:val="006A3BE2"/>
    <w:rsid w:val="006A4E81"/>
    <w:rsid w:val="006A5A20"/>
    <w:rsid w:val="006B2F00"/>
    <w:rsid w:val="006B4027"/>
    <w:rsid w:val="006B58D8"/>
    <w:rsid w:val="006B7185"/>
    <w:rsid w:val="006C5ED3"/>
    <w:rsid w:val="006C61E8"/>
    <w:rsid w:val="006D18F3"/>
    <w:rsid w:val="006D2B43"/>
    <w:rsid w:val="006D39DF"/>
    <w:rsid w:val="006D65EC"/>
    <w:rsid w:val="006E26DC"/>
    <w:rsid w:val="006E6A2F"/>
    <w:rsid w:val="006E70A0"/>
    <w:rsid w:val="006F32FB"/>
    <w:rsid w:val="006F66F1"/>
    <w:rsid w:val="007046C5"/>
    <w:rsid w:val="00704D83"/>
    <w:rsid w:val="007052FC"/>
    <w:rsid w:val="00705D83"/>
    <w:rsid w:val="00710AF5"/>
    <w:rsid w:val="00710E0C"/>
    <w:rsid w:val="007131CE"/>
    <w:rsid w:val="00716355"/>
    <w:rsid w:val="0072112F"/>
    <w:rsid w:val="00724267"/>
    <w:rsid w:val="00725BF5"/>
    <w:rsid w:val="007320FB"/>
    <w:rsid w:val="007362E3"/>
    <w:rsid w:val="007408D1"/>
    <w:rsid w:val="00741E71"/>
    <w:rsid w:val="00743390"/>
    <w:rsid w:val="00743627"/>
    <w:rsid w:val="00743E6A"/>
    <w:rsid w:val="0074636A"/>
    <w:rsid w:val="00753B64"/>
    <w:rsid w:val="007563D8"/>
    <w:rsid w:val="0076114C"/>
    <w:rsid w:val="00762590"/>
    <w:rsid w:val="0076280C"/>
    <w:rsid w:val="007648F0"/>
    <w:rsid w:val="0076667F"/>
    <w:rsid w:val="007672BB"/>
    <w:rsid w:val="00771B91"/>
    <w:rsid w:val="00772415"/>
    <w:rsid w:val="007725B8"/>
    <w:rsid w:val="00772FF0"/>
    <w:rsid w:val="007748AF"/>
    <w:rsid w:val="007753A0"/>
    <w:rsid w:val="00776CDE"/>
    <w:rsid w:val="007815BB"/>
    <w:rsid w:val="007824F4"/>
    <w:rsid w:val="00782848"/>
    <w:rsid w:val="00784109"/>
    <w:rsid w:val="0078410A"/>
    <w:rsid w:val="0078525A"/>
    <w:rsid w:val="00785FC5"/>
    <w:rsid w:val="0078631B"/>
    <w:rsid w:val="0078653C"/>
    <w:rsid w:val="00791A2B"/>
    <w:rsid w:val="00791E6F"/>
    <w:rsid w:val="00792EE9"/>
    <w:rsid w:val="0079572A"/>
    <w:rsid w:val="007969EF"/>
    <w:rsid w:val="007A1121"/>
    <w:rsid w:val="007A1122"/>
    <w:rsid w:val="007A15A6"/>
    <w:rsid w:val="007A41BD"/>
    <w:rsid w:val="007A6A4D"/>
    <w:rsid w:val="007A74F9"/>
    <w:rsid w:val="007A7C7B"/>
    <w:rsid w:val="007B152D"/>
    <w:rsid w:val="007B358E"/>
    <w:rsid w:val="007B48B8"/>
    <w:rsid w:val="007C0F6D"/>
    <w:rsid w:val="007D14AE"/>
    <w:rsid w:val="007E3027"/>
    <w:rsid w:val="007E38CD"/>
    <w:rsid w:val="007E5614"/>
    <w:rsid w:val="007E768B"/>
    <w:rsid w:val="007F13CC"/>
    <w:rsid w:val="007F2DE8"/>
    <w:rsid w:val="007F3E94"/>
    <w:rsid w:val="007F4493"/>
    <w:rsid w:val="007F4C72"/>
    <w:rsid w:val="007F71F9"/>
    <w:rsid w:val="008011E7"/>
    <w:rsid w:val="0080323F"/>
    <w:rsid w:val="00805BDB"/>
    <w:rsid w:val="008063BB"/>
    <w:rsid w:val="00812394"/>
    <w:rsid w:val="008123FF"/>
    <w:rsid w:val="0081387C"/>
    <w:rsid w:val="0081474E"/>
    <w:rsid w:val="008171F9"/>
    <w:rsid w:val="0083053E"/>
    <w:rsid w:val="00831B5E"/>
    <w:rsid w:val="00832F5B"/>
    <w:rsid w:val="00841AC4"/>
    <w:rsid w:val="00845A34"/>
    <w:rsid w:val="00852192"/>
    <w:rsid w:val="00852BBB"/>
    <w:rsid w:val="00856806"/>
    <w:rsid w:val="00856D3C"/>
    <w:rsid w:val="00860609"/>
    <w:rsid w:val="00863FC3"/>
    <w:rsid w:val="0087199F"/>
    <w:rsid w:val="00871CBD"/>
    <w:rsid w:val="00874C1A"/>
    <w:rsid w:val="00880B97"/>
    <w:rsid w:val="00881800"/>
    <w:rsid w:val="00883A3E"/>
    <w:rsid w:val="0088579E"/>
    <w:rsid w:val="00885B2F"/>
    <w:rsid w:val="008875C1"/>
    <w:rsid w:val="00891E25"/>
    <w:rsid w:val="008926E5"/>
    <w:rsid w:val="008926F3"/>
    <w:rsid w:val="008A04D3"/>
    <w:rsid w:val="008B3925"/>
    <w:rsid w:val="008B4F0F"/>
    <w:rsid w:val="008C000E"/>
    <w:rsid w:val="008C1795"/>
    <w:rsid w:val="008C2254"/>
    <w:rsid w:val="008C3938"/>
    <w:rsid w:val="008C3A59"/>
    <w:rsid w:val="008C4B0D"/>
    <w:rsid w:val="008E1286"/>
    <w:rsid w:val="008E19F3"/>
    <w:rsid w:val="008E1F4A"/>
    <w:rsid w:val="008F2AEC"/>
    <w:rsid w:val="008F36CB"/>
    <w:rsid w:val="008F3C6D"/>
    <w:rsid w:val="008F6AAF"/>
    <w:rsid w:val="00901DB4"/>
    <w:rsid w:val="00901E1F"/>
    <w:rsid w:val="0090292E"/>
    <w:rsid w:val="009066E9"/>
    <w:rsid w:val="00906E67"/>
    <w:rsid w:val="009144B1"/>
    <w:rsid w:val="00915ADA"/>
    <w:rsid w:val="00916B03"/>
    <w:rsid w:val="0092097A"/>
    <w:rsid w:val="009222C9"/>
    <w:rsid w:val="009228CF"/>
    <w:rsid w:val="00925499"/>
    <w:rsid w:val="00930569"/>
    <w:rsid w:val="00931F18"/>
    <w:rsid w:val="00932625"/>
    <w:rsid w:val="009343CC"/>
    <w:rsid w:val="009344C2"/>
    <w:rsid w:val="00934CD7"/>
    <w:rsid w:val="009412B0"/>
    <w:rsid w:val="0094645B"/>
    <w:rsid w:val="0094705C"/>
    <w:rsid w:val="00957739"/>
    <w:rsid w:val="00957B41"/>
    <w:rsid w:val="009631E0"/>
    <w:rsid w:val="009649D2"/>
    <w:rsid w:val="009660BD"/>
    <w:rsid w:val="009674F1"/>
    <w:rsid w:val="009750FA"/>
    <w:rsid w:val="009771E2"/>
    <w:rsid w:val="00977540"/>
    <w:rsid w:val="009834E2"/>
    <w:rsid w:val="00985DC8"/>
    <w:rsid w:val="009A4FC0"/>
    <w:rsid w:val="009A52BA"/>
    <w:rsid w:val="009A69B1"/>
    <w:rsid w:val="009A700C"/>
    <w:rsid w:val="009B1D25"/>
    <w:rsid w:val="009C0ECA"/>
    <w:rsid w:val="009C16D4"/>
    <w:rsid w:val="009C45BA"/>
    <w:rsid w:val="009C7948"/>
    <w:rsid w:val="009C79BD"/>
    <w:rsid w:val="009D01A2"/>
    <w:rsid w:val="009D24BB"/>
    <w:rsid w:val="009D44DD"/>
    <w:rsid w:val="009D64B2"/>
    <w:rsid w:val="009D729E"/>
    <w:rsid w:val="009D7493"/>
    <w:rsid w:val="009E317D"/>
    <w:rsid w:val="009E31C0"/>
    <w:rsid w:val="009E3B52"/>
    <w:rsid w:val="009F2CB2"/>
    <w:rsid w:val="009F342D"/>
    <w:rsid w:val="009F3DA2"/>
    <w:rsid w:val="009F59EE"/>
    <w:rsid w:val="009F6CFC"/>
    <w:rsid w:val="00A04BAE"/>
    <w:rsid w:val="00A069E2"/>
    <w:rsid w:val="00A07639"/>
    <w:rsid w:val="00A10289"/>
    <w:rsid w:val="00A106F8"/>
    <w:rsid w:val="00A10BF9"/>
    <w:rsid w:val="00A11C90"/>
    <w:rsid w:val="00A1395B"/>
    <w:rsid w:val="00A13D4D"/>
    <w:rsid w:val="00A14701"/>
    <w:rsid w:val="00A16A29"/>
    <w:rsid w:val="00A16E82"/>
    <w:rsid w:val="00A2244B"/>
    <w:rsid w:val="00A22B56"/>
    <w:rsid w:val="00A252BA"/>
    <w:rsid w:val="00A26285"/>
    <w:rsid w:val="00A27A7B"/>
    <w:rsid w:val="00A36CBA"/>
    <w:rsid w:val="00A36D79"/>
    <w:rsid w:val="00A41EA4"/>
    <w:rsid w:val="00A44FE0"/>
    <w:rsid w:val="00A4618A"/>
    <w:rsid w:val="00A50D03"/>
    <w:rsid w:val="00A522F5"/>
    <w:rsid w:val="00A566B1"/>
    <w:rsid w:val="00A61269"/>
    <w:rsid w:val="00A624BA"/>
    <w:rsid w:val="00A712B2"/>
    <w:rsid w:val="00A720B2"/>
    <w:rsid w:val="00A74214"/>
    <w:rsid w:val="00A7796E"/>
    <w:rsid w:val="00A86544"/>
    <w:rsid w:val="00A9085F"/>
    <w:rsid w:val="00A92C95"/>
    <w:rsid w:val="00A93A25"/>
    <w:rsid w:val="00AA0920"/>
    <w:rsid w:val="00AA3055"/>
    <w:rsid w:val="00AA469A"/>
    <w:rsid w:val="00AA6E6D"/>
    <w:rsid w:val="00AA715C"/>
    <w:rsid w:val="00AA7977"/>
    <w:rsid w:val="00AA79D9"/>
    <w:rsid w:val="00AB50FF"/>
    <w:rsid w:val="00AC4BEC"/>
    <w:rsid w:val="00AC57BB"/>
    <w:rsid w:val="00AC614D"/>
    <w:rsid w:val="00AD1F39"/>
    <w:rsid w:val="00AD4BC3"/>
    <w:rsid w:val="00AD647D"/>
    <w:rsid w:val="00AE2698"/>
    <w:rsid w:val="00AE313F"/>
    <w:rsid w:val="00AE34F4"/>
    <w:rsid w:val="00AF042F"/>
    <w:rsid w:val="00B00C49"/>
    <w:rsid w:val="00B03105"/>
    <w:rsid w:val="00B03461"/>
    <w:rsid w:val="00B0766F"/>
    <w:rsid w:val="00B07F42"/>
    <w:rsid w:val="00B10787"/>
    <w:rsid w:val="00B11974"/>
    <w:rsid w:val="00B12CF8"/>
    <w:rsid w:val="00B13035"/>
    <w:rsid w:val="00B225A2"/>
    <w:rsid w:val="00B244B9"/>
    <w:rsid w:val="00B24559"/>
    <w:rsid w:val="00B27020"/>
    <w:rsid w:val="00B27178"/>
    <w:rsid w:val="00B310C3"/>
    <w:rsid w:val="00B42229"/>
    <w:rsid w:val="00B43ABC"/>
    <w:rsid w:val="00B44FA9"/>
    <w:rsid w:val="00B51125"/>
    <w:rsid w:val="00B51F55"/>
    <w:rsid w:val="00B52CDF"/>
    <w:rsid w:val="00B5679C"/>
    <w:rsid w:val="00B60D60"/>
    <w:rsid w:val="00B63CDD"/>
    <w:rsid w:val="00B65687"/>
    <w:rsid w:val="00B6589C"/>
    <w:rsid w:val="00B65A3B"/>
    <w:rsid w:val="00B67AF0"/>
    <w:rsid w:val="00B72C6B"/>
    <w:rsid w:val="00B72E16"/>
    <w:rsid w:val="00B73012"/>
    <w:rsid w:val="00B83D7B"/>
    <w:rsid w:val="00B91131"/>
    <w:rsid w:val="00B94E88"/>
    <w:rsid w:val="00B95BB2"/>
    <w:rsid w:val="00B95EBA"/>
    <w:rsid w:val="00BA04AB"/>
    <w:rsid w:val="00BA23D8"/>
    <w:rsid w:val="00BA35C9"/>
    <w:rsid w:val="00BA3EE0"/>
    <w:rsid w:val="00BB4D49"/>
    <w:rsid w:val="00BB6439"/>
    <w:rsid w:val="00BB675F"/>
    <w:rsid w:val="00BC331B"/>
    <w:rsid w:val="00BC331D"/>
    <w:rsid w:val="00BC3E08"/>
    <w:rsid w:val="00BD17B0"/>
    <w:rsid w:val="00BD3E59"/>
    <w:rsid w:val="00BD56B7"/>
    <w:rsid w:val="00BD5A47"/>
    <w:rsid w:val="00BD5FB6"/>
    <w:rsid w:val="00BE2BCC"/>
    <w:rsid w:val="00BE3896"/>
    <w:rsid w:val="00BE424D"/>
    <w:rsid w:val="00BE7068"/>
    <w:rsid w:val="00BE768F"/>
    <w:rsid w:val="00C03192"/>
    <w:rsid w:val="00C10C80"/>
    <w:rsid w:val="00C11CD5"/>
    <w:rsid w:val="00C23E32"/>
    <w:rsid w:val="00C251C4"/>
    <w:rsid w:val="00C266F9"/>
    <w:rsid w:val="00C314C1"/>
    <w:rsid w:val="00C31917"/>
    <w:rsid w:val="00C37B8E"/>
    <w:rsid w:val="00C40571"/>
    <w:rsid w:val="00C40D7F"/>
    <w:rsid w:val="00C41741"/>
    <w:rsid w:val="00C41DD9"/>
    <w:rsid w:val="00C427DA"/>
    <w:rsid w:val="00C42C49"/>
    <w:rsid w:val="00C42FAF"/>
    <w:rsid w:val="00C521D9"/>
    <w:rsid w:val="00C568FB"/>
    <w:rsid w:val="00C56D0A"/>
    <w:rsid w:val="00C7255C"/>
    <w:rsid w:val="00C72FDA"/>
    <w:rsid w:val="00C734F1"/>
    <w:rsid w:val="00C73AA7"/>
    <w:rsid w:val="00C73DAB"/>
    <w:rsid w:val="00C85569"/>
    <w:rsid w:val="00C863A3"/>
    <w:rsid w:val="00C864DC"/>
    <w:rsid w:val="00C90075"/>
    <w:rsid w:val="00C915B4"/>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2EC2"/>
    <w:rsid w:val="00CD3324"/>
    <w:rsid w:val="00CD5FBC"/>
    <w:rsid w:val="00CD6162"/>
    <w:rsid w:val="00CE4309"/>
    <w:rsid w:val="00CE6C6E"/>
    <w:rsid w:val="00CF42B9"/>
    <w:rsid w:val="00CF580B"/>
    <w:rsid w:val="00CF7819"/>
    <w:rsid w:val="00D01832"/>
    <w:rsid w:val="00D04527"/>
    <w:rsid w:val="00D21C96"/>
    <w:rsid w:val="00D30854"/>
    <w:rsid w:val="00D31127"/>
    <w:rsid w:val="00D33134"/>
    <w:rsid w:val="00D366B5"/>
    <w:rsid w:val="00D4052C"/>
    <w:rsid w:val="00D447AC"/>
    <w:rsid w:val="00D4538C"/>
    <w:rsid w:val="00D4539F"/>
    <w:rsid w:val="00D458F0"/>
    <w:rsid w:val="00D472C6"/>
    <w:rsid w:val="00D5079D"/>
    <w:rsid w:val="00D535DF"/>
    <w:rsid w:val="00D54957"/>
    <w:rsid w:val="00D55BD2"/>
    <w:rsid w:val="00D57CA6"/>
    <w:rsid w:val="00D6041B"/>
    <w:rsid w:val="00D60D98"/>
    <w:rsid w:val="00D61018"/>
    <w:rsid w:val="00D6265B"/>
    <w:rsid w:val="00D72F33"/>
    <w:rsid w:val="00D7707C"/>
    <w:rsid w:val="00D80B6D"/>
    <w:rsid w:val="00D80CAD"/>
    <w:rsid w:val="00D8513A"/>
    <w:rsid w:val="00D85BBB"/>
    <w:rsid w:val="00D90628"/>
    <w:rsid w:val="00D92D49"/>
    <w:rsid w:val="00D930E7"/>
    <w:rsid w:val="00D93623"/>
    <w:rsid w:val="00D93D7A"/>
    <w:rsid w:val="00D9690A"/>
    <w:rsid w:val="00DA073A"/>
    <w:rsid w:val="00DA08E6"/>
    <w:rsid w:val="00DA244F"/>
    <w:rsid w:val="00DA50BA"/>
    <w:rsid w:val="00DA55A8"/>
    <w:rsid w:val="00DA7B87"/>
    <w:rsid w:val="00DB0266"/>
    <w:rsid w:val="00DB0F40"/>
    <w:rsid w:val="00DB63D9"/>
    <w:rsid w:val="00DB7514"/>
    <w:rsid w:val="00DB795C"/>
    <w:rsid w:val="00DB7E77"/>
    <w:rsid w:val="00DC0B27"/>
    <w:rsid w:val="00DC1667"/>
    <w:rsid w:val="00DC2FCA"/>
    <w:rsid w:val="00DC30D0"/>
    <w:rsid w:val="00DC7E88"/>
    <w:rsid w:val="00DD3AB0"/>
    <w:rsid w:val="00DD68B5"/>
    <w:rsid w:val="00DD7FC1"/>
    <w:rsid w:val="00DF0000"/>
    <w:rsid w:val="00DF020C"/>
    <w:rsid w:val="00DF05CC"/>
    <w:rsid w:val="00DF5A2C"/>
    <w:rsid w:val="00DF7709"/>
    <w:rsid w:val="00DF7D1B"/>
    <w:rsid w:val="00E00DC6"/>
    <w:rsid w:val="00E01A0A"/>
    <w:rsid w:val="00E02B4A"/>
    <w:rsid w:val="00E058A3"/>
    <w:rsid w:val="00E06422"/>
    <w:rsid w:val="00E11439"/>
    <w:rsid w:val="00E151F3"/>
    <w:rsid w:val="00E161C6"/>
    <w:rsid w:val="00E17539"/>
    <w:rsid w:val="00E21CDE"/>
    <w:rsid w:val="00E225BA"/>
    <w:rsid w:val="00E2483C"/>
    <w:rsid w:val="00E26CF0"/>
    <w:rsid w:val="00E31346"/>
    <w:rsid w:val="00E33BF5"/>
    <w:rsid w:val="00E36C23"/>
    <w:rsid w:val="00E376F8"/>
    <w:rsid w:val="00E40550"/>
    <w:rsid w:val="00E41C99"/>
    <w:rsid w:val="00E423B5"/>
    <w:rsid w:val="00E4313E"/>
    <w:rsid w:val="00E43F59"/>
    <w:rsid w:val="00E448C8"/>
    <w:rsid w:val="00E47FF9"/>
    <w:rsid w:val="00E518BB"/>
    <w:rsid w:val="00E56A60"/>
    <w:rsid w:val="00E57F9B"/>
    <w:rsid w:val="00E6726D"/>
    <w:rsid w:val="00E76043"/>
    <w:rsid w:val="00E77BCA"/>
    <w:rsid w:val="00E81433"/>
    <w:rsid w:val="00E81C95"/>
    <w:rsid w:val="00E8372E"/>
    <w:rsid w:val="00E84B41"/>
    <w:rsid w:val="00E852A3"/>
    <w:rsid w:val="00E93958"/>
    <w:rsid w:val="00EA01CC"/>
    <w:rsid w:val="00EA0C1C"/>
    <w:rsid w:val="00EA3819"/>
    <w:rsid w:val="00EA477A"/>
    <w:rsid w:val="00EA4F68"/>
    <w:rsid w:val="00EB1036"/>
    <w:rsid w:val="00EB4785"/>
    <w:rsid w:val="00EB48E6"/>
    <w:rsid w:val="00EB716B"/>
    <w:rsid w:val="00EC3BED"/>
    <w:rsid w:val="00EC7BC1"/>
    <w:rsid w:val="00EC7F0E"/>
    <w:rsid w:val="00ED1BBB"/>
    <w:rsid w:val="00ED2D1F"/>
    <w:rsid w:val="00ED47B9"/>
    <w:rsid w:val="00ED58E9"/>
    <w:rsid w:val="00ED79D6"/>
    <w:rsid w:val="00EE1831"/>
    <w:rsid w:val="00EE3451"/>
    <w:rsid w:val="00EE63BE"/>
    <w:rsid w:val="00EE6922"/>
    <w:rsid w:val="00EF0284"/>
    <w:rsid w:val="00EF18D9"/>
    <w:rsid w:val="00EF1AE7"/>
    <w:rsid w:val="00EF2F7C"/>
    <w:rsid w:val="00EF318B"/>
    <w:rsid w:val="00F01A8D"/>
    <w:rsid w:val="00F01BFC"/>
    <w:rsid w:val="00F02356"/>
    <w:rsid w:val="00F02D95"/>
    <w:rsid w:val="00F101B3"/>
    <w:rsid w:val="00F10A3C"/>
    <w:rsid w:val="00F13FDA"/>
    <w:rsid w:val="00F14982"/>
    <w:rsid w:val="00F14B6E"/>
    <w:rsid w:val="00F20B64"/>
    <w:rsid w:val="00F20D55"/>
    <w:rsid w:val="00F21D05"/>
    <w:rsid w:val="00F250B8"/>
    <w:rsid w:val="00F253CD"/>
    <w:rsid w:val="00F2598D"/>
    <w:rsid w:val="00F259AE"/>
    <w:rsid w:val="00F30F02"/>
    <w:rsid w:val="00F31B7E"/>
    <w:rsid w:val="00F336A2"/>
    <w:rsid w:val="00F33826"/>
    <w:rsid w:val="00F33D58"/>
    <w:rsid w:val="00F34E7C"/>
    <w:rsid w:val="00F3561E"/>
    <w:rsid w:val="00F36EC6"/>
    <w:rsid w:val="00F4229F"/>
    <w:rsid w:val="00F44AEB"/>
    <w:rsid w:val="00F45620"/>
    <w:rsid w:val="00F46BBD"/>
    <w:rsid w:val="00F479A2"/>
    <w:rsid w:val="00F51B95"/>
    <w:rsid w:val="00F5432C"/>
    <w:rsid w:val="00F5470D"/>
    <w:rsid w:val="00F5611C"/>
    <w:rsid w:val="00F637FB"/>
    <w:rsid w:val="00F640A4"/>
    <w:rsid w:val="00F66B41"/>
    <w:rsid w:val="00F712AB"/>
    <w:rsid w:val="00F77D7D"/>
    <w:rsid w:val="00F80CD0"/>
    <w:rsid w:val="00F82DDB"/>
    <w:rsid w:val="00F838FF"/>
    <w:rsid w:val="00F83CDB"/>
    <w:rsid w:val="00F8771B"/>
    <w:rsid w:val="00F90003"/>
    <w:rsid w:val="00F9173C"/>
    <w:rsid w:val="00F94180"/>
    <w:rsid w:val="00FA1C73"/>
    <w:rsid w:val="00FA69C2"/>
    <w:rsid w:val="00FA6B22"/>
    <w:rsid w:val="00FA6E63"/>
    <w:rsid w:val="00FA73E5"/>
    <w:rsid w:val="00FB18D0"/>
    <w:rsid w:val="00FB2ED6"/>
    <w:rsid w:val="00FB3309"/>
    <w:rsid w:val="00FB53F1"/>
    <w:rsid w:val="00FC0973"/>
    <w:rsid w:val="00FC2216"/>
    <w:rsid w:val="00FC23FE"/>
    <w:rsid w:val="00FC2522"/>
    <w:rsid w:val="00FC309B"/>
    <w:rsid w:val="00FC5B56"/>
    <w:rsid w:val="00FC7D97"/>
    <w:rsid w:val="00FD43E4"/>
    <w:rsid w:val="00FD4B12"/>
    <w:rsid w:val="00FD7195"/>
    <w:rsid w:val="00FD747A"/>
    <w:rsid w:val="00FE10BB"/>
    <w:rsid w:val="00FE3038"/>
    <w:rsid w:val="00FE4313"/>
    <w:rsid w:val="00FE619E"/>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linkedin.com/company/786541/" TargetMode="External"/><Relationship Id="rId18" Type="http://schemas.openxmlformats.org/officeDocument/2006/relationships/header" Target="header2.xml"/><Relationship Id="rId26" Type="http://schemas.openxmlformats.org/officeDocument/2006/relationships/hyperlink" Target="mailto:michaela.sahulova@bcas.cz"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facebook.com/Broker.Consulting/" TargetMode="External"/><Relationship Id="rId17" Type="http://schemas.openxmlformats.org/officeDocument/2006/relationships/footer" Target="footer1.xml"/><Relationship Id="rId25" Type="http://schemas.openxmlformats.org/officeDocument/2006/relationships/hyperlink" Target="https://www.bcas.cz/o-nas/broker-consulting-index-spotrebitelskych-uveru/" TargetMode="Externa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alityspolu.cz" TargetMode="External"/><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linkedin.com/company/10668151/" TargetMode="Externa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yperlink" Target="http://www.okpointy.c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bcas.cz" TargetMode="External"/><Relationship Id="rId14" Type="http://schemas.openxmlformats.org/officeDocument/2006/relationships/hyperlink" Target="https://www.facebook.com/okpointy/" TargetMode="External"/><Relationship Id="rId22" Type="http://schemas.openxmlformats.org/officeDocument/2006/relationships/header" Target="head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6CA51-F034-4AC7-87ED-4EEE33D07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1087</Words>
  <Characters>6415</Characters>
  <Application>Microsoft Office Word</Application>
  <DocSecurity>0</DocSecurity>
  <Lines>53</Lines>
  <Paragraphs>14</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Michaela Sahulová</cp:lastModifiedBy>
  <cp:revision>2</cp:revision>
  <dcterms:created xsi:type="dcterms:W3CDTF">2023-11-15T13:41:00Z</dcterms:created>
  <dcterms:modified xsi:type="dcterms:W3CDTF">2023-11-15T13:41:00Z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