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ED014A1" w14:textId="55F827D2" w:rsidR="00D80B6D" w:rsidRPr="00B346ED" w:rsidRDefault="00D80B6D" w:rsidP="00B346ED">
          <w:pPr>
            <w:rPr>
              <w:highlight w:val="yellow"/>
            </w:rPr>
          </w:pPr>
        </w:p>
        <w:p w14:paraId="0FB45B67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b/>
              <w:sz w:val="24"/>
            </w:rPr>
            <w:t>INDEX HYPOTEČNÍCH ÚVĚRŮ</w:t>
          </w:r>
          <w:r w:rsidRPr="007443AD">
            <w:rPr>
              <w:rFonts w:asciiTheme="minorHAnsi" w:hAnsiTheme="minorHAnsi" w:cstheme="minorHAnsi"/>
              <w:sz w:val="24"/>
            </w:rPr>
            <w:t xml:space="preserve"> | </w:t>
          </w:r>
          <w:r w:rsidRPr="007443AD">
            <w:rPr>
              <w:rFonts w:asciiTheme="minorHAnsi" w:hAnsiTheme="minorHAnsi" w:cstheme="minorHAnsi"/>
              <w:b/>
              <w:sz w:val="24"/>
            </w:rPr>
            <w:t xml:space="preserve">FIXINDEX </w:t>
          </w:r>
        </w:p>
        <w:p w14:paraId="03C4DE47" w14:textId="137DE246" w:rsidR="0009776B" w:rsidRDefault="00D80B6D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PODÍLOVÝCH FONDŮ </w:t>
          </w:r>
        </w:p>
        <w:p w14:paraId="5F5E486E" w14:textId="2A454C45" w:rsidR="004B5B94" w:rsidRPr="007443AD" w:rsidRDefault="004B5B94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>
            <w:rPr>
              <w:rFonts w:asciiTheme="minorHAnsi" w:hAnsiTheme="minorHAnsi" w:cstheme="minorHAnsi"/>
              <w:sz w:val="24"/>
            </w:rPr>
            <w:t>REALINDEX</w:t>
          </w:r>
        </w:p>
        <w:p w14:paraId="32900BCE" w14:textId="5904F9FC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P</w:t>
          </w:r>
          <w:r w:rsidR="005F65A1" w:rsidRPr="007443AD">
            <w:rPr>
              <w:rFonts w:asciiTheme="minorHAnsi" w:hAnsiTheme="minorHAnsi" w:cstheme="minorHAnsi"/>
              <w:sz w:val="24"/>
            </w:rPr>
            <w:t>OV</w:t>
          </w:r>
          <w:r w:rsidRPr="007443AD">
            <w:rPr>
              <w:rFonts w:asciiTheme="minorHAnsi" w:hAnsiTheme="minorHAnsi" w:cstheme="minorHAnsi"/>
              <w:sz w:val="24"/>
            </w:rPr>
            <w:t xml:space="preserve">INDEX </w:t>
          </w:r>
        </w:p>
        <w:p w14:paraId="5B21B8A6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660AEB6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51D468A4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F2ED30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C828C1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9B23CF7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7EC9300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1132A3F" w14:textId="5D367D7A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5B7E46" w:rsidRDefault="00D80B6D" w:rsidP="00D80B6D">
          <w:pPr>
            <w:jc w:val="both"/>
            <w:rPr>
              <w:rFonts w:asciiTheme="minorHAnsi" w:hAnsiTheme="minorHAnsi" w:cstheme="minorHAnsi"/>
              <w:sz w:val="20"/>
              <w:szCs w:val="20"/>
            </w:rPr>
          </w:pPr>
        </w:p>
        <w:p w14:paraId="08070DCC" w14:textId="53BA188B" w:rsidR="00792EE9" w:rsidRPr="005B7E46" w:rsidRDefault="00792EE9" w:rsidP="00792EE9">
          <w:pPr>
            <w:jc w:val="both"/>
            <w:rPr>
              <w:rStyle w:val="dn"/>
              <w:rFonts w:asciiTheme="minorHAnsi" w:hAnsiTheme="minorHAnsi" w:cstheme="minorHAnsi"/>
              <w:sz w:val="20"/>
              <w:szCs w:val="20"/>
            </w:rPr>
          </w:pPr>
          <w:r w:rsidRPr="005B7E46">
            <w:rPr>
              <w:rFonts w:asciiTheme="minorHAnsi" w:hAnsiTheme="minorHAnsi" w:cstheme="minorHAnsi"/>
              <w:sz w:val="20"/>
              <w:szCs w:val="20"/>
            </w:rPr>
            <w:t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</w:t>
          </w:r>
          <w:r w:rsidR="00B8133C">
            <w:rPr>
              <w:rFonts w:asciiTheme="minorHAnsi" w:hAnsiTheme="minorHAnsi" w:cstheme="minorHAnsi"/>
              <w:sz w:val="20"/>
              <w:szCs w:val="20"/>
            </w:rPr>
            <w:t>) ve více než 150 kancelářích</w:t>
          </w:r>
          <w:r w:rsidR="00CD6257" w:rsidRPr="005B7E46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 w:rsidR="00B8133C">
            <w:rPr>
              <w:rFonts w:asciiTheme="minorHAnsi" w:hAnsiTheme="minorHAnsi" w:cstheme="minorHAnsi"/>
              <w:sz w:val="20"/>
              <w:szCs w:val="20"/>
            </w:rPr>
            <w:t>a na několika desítkách poboček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 xml:space="preserve">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</w:t>
          </w:r>
          <w:r w:rsidR="004D6BA6">
            <w:rPr>
              <w:rFonts w:asciiTheme="minorHAnsi" w:hAnsiTheme="minorHAnsi" w:cstheme="minorHAnsi"/>
              <w:sz w:val="20"/>
              <w:szCs w:val="20"/>
            </w:rPr>
            <w:t>,</w:t>
          </w:r>
          <w:r w:rsidR="00961519" w:rsidRPr="00961519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 w:rsidR="00961519">
            <w:rPr>
              <w:rFonts w:asciiTheme="minorHAnsi" w:hAnsiTheme="minorHAnsi" w:cstheme="minorHAnsi"/>
              <w:sz w:val="20"/>
              <w:szCs w:val="20"/>
            </w:rPr>
            <w:t xml:space="preserve">jehož přináší společnost Broker Consulting, která za vedení franšízy a její podporu získala ocenění </w:t>
          </w:r>
          <w:proofErr w:type="spellStart"/>
          <w:r w:rsidR="00961519" w:rsidRPr="00A0680F"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t>Franchisor</w:t>
          </w:r>
          <w:proofErr w:type="spellEnd"/>
          <w:r w:rsidR="00961519" w:rsidRPr="00A0680F"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t xml:space="preserve"> roku 2022</w:t>
          </w:r>
          <w:r w:rsidR="00961519" w:rsidRPr="00A0680F">
            <w:rPr>
              <w:rFonts w:asciiTheme="minorHAnsi" w:hAnsiTheme="minorHAnsi" w:cstheme="minorHAnsi"/>
              <w:color w:val="FF0000"/>
              <w:sz w:val="20"/>
              <w:szCs w:val="20"/>
            </w:rPr>
            <w:t xml:space="preserve"> </w:t>
          </w:r>
          <w:r w:rsidR="00961519">
            <w:rPr>
              <w:rFonts w:asciiTheme="minorHAnsi" w:hAnsiTheme="minorHAnsi" w:cstheme="minorHAnsi"/>
              <w:sz w:val="20"/>
              <w:szCs w:val="20"/>
            </w:rPr>
            <w:t xml:space="preserve">od České asociace </w:t>
          </w:r>
          <w:proofErr w:type="spellStart"/>
          <w:r w:rsidR="00961519">
            <w:rPr>
              <w:rFonts w:asciiTheme="minorHAnsi" w:hAnsiTheme="minorHAnsi" w:cstheme="minorHAnsi"/>
              <w:sz w:val="20"/>
              <w:szCs w:val="20"/>
            </w:rPr>
            <w:t>franchisingu</w:t>
          </w:r>
          <w:proofErr w:type="spellEnd"/>
          <w:r w:rsidR="008D373A" w:rsidRPr="005B7E46">
            <w:rPr>
              <w:rFonts w:asciiTheme="minorHAnsi" w:hAnsiTheme="minorHAnsi" w:cstheme="minorHAnsi"/>
              <w:sz w:val="20"/>
              <w:szCs w:val="20"/>
            </w:rPr>
            <w:t xml:space="preserve">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Více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na </w:t>
          </w:r>
          <w:hyperlink r:id="rId9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bcas.cz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0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okpointy.cz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1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okpoint.tv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na </w:t>
          </w:r>
          <w:hyperlink r:id="rId12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realityspolu.cz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Navštivte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také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náš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3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, </w:t>
          </w:r>
          <w:hyperlink r:id="rId14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LinkedIN</w:t>
            </w:r>
            <w:proofErr w:type="spellEnd"/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Consulting, Twitter </w:t>
          </w:r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>@</w:t>
          </w:r>
          <w:proofErr w:type="spellStart"/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>BC_oficialni</w:t>
          </w:r>
          <w:proofErr w:type="spellEnd"/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 xml:space="preserve">,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5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6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>N</w:t>
          </w:r>
          <w:proofErr w:type="spellEnd"/>
          <w:r w:rsidR="001B2C03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OK POINTŮ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4F038982" w14:textId="77777777" w:rsidR="00203BD4" w:rsidRDefault="00203BD4" w:rsidP="0025264B">
          <w:pPr>
            <w:rPr>
              <w:rFonts w:ascii="Arial" w:hAnsi="Arial" w:cs="Arial"/>
              <w:sz w:val="20"/>
              <w:szCs w:val="20"/>
              <w:highlight w:val="yellow"/>
            </w:rPr>
          </w:pPr>
        </w:p>
        <w:p w14:paraId="35539C65" w14:textId="06F0629B" w:rsidR="00D31127" w:rsidRPr="006545F8" w:rsidRDefault="00FA6EE9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2765C796" w14:textId="77777777" w:rsidR="00E607C0" w:rsidRPr="00E607C0" w:rsidRDefault="00E607C0" w:rsidP="00E607C0">
      <w:pPr>
        <w:pStyle w:val="Odstavecseseznamem"/>
        <w:spacing w:after="240"/>
        <w:ind w:left="720" w:firstLine="0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E607C0">
        <w:rPr>
          <w:rFonts w:asciiTheme="minorHAnsi" w:hAnsiTheme="minorHAnsi" w:cstheme="minorHAnsi"/>
          <w:b/>
          <w:sz w:val="26"/>
          <w:szCs w:val="26"/>
        </w:rPr>
        <w:t>Úroky u hypoték zůstávají již několik měsíců s minimálními změnami</w:t>
      </w:r>
    </w:p>
    <w:p w14:paraId="72A53458" w14:textId="77777777" w:rsidR="00E607C0" w:rsidRPr="00E607C0" w:rsidRDefault="00E607C0" w:rsidP="002E1A0D">
      <w:pPr>
        <w:pStyle w:val="Odstavecseseznamem"/>
        <w:numPr>
          <w:ilvl w:val="0"/>
          <w:numId w:val="9"/>
        </w:numPr>
        <w:ind w:right="40"/>
        <w:rPr>
          <w:rFonts w:asciiTheme="minorHAnsi" w:eastAsiaTheme="minorHAnsi" w:hAnsiTheme="minorHAnsi" w:cstheme="minorHAnsi"/>
          <w:b/>
          <w:sz w:val="21"/>
          <w:szCs w:val="21"/>
          <w:lang w:bidi="ar-SA"/>
        </w:rPr>
      </w:pPr>
      <w:r w:rsidRPr="00E607C0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V říjnu dosáhl Broker Consulting Index hypotečních úvěrů hodnoty 5,78 procenta.</w:t>
      </w:r>
    </w:p>
    <w:p w14:paraId="46D5F826" w14:textId="77777777" w:rsidR="00E607C0" w:rsidRPr="00E607C0" w:rsidRDefault="00E607C0" w:rsidP="002E1A0D">
      <w:pPr>
        <w:pStyle w:val="Odstavecseseznamem"/>
        <w:numPr>
          <w:ilvl w:val="0"/>
          <w:numId w:val="9"/>
        </w:numPr>
        <w:ind w:right="40"/>
        <w:rPr>
          <w:rFonts w:asciiTheme="minorHAnsi" w:eastAsiaTheme="minorHAnsi" w:hAnsiTheme="minorHAnsi" w:cstheme="minorHAnsi"/>
          <w:b/>
          <w:sz w:val="21"/>
          <w:szCs w:val="21"/>
          <w:lang w:bidi="ar-SA"/>
        </w:rPr>
      </w:pPr>
      <w:r w:rsidRPr="00E607C0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V nejbližších měsících nelze očekávat výraznou změnu.</w:t>
      </w:r>
    </w:p>
    <w:p w14:paraId="0C4F89B5" w14:textId="27E790E6" w:rsidR="002E1A0D" w:rsidRPr="002E1A0D" w:rsidRDefault="00E607C0" w:rsidP="002E1A0D">
      <w:pPr>
        <w:pStyle w:val="Odstavecseseznamem"/>
        <w:numPr>
          <w:ilvl w:val="0"/>
          <w:numId w:val="9"/>
        </w:numPr>
        <w:ind w:right="40"/>
        <w:rPr>
          <w:rFonts w:asciiTheme="minorHAnsi" w:hAnsiTheme="minorHAnsi" w:cstheme="minorHAnsi"/>
          <w:b/>
          <w:sz w:val="21"/>
          <w:szCs w:val="21"/>
        </w:rPr>
      </w:pPr>
      <w:r w:rsidRPr="002E1A0D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 xml:space="preserve">Hodnota předstihového ukazatele pro listopad </w:t>
      </w:r>
      <w:r w:rsidR="002E1A0D" w:rsidRPr="002E1A0D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mírně poklesla na</w:t>
      </w:r>
      <w:r w:rsidRPr="002E1A0D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 xml:space="preserve"> 5</w:t>
      </w:r>
      <w:r w:rsidR="002E1A0D" w:rsidRPr="002E1A0D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,94 procent</w:t>
      </w:r>
      <w:r w:rsidR="002E1A0D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a.</w:t>
      </w:r>
    </w:p>
    <w:p w14:paraId="18525D95" w14:textId="5BD97C4A" w:rsidR="00A803EF" w:rsidRPr="002E1A0D" w:rsidRDefault="002B4265" w:rsidP="00122208">
      <w:pPr>
        <w:spacing w:before="200" w:after="200"/>
        <w:ind w:right="40"/>
        <w:rPr>
          <w:rFonts w:asciiTheme="minorHAnsi" w:hAnsiTheme="minorHAnsi" w:cstheme="minorHAnsi"/>
          <w:b/>
          <w:sz w:val="21"/>
          <w:szCs w:val="21"/>
        </w:rPr>
      </w:pPr>
      <w:r w:rsidRPr="002E1A0D">
        <w:rPr>
          <w:rFonts w:asciiTheme="minorHAnsi" w:hAnsiTheme="minorHAnsi" w:cstheme="minorHAnsi"/>
          <w:b/>
          <w:i/>
          <w:sz w:val="21"/>
          <w:szCs w:val="21"/>
        </w:rPr>
        <w:t xml:space="preserve">Praha, </w:t>
      </w:r>
      <w:r w:rsidR="009F0DD5">
        <w:rPr>
          <w:rFonts w:asciiTheme="minorHAnsi" w:hAnsiTheme="minorHAnsi" w:cstheme="minorHAnsi"/>
          <w:b/>
          <w:i/>
          <w:sz w:val="21"/>
          <w:szCs w:val="21"/>
        </w:rPr>
        <w:t>10</w:t>
      </w:r>
      <w:bookmarkStart w:id="0" w:name="_GoBack"/>
      <w:bookmarkEnd w:id="0"/>
      <w:r w:rsidRPr="002E1A0D">
        <w:rPr>
          <w:rFonts w:asciiTheme="minorHAnsi" w:hAnsiTheme="minorHAnsi" w:cstheme="minorHAnsi"/>
          <w:b/>
          <w:i/>
          <w:sz w:val="21"/>
          <w:szCs w:val="21"/>
        </w:rPr>
        <w:t xml:space="preserve">. </w:t>
      </w:r>
      <w:r w:rsidR="002C06E2" w:rsidRPr="002E1A0D">
        <w:rPr>
          <w:rFonts w:asciiTheme="minorHAnsi" w:hAnsiTheme="minorHAnsi" w:cstheme="minorHAnsi"/>
          <w:b/>
          <w:i/>
          <w:sz w:val="21"/>
          <w:szCs w:val="21"/>
        </w:rPr>
        <w:t>listopadu</w:t>
      </w:r>
      <w:r w:rsidR="001F2399" w:rsidRPr="002E1A0D">
        <w:rPr>
          <w:rFonts w:asciiTheme="minorHAnsi" w:hAnsiTheme="minorHAnsi" w:cstheme="minorHAnsi"/>
          <w:b/>
          <w:i/>
          <w:sz w:val="21"/>
          <w:szCs w:val="21"/>
        </w:rPr>
        <w:t xml:space="preserve"> </w:t>
      </w:r>
      <w:r w:rsidR="00176E93" w:rsidRPr="002E1A0D">
        <w:rPr>
          <w:rFonts w:asciiTheme="minorHAnsi" w:hAnsiTheme="minorHAnsi" w:cstheme="minorHAnsi"/>
          <w:b/>
          <w:i/>
          <w:sz w:val="21"/>
          <w:szCs w:val="21"/>
        </w:rPr>
        <w:t xml:space="preserve">2023 </w:t>
      </w:r>
      <w:r w:rsidR="006429DE">
        <w:rPr>
          <w:rFonts w:asciiTheme="minorHAnsi" w:hAnsiTheme="minorHAnsi" w:cstheme="minorHAnsi"/>
          <w:b/>
          <w:sz w:val="21"/>
          <w:szCs w:val="21"/>
        </w:rPr>
        <w:t>– V říjnu</w:t>
      </w:r>
      <w:r w:rsidR="00176E93" w:rsidRPr="002E1A0D">
        <w:rPr>
          <w:rFonts w:asciiTheme="minorHAnsi" w:hAnsiTheme="minorHAnsi" w:cstheme="minorHAnsi"/>
          <w:b/>
          <w:sz w:val="21"/>
          <w:szCs w:val="21"/>
        </w:rPr>
        <w:t xml:space="preserve"> zaznamenal</w:t>
      </w:r>
      <w:r w:rsidR="00BF4CD9" w:rsidRPr="002E1A0D">
        <w:rPr>
          <w:rFonts w:asciiTheme="minorHAnsi" w:hAnsiTheme="minorHAnsi" w:cstheme="minorHAnsi"/>
          <w:b/>
          <w:sz w:val="21"/>
          <w:szCs w:val="21"/>
        </w:rPr>
        <w:t xml:space="preserve"> Broker Consulting I</w:t>
      </w:r>
      <w:r w:rsidR="008C79A2" w:rsidRPr="002E1A0D">
        <w:rPr>
          <w:rFonts w:asciiTheme="minorHAnsi" w:hAnsiTheme="minorHAnsi" w:cstheme="minorHAnsi"/>
          <w:b/>
          <w:sz w:val="21"/>
          <w:szCs w:val="21"/>
        </w:rPr>
        <w:t xml:space="preserve">ndex hypotečních úvěrů </w:t>
      </w:r>
      <w:r w:rsidR="00FE1D87">
        <w:rPr>
          <w:rFonts w:asciiTheme="minorHAnsi" w:hAnsiTheme="minorHAnsi" w:cstheme="minorHAnsi"/>
          <w:b/>
          <w:sz w:val="21"/>
          <w:szCs w:val="21"/>
        </w:rPr>
        <w:t>hodnotu 5,78</w:t>
      </w:r>
      <w:r w:rsidR="001E0A89" w:rsidRPr="002E1A0D">
        <w:rPr>
          <w:rFonts w:asciiTheme="minorHAnsi" w:hAnsiTheme="minorHAnsi" w:cstheme="minorHAnsi"/>
          <w:b/>
          <w:sz w:val="21"/>
          <w:szCs w:val="21"/>
        </w:rPr>
        <w:t xml:space="preserve"> procenta</w:t>
      </w:r>
      <w:r w:rsidR="00D879CA" w:rsidRPr="002E1A0D">
        <w:rPr>
          <w:rFonts w:asciiTheme="minorHAnsi" w:hAnsiTheme="minorHAnsi" w:cstheme="minorHAnsi"/>
          <w:b/>
          <w:sz w:val="21"/>
          <w:szCs w:val="21"/>
        </w:rPr>
        <w:t>, což je oproti předchozím</w:t>
      </w:r>
      <w:r w:rsidR="00FE1D87">
        <w:rPr>
          <w:rFonts w:asciiTheme="minorHAnsi" w:hAnsiTheme="minorHAnsi" w:cstheme="minorHAnsi"/>
          <w:b/>
          <w:sz w:val="21"/>
          <w:szCs w:val="21"/>
        </w:rPr>
        <w:t>u měsíci nepatrný nárůst o 0,09</w:t>
      </w:r>
      <w:r w:rsidR="001E0A89" w:rsidRPr="002E1A0D">
        <w:rPr>
          <w:rFonts w:asciiTheme="minorHAnsi" w:hAnsiTheme="minorHAnsi" w:cstheme="minorHAnsi"/>
          <w:b/>
          <w:sz w:val="21"/>
          <w:szCs w:val="21"/>
        </w:rPr>
        <w:t xml:space="preserve"> procentního bodu</w:t>
      </w:r>
      <w:r w:rsidR="00D879CA" w:rsidRPr="002E1A0D">
        <w:rPr>
          <w:rFonts w:asciiTheme="minorHAnsi" w:hAnsiTheme="minorHAnsi" w:cstheme="minorHAnsi"/>
          <w:b/>
          <w:sz w:val="21"/>
          <w:szCs w:val="21"/>
        </w:rPr>
        <w:t xml:space="preserve">. </w:t>
      </w:r>
      <w:r w:rsidR="00176E93" w:rsidRPr="002E1A0D">
        <w:rPr>
          <w:rFonts w:asciiTheme="minorHAnsi" w:hAnsiTheme="minorHAnsi" w:cstheme="minorHAnsi"/>
          <w:b/>
          <w:sz w:val="21"/>
          <w:szCs w:val="21"/>
        </w:rPr>
        <w:t xml:space="preserve"> </w:t>
      </w:r>
      <w:r w:rsidR="00D879CA" w:rsidRPr="002E1A0D">
        <w:rPr>
          <w:rFonts w:asciiTheme="minorHAnsi" w:hAnsiTheme="minorHAnsi" w:cstheme="minorHAnsi"/>
          <w:b/>
          <w:sz w:val="21"/>
          <w:szCs w:val="21"/>
        </w:rPr>
        <w:t>Tento vývoj naprosto odpovídá trendu letošního roku, kdy jsou sazby u hypoték od ledna 2023 stabilní a po celou dobu se drží v rozmezí 0,5procentního bodu. Ani na závěr roku experti nepředpokládají velké výkyvy</w:t>
      </w:r>
      <w:r w:rsidR="0045292A" w:rsidRPr="002E1A0D">
        <w:rPr>
          <w:rFonts w:asciiTheme="minorHAnsi" w:hAnsiTheme="minorHAnsi" w:cstheme="minorHAnsi"/>
          <w:b/>
          <w:sz w:val="21"/>
          <w:szCs w:val="21"/>
        </w:rPr>
        <w:t>. Tomu odpovídá i vypočítaná hodnota předstihového</w:t>
      </w:r>
      <w:r w:rsidR="00D879CA" w:rsidRPr="002E1A0D">
        <w:rPr>
          <w:rFonts w:asciiTheme="minorHAnsi" w:hAnsiTheme="minorHAnsi" w:cstheme="minorHAnsi"/>
          <w:b/>
          <w:sz w:val="21"/>
          <w:szCs w:val="21"/>
        </w:rPr>
        <w:t xml:space="preserve"> ukazatel</w:t>
      </w:r>
      <w:r w:rsidR="0045292A" w:rsidRPr="002E1A0D">
        <w:rPr>
          <w:rFonts w:asciiTheme="minorHAnsi" w:hAnsiTheme="minorHAnsi" w:cstheme="minorHAnsi"/>
          <w:b/>
          <w:sz w:val="21"/>
          <w:szCs w:val="21"/>
        </w:rPr>
        <w:t>e na</w:t>
      </w:r>
      <w:r w:rsidR="006429DE">
        <w:rPr>
          <w:rFonts w:asciiTheme="minorHAnsi" w:hAnsiTheme="minorHAnsi" w:cstheme="minorHAnsi"/>
          <w:b/>
          <w:sz w:val="21"/>
          <w:szCs w:val="21"/>
        </w:rPr>
        <w:t xml:space="preserve"> listopad</w:t>
      </w:r>
      <w:r w:rsidR="0045292A" w:rsidRPr="002E1A0D">
        <w:rPr>
          <w:rFonts w:asciiTheme="minorHAnsi" w:hAnsiTheme="minorHAnsi" w:cstheme="minorHAnsi"/>
          <w:b/>
          <w:sz w:val="21"/>
          <w:szCs w:val="21"/>
        </w:rPr>
        <w:t xml:space="preserve"> s</w:t>
      </w:r>
      <w:r w:rsidR="00122208">
        <w:rPr>
          <w:rFonts w:asciiTheme="minorHAnsi" w:hAnsiTheme="minorHAnsi" w:cstheme="minorHAnsi"/>
          <w:b/>
          <w:sz w:val="21"/>
          <w:szCs w:val="21"/>
        </w:rPr>
        <w:t> 5,94 procenty</w:t>
      </w:r>
      <w:r w:rsidR="00A803EF" w:rsidRPr="002E1A0D">
        <w:rPr>
          <w:rFonts w:asciiTheme="minorHAnsi" w:hAnsiTheme="minorHAnsi" w:cstheme="minorHAnsi"/>
          <w:b/>
          <w:sz w:val="21"/>
          <w:szCs w:val="21"/>
        </w:rPr>
        <w:t xml:space="preserve">. Vyšší úrokové sazby </w:t>
      </w:r>
      <w:r w:rsidR="0045292A" w:rsidRPr="002E1A0D">
        <w:rPr>
          <w:rFonts w:asciiTheme="minorHAnsi" w:hAnsiTheme="minorHAnsi" w:cstheme="minorHAnsi"/>
          <w:b/>
          <w:sz w:val="21"/>
          <w:szCs w:val="21"/>
        </w:rPr>
        <w:t xml:space="preserve">komplikují nejen </w:t>
      </w:r>
      <w:r w:rsidR="00C67861" w:rsidRPr="002E1A0D">
        <w:rPr>
          <w:rFonts w:asciiTheme="minorHAnsi" w:hAnsiTheme="minorHAnsi" w:cstheme="minorHAnsi"/>
          <w:b/>
          <w:sz w:val="21"/>
          <w:szCs w:val="21"/>
        </w:rPr>
        <w:t xml:space="preserve">zájem o </w:t>
      </w:r>
      <w:r w:rsidR="0045292A" w:rsidRPr="002E1A0D">
        <w:rPr>
          <w:rFonts w:asciiTheme="minorHAnsi" w:hAnsiTheme="minorHAnsi" w:cstheme="minorHAnsi"/>
          <w:b/>
          <w:sz w:val="21"/>
          <w:szCs w:val="21"/>
        </w:rPr>
        <w:t>nové hypotéky, ale také prodeje nemovitostí</w:t>
      </w:r>
      <w:r w:rsidR="00A803EF" w:rsidRPr="002E1A0D">
        <w:rPr>
          <w:rFonts w:asciiTheme="minorHAnsi" w:hAnsiTheme="minorHAnsi" w:cstheme="minorHAnsi"/>
          <w:b/>
          <w:sz w:val="21"/>
          <w:szCs w:val="21"/>
        </w:rPr>
        <w:t xml:space="preserve"> hypotékou již zatížené.</w:t>
      </w:r>
    </w:p>
    <w:p w14:paraId="08F611E0" w14:textId="1B28DADD" w:rsidR="002B4265" w:rsidRDefault="006E1C67" w:rsidP="007A2531">
      <w:pPr>
        <w:spacing w:before="200" w:after="360"/>
        <w:rPr>
          <w:rFonts w:asciiTheme="minorHAnsi" w:hAnsiTheme="minorHAnsi" w:cstheme="minorHAnsi"/>
          <w:b/>
          <w:sz w:val="21"/>
          <w:szCs w:val="21"/>
        </w:rPr>
      </w:pPr>
      <w:r w:rsidRPr="006E1C67">
        <w:rPr>
          <w:rFonts w:asciiTheme="minorHAnsi" w:hAnsiTheme="minorHAnsi" w:cstheme="minorHAnsi"/>
          <w:bCs/>
          <w:sz w:val="21"/>
          <w:szCs w:val="21"/>
        </w:rPr>
        <w:t>Monitorované hodnoty Broker Consulting Indexu hypoteční úvěrů zaznamen</w:t>
      </w:r>
      <w:r w:rsidR="00122208">
        <w:rPr>
          <w:rFonts w:asciiTheme="minorHAnsi" w:hAnsiTheme="minorHAnsi" w:cstheme="minorHAnsi"/>
          <w:bCs/>
          <w:sz w:val="21"/>
          <w:szCs w:val="21"/>
        </w:rPr>
        <w:t>aly v říjnu mizivý nárůst 0,09 procentního bodu</w:t>
      </w:r>
      <w:r w:rsidRPr="006E1C67">
        <w:rPr>
          <w:rFonts w:asciiTheme="minorHAnsi" w:hAnsiTheme="minorHAnsi" w:cstheme="minorHAnsi"/>
          <w:bCs/>
          <w:sz w:val="21"/>
          <w:szCs w:val="21"/>
        </w:rPr>
        <w:t xml:space="preserve">. Hodnota indexu se </w:t>
      </w:r>
      <w:r w:rsidR="00122208">
        <w:rPr>
          <w:rFonts w:asciiTheme="minorHAnsi" w:hAnsiTheme="minorHAnsi" w:cstheme="minorHAnsi"/>
          <w:bCs/>
          <w:sz w:val="21"/>
          <w:szCs w:val="21"/>
        </w:rPr>
        <w:t>tak zastavila na 5,78 procentech. To</w:t>
      </w:r>
      <w:r w:rsidRPr="006E1C67">
        <w:rPr>
          <w:rFonts w:asciiTheme="minorHAnsi" w:hAnsiTheme="minorHAnsi" w:cstheme="minorHAnsi"/>
          <w:bCs/>
          <w:sz w:val="21"/>
          <w:szCs w:val="21"/>
        </w:rPr>
        <w:t xml:space="preserve"> dokazuje, že situace na poli hypotečních úvěrů je i nadále stabilní. I podle výpočtu předstihového ukazatele pro listopad,</w:t>
      </w:r>
      <w:r w:rsidR="00122208">
        <w:rPr>
          <w:rFonts w:asciiTheme="minorHAnsi" w:hAnsiTheme="minorHAnsi" w:cstheme="minorHAnsi"/>
          <w:bCs/>
          <w:sz w:val="21"/>
          <w:szCs w:val="21"/>
        </w:rPr>
        <w:t xml:space="preserve"> který ukazuje na hodnotu 5,94 procent</w:t>
      </w:r>
      <w:r w:rsidRPr="006E1C67">
        <w:rPr>
          <w:rFonts w:asciiTheme="minorHAnsi" w:hAnsiTheme="minorHAnsi" w:cstheme="minorHAnsi"/>
          <w:bCs/>
          <w:sz w:val="21"/>
          <w:szCs w:val="21"/>
        </w:rPr>
        <w:t>, nelze ani v následujících měsících očekávat velké změny. Vývoj sazeb u hypotéčních úvěrů bude samozřejmě záviset na budoucích krocích České národní banky. „</w:t>
      </w:r>
      <w:r w:rsidRPr="006E1C67">
        <w:rPr>
          <w:rFonts w:asciiTheme="minorHAnsi" w:hAnsiTheme="minorHAnsi" w:cstheme="minorHAnsi"/>
          <w:bCs/>
          <w:i/>
          <w:iCs/>
        </w:rPr>
        <w:t xml:space="preserve">V případě poklesu základní úrokové sazby budou banky změnu úroků propisovat i do koncových sazeb jak u spotřebitelských úvěrů, tak samozřejmě i u hypoték. S jakou razancí a rychlostí, to ale nelze jednoduše odhadnout,“ </w:t>
      </w:r>
      <w:r w:rsidRPr="006E1C67">
        <w:rPr>
          <w:rFonts w:asciiTheme="minorHAnsi" w:hAnsiTheme="minorHAnsi" w:cstheme="minorHAnsi"/>
          <w:bCs/>
        </w:rPr>
        <w:t>říká</w:t>
      </w:r>
      <w:r w:rsidRPr="006E1C67">
        <w:rPr>
          <w:rFonts w:asciiTheme="minorHAnsi" w:hAnsiTheme="minorHAnsi" w:cstheme="minorHAnsi"/>
          <w:bCs/>
          <w:i/>
          <w:iCs/>
        </w:rPr>
        <w:t xml:space="preserve"> </w:t>
      </w:r>
      <w:r w:rsidRPr="006E1C67">
        <w:rPr>
          <w:rFonts w:asciiTheme="minorHAnsi" w:hAnsiTheme="minorHAnsi" w:cstheme="minorHAnsi"/>
          <w:b/>
          <w:sz w:val="21"/>
          <w:szCs w:val="21"/>
        </w:rPr>
        <w:t>Martin Novák, hlavní analytik ze společnosti Broker Consulting.</w:t>
      </w:r>
    </w:p>
    <w:p w14:paraId="57E7DDE1" w14:textId="2B89FE03" w:rsidR="006E1C67" w:rsidRPr="006E1C67" w:rsidRDefault="007A2531" w:rsidP="006E1C67">
      <w:pPr>
        <w:spacing w:before="200" w:after="200"/>
        <w:rPr>
          <w:rFonts w:asciiTheme="minorHAnsi" w:hAnsiTheme="minorHAnsi" w:cstheme="minorHAnsi"/>
          <w:b/>
          <w:sz w:val="21"/>
          <w:szCs w:val="21"/>
        </w:rPr>
      </w:pPr>
      <w:r w:rsidRPr="006E1C67">
        <w:rPr>
          <w:rFonts w:asciiTheme="minorHAnsi" w:hAnsiTheme="minorHAnsi" w:cs="Arial"/>
          <w:noProof/>
          <w:sz w:val="21"/>
          <w:szCs w:val="21"/>
          <w:lang w:bidi="ar-SA"/>
        </w:rPr>
        <w:drawing>
          <wp:inline distT="0" distB="0" distL="0" distR="0" wp14:anchorId="67E28D15" wp14:editId="392D4618">
            <wp:extent cx="6635750" cy="29527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 BC Index hypotečních úvěrů - říjen 2023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75" r="-675"/>
                    <a:stretch/>
                  </pic:blipFill>
                  <pic:spPr>
                    <a:xfrm>
                      <a:off x="0" y="0"/>
                      <a:ext cx="66357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8FBD5" w14:textId="18E6CA88" w:rsidR="006E1C67" w:rsidRPr="006E1C67" w:rsidRDefault="006E1C67" w:rsidP="007A2531">
      <w:pPr>
        <w:spacing w:before="360" w:after="200"/>
        <w:rPr>
          <w:rFonts w:asciiTheme="minorHAnsi" w:hAnsiTheme="minorHAnsi" w:cstheme="minorHAnsi"/>
          <w:b/>
          <w:sz w:val="21"/>
          <w:szCs w:val="21"/>
        </w:rPr>
      </w:pPr>
      <w:r w:rsidRPr="006E1C67">
        <w:rPr>
          <w:rFonts w:asciiTheme="minorHAnsi" w:hAnsiTheme="minorHAnsi" w:cstheme="minorHAnsi"/>
          <w:b/>
          <w:sz w:val="21"/>
          <w:szCs w:val="21"/>
        </w:rPr>
        <w:t>Hypotéka nemusí být jen na bydlení</w:t>
      </w:r>
    </w:p>
    <w:p w14:paraId="15021E08" w14:textId="77777777" w:rsidR="006E1C67" w:rsidRPr="006E1C67" w:rsidRDefault="006E1C67" w:rsidP="006E1C67">
      <w:pPr>
        <w:spacing w:before="200" w:after="200"/>
        <w:rPr>
          <w:rFonts w:ascii="Arial" w:hAnsi="Arial" w:cs="Arial"/>
        </w:rPr>
      </w:pPr>
      <w:r w:rsidRPr="006E1C67">
        <w:rPr>
          <w:rFonts w:asciiTheme="minorHAnsi" w:hAnsiTheme="minorHAnsi" w:cstheme="minorHAnsi"/>
          <w:bCs/>
          <w:sz w:val="21"/>
          <w:szCs w:val="21"/>
        </w:rPr>
        <w:t>Hypoteční úvěr je typ úvěru, který je vždy čerpán účelově. „</w:t>
      </w:r>
      <w:r w:rsidRPr="006E1C67">
        <w:rPr>
          <w:rFonts w:asciiTheme="minorHAnsi" w:hAnsiTheme="minorHAnsi" w:cstheme="minorHAnsi"/>
          <w:bCs/>
          <w:i/>
          <w:sz w:val="21"/>
          <w:szCs w:val="21"/>
        </w:rPr>
        <w:t>Dle potřeb klienta je možné poskytnout hypoteční úvěr na koupi bytu či domu, výstavbu nové nemovitosti nebo rekonstrukci již staršího bydlení</w:t>
      </w:r>
      <w:r w:rsidRPr="006E1C67">
        <w:rPr>
          <w:rFonts w:asciiTheme="minorHAnsi" w:hAnsiTheme="minorHAnsi" w:cstheme="minorHAnsi"/>
          <w:bCs/>
          <w:sz w:val="21"/>
          <w:szCs w:val="21"/>
        </w:rPr>
        <w:t xml:space="preserve">,“ </w:t>
      </w:r>
      <w:r w:rsidRPr="006E1C67">
        <w:rPr>
          <w:rFonts w:asciiTheme="minorHAnsi" w:hAnsiTheme="minorHAnsi" w:cstheme="minorHAnsi"/>
          <w:b/>
          <w:sz w:val="21"/>
          <w:szCs w:val="21"/>
        </w:rPr>
        <w:t>vysvětluje Michaela Pudilová, analytička hypotečních a spotřebitelských úvěrů ze společnosti Broker Consulting</w:t>
      </w:r>
      <w:r w:rsidRPr="006E1C67">
        <w:rPr>
          <w:rFonts w:asciiTheme="minorHAnsi" w:hAnsiTheme="minorHAnsi" w:cstheme="minorHAnsi"/>
          <w:bCs/>
          <w:sz w:val="21"/>
          <w:szCs w:val="21"/>
        </w:rPr>
        <w:t xml:space="preserve"> a doplňuje, že se ale nemusí striktně jednat jen o místo k bydlení. Investicí do nemovitostí se rozumí například i pořízení garáže, dílny či zabudovaného bazénu. Možností využití hypotéky je ale mnohem víc.</w:t>
      </w:r>
      <w:r w:rsidRPr="006E1C67">
        <w:rPr>
          <w:rFonts w:ascii="Arial" w:hAnsi="Arial" w:cs="Arial"/>
        </w:rPr>
        <w:t xml:space="preserve"> </w:t>
      </w:r>
    </w:p>
    <w:p w14:paraId="0D46D1EE" w14:textId="12C041F9" w:rsidR="006E1C67" w:rsidRPr="006E1C67" w:rsidRDefault="006E1C67" w:rsidP="006E1C67">
      <w:pPr>
        <w:spacing w:before="200" w:after="200"/>
        <w:rPr>
          <w:rFonts w:asciiTheme="minorHAnsi" w:hAnsiTheme="minorHAnsi" w:cstheme="minorHAnsi"/>
          <w:bCs/>
          <w:sz w:val="21"/>
          <w:szCs w:val="21"/>
        </w:rPr>
      </w:pPr>
      <w:r w:rsidRPr="006E1C67">
        <w:rPr>
          <w:rFonts w:asciiTheme="minorHAnsi" w:hAnsiTheme="minorHAnsi" w:cstheme="minorHAnsi"/>
          <w:bCs/>
          <w:sz w:val="21"/>
          <w:szCs w:val="21"/>
        </w:rPr>
        <w:t>Hypotéku je možné použít i při vypořádání majetkových poměrů, tedy například při řešení dědictví nebo vyplacení při rozvodu manželství. Lze ji ale také čerpat k doplacení již dříve poskytnutých úvěrů, pokud byly prokazatelně použity k investici do n</w:t>
      </w:r>
      <w:r w:rsidR="005E3212">
        <w:rPr>
          <w:rFonts w:asciiTheme="minorHAnsi" w:hAnsiTheme="minorHAnsi" w:cstheme="minorHAnsi"/>
          <w:bCs/>
          <w:sz w:val="21"/>
          <w:szCs w:val="21"/>
        </w:rPr>
        <w:t>emovitostí. Některé banky nabízejí</w:t>
      </w:r>
      <w:r w:rsidRPr="006E1C67">
        <w:rPr>
          <w:rFonts w:asciiTheme="minorHAnsi" w:hAnsiTheme="minorHAnsi" w:cstheme="minorHAnsi"/>
          <w:bCs/>
          <w:sz w:val="21"/>
          <w:szCs w:val="21"/>
        </w:rPr>
        <w:t xml:space="preserve"> možnost částečně neúčelového čerpání. Tato část je vždy menšinová, například 20 procent, a banka poté nesleduje, na co peníze klient využije. „</w:t>
      </w:r>
      <w:r w:rsidRPr="006E1C67">
        <w:rPr>
          <w:rFonts w:asciiTheme="minorHAnsi" w:hAnsiTheme="minorHAnsi" w:cstheme="minorHAnsi"/>
          <w:bCs/>
          <w:i/>
          <w:sz w:val="21"/>
          <w:szCs w:val="21"/>
        </w:rPr>
        <w:t>Výjimkou není ani kombinace dvou nebo i více účelů. I když jednotlivé bankovní nabídky se mohou mírně lišit, účely hypoték jsou dané zákonem</w:t>
      </w:r>
      <w:r w:rsidRPr="006E1C67">
        <w:rPr>
          <w:rFonts w:asciiTheme="minorHAnsi" w:hAnsiTheme="minorHAnsi" w:cstheme="minorHAnsi"/>
          <w:bCs/>
          <w:sz w:val="21"/>
          <w:szCs w:val="21"/>
        </w:rPr>
        <w:t>,“ zdůrazňuje Pudilová z </w:t>
      </w:r>
      <w:proofErr w:type="gramStart"/>
      <w:r w:rsidRPr="006E1C67">
        <w:rPr>
          <w:rFonts w:asciiTheme="minorHAnsi" w:hAnsiTheme="minorHAnsi" w:cstheme="minorHAnsi"/>
          <w:bCs/>
          <w:sz w:val="21"/>
          <w:szCs w:val="21"/>
        </w:rPr>
        <w:t>Broker</w:t>
      </w:r>
      <w:proofErr w:type="gramEnd"/>
      <w:r w:rsidRPr="006E1C67">
        <w:rPr>
          <w:rFonts w:asciiTheme="minorHAnsi" w:hAnsiTheme="minorHAnsi" w:cstheme="minorHAnsi"/>
          <w:bCs/>
          <w:sz w:val="21"/>
          <w:szCs w:val="21"/>
        </w:rPr>
        <w:t xml:space="preserve"> Consulting. </w:t>
      </w:r>
    </w:p>
    <w:p w14:paraId="70F053B3" w14:textId="68F485A4" w:rsidR="006E1C67" w:rsidRPr="006E1C67" w:rsidRDefault="007A2531" w:rsidP="006E1C67">
      <w:pPr>
        <w:spacing w:before="200" w:after="200"/>
        <w:rPr>
          <w:rFonts w:asciiTheme="minorHAnsi" w:hAnsiTheme="minorHAnsi" w:cstheme="minorHAnsi"/>
          <w:b/>
          <w:sz w:val="21"/>
          <w:szCs w:val="21"/>
        </w:rPr>
      </w:pPr>
      <w:r>
        <w:rPr>
          <w:rFonts w:asciiTheme="minorHAnsi" w:hAnsiTheme="minorHAnsi" w:cstheme="minorHAnsi"/>
          <w:b/>
          <w:sz w:val="21"/>
          <w:szCs w:val="21"/>
        </w:rPr>
        <w:br/>
      </w:r>
      <w:r w:rsidR="006E1C67" w:rsidRPr="006E1C67">
        <w:rPr>
          <w:rFonts w:asciiTheme="minorHAnsi" w:hAnsiTheme="minorHAnsi" w:cstheme="minorHAnsi"/>
          <w:b/>
          <w:sz w:val="21"/>
          <w:szCs w:val="21"/>
        </w:rPr>
        <w:lastRenderedPageBreak/>
        <w:t>Dostatečné příjmy i zajištění</w:t>
      </w:r>
    </w:p>
    <w:p w14:paraId="4EC7FBBA" w14:textId="1AC70EA0" w:rsidR="006E1C67" w:rsidRPr="006E1C67" w:rsidRDefault="006E1C67" w:rsidP="006E1C67">
      <w:pPr>
        <w:spacing w:before="200" w:after="200"/>
        <w:rPr>
          <w:rFonts w:asciiTheme="minorHAnsi" w:hAnsiTheme="minorHAnsi" w:cstheme="minorHAnsi"/>
          <w:bCs/>
          <w:sz w:val="21"/>
          <w:szCs w:val="21"/>
        </w:rPr>
      </w:pPr>
      <w:r w:rsidRPr="006E1C67">
        <w:rPr>
          <w:rFonts w:asciiTheme="minorHAnsi" w:hAnsiTheme="minorHAnsi" w:cstheme="minorHAnsi"/>
          <w:bCs/>
          <w:sz w:val="21"/>
          <w:szCs w:val="21"/>
        </w:rPr>
        <w:t>Výhodou hypotečních úvěrů oproti těm spotřebitelským je bezesporu možnost využít až</w:t>
      </w:r>
      <w:r w:rsidR="00EC71DE">
        <w:rPr>
          <w:rFonts w:asciiTheme="minorHAnsi" w:hAnsiTheme="minorHAnsi" w:cstheme="minorHAnsi"/>
          <w:bCs/>
          <w:sz w:val="21"/>
          <w:szCs w:val="21"/>
        </w:rPr>
        <w:t xml:space="preserve"> 30letou</w:t>
      </w:r>
      <w:r w:rsidRPr="006E1C67">
        <w:rPr>
          <w:rFonts w:asciiTheme="minorHAnsi" w:hAnsiTheme="minorHAnsi" w:cstheme="minorHAnsi"/>
          <w:bCs/>
          <w:sz w:val="21"/>
          <w:szCs w:val="21"/>
        </w:rPr>
        <w:t xml:space="preserve"> splatnost, a tím co nejméně zatížit dlouhodobý rozpočet domácnosti. I přes rozprostření splácení v čase, musí mít klient při schvalování hypotéky vždy dostatečné příjmy, ze kterých bude dlouhá léta půjčku na bydlení platit. Vedle příjmů klienta musí být dostatečné také zajištění. Jak nemovitost financovaná, případně i nemovitost zastavená musejí být dostatečně pojištěny. </w:t>
      </w:r>
    </w:p>
    <w:p w14:paraId="6910F897" w14:textId="74FA245D" w:rsidR="006E1C67" w:rsidRPr="006E1C67" w:rsidRDefault="00EC71DE" w:rsidP="006E1C67">
      <w:pPr>
        <w:spacing w:before="200" w:after="200"/>
        <w:rPr>
          <w:rFonts w:asciiTheme="minorHAnsi" w:hAnsiTheme="minorHAnsi" w:cs="Arial"/>
          <w:b/>
          <w:sz w:val="21"/>
          <w:szCs w:val="21"/>
        </w:rPr>
      </w:pPr>
      <w:r>
        <w:rPr>
          <w:rFonts w:asciiTheme="minorHAnsi" w:hAnsiTheme="minorHAnsi" w:cs="Arial"/>
          <w:b/>
          <w:sz w:val="21"/>
          <w:szCs w:val="21"/>
        </w:rPr>
        <w:t xml:space="preserve">Hypotéku lze využít </w:t>
      </w:r>
      <w:proofErr w:type="gramStart"/>
      <w:r>
        <w:rPr>
          <w:rFonts w:asciiTheme="minorHAnsi" w:hAnsiTheme="minorHAnsi" w:cs="Arial"/>
          <w:b/>
          <w:sz w:val="21"/>
          <w:szCs w:val="21"/>
        </w:rPr>
        <w:t>na</w:t>
      </w:r>
      <w:proofErr w:type="gramEnd"/>
      <w:r>
        <w:rPr>
          <w:rFonts w:asciiTheme="minorHAnsi" w:hAnsiTheme="minorHAnsi" w:cs="Arial"/>
          <w:b/>
          <w:sz w:val="21"/>
          <w:szCs w:val="21"/>
        </w:rPr>
        <w:t>:</w:t>
      </w:r>
    </w:p>
    <w:p w14:paraId="4B1DB9E2" w14:textId="77777777" w:rsidR="006E1C67" w:rsidRPr="006E1C67" w:rsidRDefault="006E1C67" w:rsidP="007A2531">
      <w:pPr>
        <w:pStyle w:val="Odstavecseseznamem"/>
        <w:numPr>
          <w:ilvl w:val="0"/>
          <w:numId w:val="10"/>
        </w:numPr>
        <w:rPr>
          <w:rFonts w:asciiTheme="minorHAnsi" w:hAnsiTheme="minorHAnsi" w:cs="Arial"/>
          <w:bCs/>
          <w:sz w:val="21"/>
          <w:szCs w:val="21"/>
        </w:rPr>
      </w:pPr>
      <w:r w:rsidRPr="006E1C67">
        <w:rPr>
          <w:rFonts w:asciiTheme="minorHAnsi" w:hAnsiTheme="minorHAnsi" w:cs="Arial"/>
          <w:bCs/>
          <w:sz w:val="21"/>
          <w:szCs w:val="21"/>
        </w:rPr>
        <w:t>koupi nemovitosti (např. bytu, domu, stavebního pozemku),</w:t>
      </w:r>
    </w:p>
    <w:p w14:paraId="4E70E4B3" w14:textId="77777777" w:rsidR="006E1C67" w:rsidRPr="006E1C67" w:rsidRDefault="006E1C67" w:rsidP="007A2531">
      <w:pPr>
        <w:pStyle w:val="Odstavecseseznamem"/>
        <w:numPr>
          <w:ilvl w:val="0"/>
          <w:numId w:val="10"/>
        </w:numPr>
        <w:rPr>
          <w:rFonts w:asciiTheme="minorHAnsi" w:hAnsiTheme="minorHAnsi" w:cs="Arial"/>
          <w:bCs/>
          <w:sz w:val="21"/>
          <w:szCs w:val="21"/>
        </w:rPr>
      </w:pPr>
      <w:r w:rsidRPr="006E1C67">
        <w:rPr>
          <w:rFonts w:asciiTheme="minorHAnsi" w:hAnsiTheme="minorHAnsi" w:cs="Arial"/>
          <w:bCs/>
          <w:sz w:val="21"/>
          <w:szCs w:val="21"/>
        </w:rPr>
        <w:t>výstavbu nemovitosti,</w:t>
      </w:r>
    </w:p>
    <w:p w14:paraId="5C027972" w14:textId="77777777" w:rsidR="006E1C67" w:rsidRPr="006E1C67" w:rsidRDefault="006E1C67" w:rsidP="007A2531">
      <w:pPr>
        <w:pStyle w:val="Odstavecseseznamem"/>
        <w:numPr>
          <w:ilvl w:val="0"/>
          <w:numId w:val="10"/>
        </w:numPr>
        <w:rPr>
          <w:rFonts w:asciiTheme="minorHAnsi" w:hAnsiTheme="minorHAnsi" w:cs="Arial"/>
          <w:bCs/>
          <w:sz w:val="21"/>
          <w:szCs w:val="21"/>
        </w:rPr>
      </w:pPr>
      <w:r w:rsidRPr="006E1C67">
        <w:rPr>
          <w:rFonts w:asciiTheme="minorHAnsi" w:hAnsiTheme="minorHAnsi" w:cs="Arial"/>
          <w:bCs/>
          <w:sz w:val="21"/>
          <w:szCs w:val="21"/>
        </w:rPr>
        <w:t>rekonstrukci bytu či rodinného domu,</w:t>
      </w:r>
    </w:p>
    <w:p w14:paraId="65FA031F" w14:textId="77777777" w:rsidR="006E1C67" w:rsidRPr="006E1C67" w:rsidRDefault="006E1C67" w:rsidP="007A2531">
      <w:pPr>
        <w:pStyle w:val="Odstavecseseznamem"/>
        <w:numPr>
          <w:ilvl w:val="0"/>
          <w:numId w:val="10"/>
        </w:numPr>
        <w:rPr>
          <w:rFonts w:asciiTheme="minorHAnsi" w:hAnsiTheme="minorHAnsi" w:cs="Arial"/>
          <w:bCs/>
          <w:sz w:val="21"/>
          <w:szCs w:val="21"/>
        </w:rPr>
      </w:pPr>
      <w:r w:rsidRPr="006E1C67">
        <w:rPr>
          <w:rFonts w:asciiTheme="minorHAnsi" w:hAnsiTheme="minorHAnsi" w:cs="Arial"/>
          <w:bCs/>
          <w:sz w:val="21"/>
          <w:szCs w:val="21"/>
        </w:rPr>
        <w:t>vyplacení manžela či manželky ze společného jmění manželů po rozvodu,</w:t>
      </w:r>
    </w:p>
    <w:p w14:paraId="4356AE01" w14:textId="77777777" w:rsidR="006E1C67" w:rsidRPr="006E1C67" w:rsidRDefault="006E1C67" w:rsidP="007A2531">
      <w:pPr>
        <w:pStyle w:val="Odstavecseseznamem"/>
        <w:numPr>
          <w:ilvl w:val="0"/>
          <w:numId w:val="10"/>
        </w:numPr>
        <w:rPr>
          <w:rFonts w:asciiTheme="minorHAnsi" w:hAnsiTheme="minorHAnsi" w:cs="Arial"/>
          <w:bCs/>
          <w:sz w:val="21"/>
          <w:szCs w:val="21"/>
        </w:rPr>
      </w:pPr>
      <w:r w:rsidRPr="006E1C67">
        <w:rPr>
          <w:rFonts w:asciiTheme="minorHAnsi" w:hAnsiTheme="minorHAnsi" w:cs="Arial"/>
          <w:bCs/>
          <w:sz w:val="21"/>
          <w:szCs w:val="21"/>
        </w:rPr>
        <w:t>vyplacení spolumajitelů nemovitosti,</w:t>
      </w:r>
    </w:p>
    <w:p w14:paraId="6F5E2BDC" w14:textId="77777777" w:rsidR="006E1C67" w:rsidRPr="006E1C67" w:rsidRDefault="006E1C67" w:rsidP="007A2531">
      <w:pPr>
        <w:pStyle w:val="Odstavecseseznamem"/>
        <w:numPr>
          <w:ilvl w:val="0"/>
          <w:numId w:val="10"/>
        </w:numPr>
        <w:rPr>
          <w:rFonts w:asciiTheme="minorHAnsi" w:hAnsiTheme="minorHAnsi" w:cs="Arial"/>
          <w:bCs/>
          <w:sz w:val="21"/>
          <w:szCs w:val="21"/>
        </w:rPr>
      </w:pPr>
      <w:r w:rsidRPr="006E1C67">
        <w:rPr>
          <w:rFonts w:asciiTheme="minorHAnsi" w:hAnsiTheme="minorHAnsi" w:cs="Arial"/>
          <w:bCs/>
          <w:sz w:val="21"/>
          <w:szCs w:val="21"/>
        </w:rPr>
        <w:t>refinancování hypotéky,</w:t>
      </w:r>
    </w:p>
    <w:p w14:paraId="0AC58C6A" w14:textId="77777777" w:rsidR="006E1C67" w:rsidRPr="006E1C67" w:rsidRDefault="006E1C67" w:rsidP="007A2531">
      <w:pPr>
        <w:pStyle w:val="Odstavecseseznamem"/>
        <w:numPr>
          <w:ilvl w:val="0"/>
          <w:numId w:val="10"/>
        </w:numPr>
        <w:rPr>
          <w:rFonts w:asciiTheme="minorHAnsi" w:hAnsiTheme="minorHAnsi" w:cs="Arial"/>
          <w:bCs/>
          <w:sz w:val="21"/>
          <w:szCs w:val="21"/>
        </w:rPr>
      </w:pPr>
      <w:r w:rsidRPr="006E1C67">
        <w:rPr>
          <w:rFonts w:asciiTheme="minorHAnsi" w:hAnsiTheme="minorHAnsi" w:cs="Arial"/>
          <w:bCs/>
          <w:sz w:val="21"/>
          <w:szCs w:val="21"/>
        </w:rPr>
        <w:t>financování rekreační nemovitosti (pozn. pokud nemovitost splňuje podmínky pro financování),</w:t>
      </w:r>
    </w:p>
    <w:p w14:paraId="57A86ACA" w14:textId="77777777" w:rsidR="006E1C67" w:rsidRPr="006E1C67" w:rsidRDefault="006E1C67" w:rsidP="007A2531">
      <w:pPr>
        <w:pStyle w:val="Odstavecseseznamem"/>
        <w:numPr>
          <w:ilvl w:val="0"/>
          <w:numId w:val="10"/>
        </w:numPr>
        <w:rPr>
          <w:rFonts w:asciiTheme="minorHAnsi" w:hAnsiTheme="minorHAnsi" w:cs="Arial"/>
          <w:bCs/>
          <w:sz w:val="21"/>
          <w:szCs w:val="21"/>
        </w:rPr>
      </w:pPr>
      <w:r w:rsidRPr="006E1C67">
        <w:rPr>
          <w:rFonts w:asciiTheme="minorHAnsi" w:hAnsiTheme="minorHAnsi" w:cs="Arial"/>
          <w:bCs/>
          <w:sz w:val="21"/>
          <w:szCs w:val="21"/>
        </w:rPr>
        <w:t>investice do nemovitostí.</w:t>
      </w:r>
    </w:p>
    <w:p w14:paraId="23BF35CB" w14:textId="77777777" w:rsidR="00362BFF" w:rsidRPr="00D8120C" w:rsidRDefault="00362BFF" w:rsidP="007B1851">
      <w:pPr>
        <w:pBdr>
          <w:bottom w:val="single" w:sz="4" w:space="1" w:color="auto"/>
        </w:pBdr>
        <w:rPr>
          <w:rFonts w:ascii="Arial" w:hAnsi="Arial" w:cs="Arial"/>
          <w:sz w:val="21"/>
          <w:szCs w:val="21"/>
        </w:rPr>
      </w:pPr>
    </w:p>
    <w:p w14:paraId="06153168" w14:textId="3B6E7B9A" w:rsidR="00236A37" w:rsidRPr="00D8120C" w:rsidRDefault="00C42CA5" w:rsidP="007B1851">
      <w:pPr>
        <w:spacing w:before="240" w:after="120"/>
        <w:rPr>
          <w:rFonts w:asciiTheme="minorHAnsi" w:hAnsiTheme="minorHAnsi" w:cstheme="minorHAnsi"/>
          <w:sz w:val="21"/>
          <w:szCs w:val="21"/>
        </w:rPr>
      </w:pPr>
      <w:r w:rsidRPr="00D8120C">
        <w:rPr>
          <w:rFonts w:asciiTheme="minorHAnsi" w:hAnsiTheme="minorHAnsi" w:cstheme="minorHAnsi"/>
          <w:sz w:val="21"/>
          <w:szCs w:val="21"/>
        </w:rPr>
        <w:t>Broker Consulting Index hypotečních úvěrů je analytický nástroj</w:t>
      </w:r>
      <w:r w:rsidR="00113603" w:rsidRPr="00D8120C">
        <w:rPr>
          <w:rFonts w:asciiTheme="minorHAnsi" w:hAnsiTheme="minorHAnsi" w:cstheme="minorHAnsi"/>
          <w:sz w:val="21"/>
          <w:szCs w:val="21"/>
        </w:rPr>
        <w:t xml:space="preserve"> znázorňující</w:t>
      </w:r>
      <w:r w:rsidRPr="00D8120C">
        <w:rPr>
          <w:rFonts w:asciiTheme="minorHAnsi" w:hAnsiTheme="minorHAnsi" w:cstheme="minorHAnsi"/>
          <w:sz w:val="21"/>
          <w:szCs w:val="21"/>
        </w:rPr>
        <w:t xml:space="preserve"> průměrnou úrokovou sazbu u hypotečních úvěrů, </w:t>
      </w:r>
      <w:r w:rsidR="00113603" w:rsidRPr="00D8120C">
        <w:rPr>
          <w:rFonts w:asciiTheme="minorHAnsi" w:hAnsiTheme="minorHAnsi" w:cstheme="minorHAnsi"/>
          <w:sz w:val="21"/>
          <w:szCs w:val="21"/>
        </w:rPr>
        <w:t>které</w:t>
      </w:r>
      <w:r w:rsidRPr="00D8120C">
        <w:rPr>
          <w:rFonts w:asciiTheme="minorHAnsi" w:hAnsiTheme="minorHAnsi" w:cstheme="minorHAnsi"/>
          <w:sz w:val="21"/>
          <w:szCs w:val="21"/>
        </w:rPr>
        <w:t xml:space="preserve"> zprostředkovali konzultanti Broker Consulting a pobočky OK POINT u kteréhokoli poskytovatele hypotečních úvěrů. Jedná se o vážený aritmetický průměr, kdy hlavní vahou je objem úvěru. Tedy čím vyšší úvěr, tím jeho sazba </w:t>
      </w:r>
      <w:r w:rsidR="00113603" w:rsidRPr="00D8120C">
        <w:rPr>
          <w:rFonts w:asciiTheme="minorHAnsi" w:hAnsiTheme="minorHAnsi" w:cstheme="minorHAnsi"/>
          <w:sz w:val="21"/>
          <w:szCs w:val="21"/>
        </w:rPr>
        <w:t xml:space="preserve">vstupuje </w:t>
      </w:r>
      <w:r w:rsidRPr="00D8120C">
        <w:rPr>
          <w:rFonts w:asciiTheme="minorHAnsi" w:hAnsiTheme="minorHAnsi" w:cstheme="minorHAnsi"/>
          <w:sz w:val="21"/>
          <w:szCs w:val="21"/>
        </w:rPr>
        <w:t xml:space="preserve">do indexu větší vahou. </w:t>
      </w:r>
      <w:r w:rsidRPr="00D8120C">
        <w:rPr>
          <w:rFonts w:asciiTheme="minorHAnsi" w:hAnsiTheme="minorHAnsi" w:cstheme="minorHAnsi"/>
          <w:b/>
          <w:sz w:val="21"/>
          <w:szCs w:val="21"/>
        </w:rPr>
        <w:t xml:space="preserve">Výhodou metody výpočtu </w:t>
      </w:r>
      <w:r w:rsidR="00C7532A" w:rsidRPr="00D8120C">
        <w:rPr>
          <w:rFonts w:asciiTheme="minorHAnsi" w:hAnsiTheme="minorHAnsi" w:cstheme="minorHAnsi"/>
          <w:b/>
          <w:sz w:val="21"/>
          <w:szCs w:val="21"/>
        </w:rPr>
        <w:t xml:space="preserve">indexu </w:t>
      </w:r>
      <w:r w:rsidRPr="00D8120C">
        <w:rPr>
          <w:rFonts w:asciiTheme="minorHAnsi" w:hAnsiTheme="minorHAnsi" w:cstheme="minorHAnsi"/>
          <w:b/>
          <w:sz w:val="21"/>
          <w:szCs w:val="21"/>
        </w:rPr>
        <w:t>je skutečnost, že se do statistiky dostávají pouze skutečně schválené úvěry, a to bez výjimky všechny.</w:t>
      </w:r>
      <w:r w:rsidRPr="00D8120C">
        <w:rPr>
          <w:rFonts w:asciiTheme="minorHAnsi" w:hAnsiTheme="minorHAnsi" w:cstheme="minorHAnsi"/>
          <w:sz w:val="21"/>
          <w:szCs w:val="21"/>
        </w:rPr>
        <w:t xml:space="preserve"> Nemůže tak dojít ke zkreslení informací a index není závislý na dodávkách třetích stran. </w:t>
      </w:r>
    </w:p>
    <w:p w14:paraId="70EFA666" w14:textId="4A6CAE48" w:rsidR="002E6DB6" w:rsidRPr="00D8120C" w:rsidRDefault="00C42CA5" w:rsidP="007B1851">
      <w:pPr>
        <w:spacing w:after="120"/>
        <w:rPr>
          <w:rFonts w:asciiTheme="minorHAnsi" w:hAnsiTheme="minorHAnsi" w:cstheme="minorHAnsi"/>
          <w:sz w:val="21"/>
          <w:szCs w:val="21"/>
        </w:rPr>
      </w:pPr>
      <w:r w:rsidRPr="00D8120C">
        <w:rPr>
          <w:rFonts w:asciiTheme="minorHAnsi" w:hAnsiTheme="minorHAnsi" w:cstheme="minorHAnsi"/>
          <w:sz w:val="21"/>
          <w:szCs w:val="21"/>
        </w:rPr>
        <w:t>V principu se Broker Consulting Index hypotečních úvěrů počítá ze sazeb, které jsou v danou chvíli pro daného klienta nejnižší na trhu</w:t>
      </w:r>
      <w:r w:rsidR="00FA2D1E" w:rsidRPr="00D8120C">
        <w:rPr>
          <w:rFonts w:asciiTheme="minorHAnsi" w:hAnsiTheme="minorHAnsi" w:cstheme="minorHAnsi"/>
          <w:sz w:val="21"/>
          <w:szCs w:val="21"/>
        </w:rPr>
        <w:t>,</w:t>
      </w:r>
      <w:r w:rsidRPr="00D8120C">
        <w:rPr>
          <w:rFonts w:asciiTheme="minorHAnsi" w:hAnsiTheme="minorHAnsi" w:cstheme="minorHAnsi"/>
          <w:sz w:val="21"/>
          <w:szCs w:val="21"/>
        </w:rPr>
        <w:t xml:space="preserve"> </w:t>
      </w:r>
      <w:r w:rsidR="00FA2D1E" w:rsidRPr="00D8120C">
        <w:rPr>
          <w:rFonts w:asciiTheme="minorHAnsi" w:hAnsiTheme="minorHAnsi" w:cstheme="minorHAnsi"/>
          <w:sz w:val="21"/>
          <w:szCs w:val="21"/>
        </w:rPr>
        <w:t>a</w:t>
      </w:r>
      <w:r w:rsidRPr="00D8120C">
        <w:rPr>
          <w:rFonts w:asciiTheme="minorHAnsi" w:hAnsiTheme="minorHAnsi" w:cstheme="minorHAnsi"/>
          <w:sz w:val="21"/>
          <w:szCs w:val="21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Consulting ročně zprostředkuje úvěry v objemu přesahujícím 13 miliard korun. </w:t>
      </w:r>
    </w:p>
    <w:p w14:paraId="6B1DF12D" w14:textId="18A0CCB4" w:rsidR="009345C9" w:rsidRPr="00D8120C" w:rsidRDefault="002E6DB6" w:rsidP="007B1851">
      <w:pPr>
        <w:spacing w:after="120"/>
        <w:rPr>
          <w:rFonts w:asciiTheme="minorHAnsi" w:hAnsiTheme="minorHAnsi" w:cstheme="minorHAnsi"/>
          <w:sz w:val="21"/>
          <w:szCs w:val="21"/>
        </w:rPr>
      </w:pPr>
      <w:r w:rsidRPr="00D8120C">
        <w:rPr>
          <w:rFonts w:asciiTheme="minorHAnsi" w:hAnsiTheme="minorHAnsi" w:cstheme="minorHAnsi"/>
          <w:color w:val="000000"/>
          <w:sz w:val="21"/>
          <w:szCs w:val="21"/>
        </w:rPr>
        <w:t>Předstihový ukazatel Broker Consulting Indexu hypotečních úvěrů a jeho výpočet rea</w:t>
      </w:r>
      <w:r w:rsidR="008C75D3" w:rsidRPr="00D8120C">
        <w:rPr>
          <w:rFonts w:asciiTheme="minorHAnsi" w:hAnsiTheme="minorHAnsi" w:cstheme="minorHAnsi"/>
          <w:color w:val="000000"/>
          <w:sz w:val="21"/>
          <w:szCs w:val="21"/>
        </w:rPr>
        <w:t>guje na potřebu aktuálního výhledu výše sazeb, ve kterém se budou v daném měsíci poskytovat hypoteční úvěry zprostředkovávané od většiny bankovních institucí v tuzemsku. Ve výpočtu jde o aritmetick</w:t>
      </w:r>
      <w:r w:rsidR="00057F54" w:rsidRPr="00D8120C">
        <w:rPr>
          <w:rFonts w:asciiTheme="minorHAnsi" w:hAnsiTheme="minorHAnsi" w:cstheme="minorHAnsi"/>
          <w:color w:val="000000"/>
          <w:sz w:val="21"/>
          <w:szCs w:val="21"/>
        </w:rPr>
        <w:t>ý průměr nabízených úrokových sazeb</w:t>
      </w:r>
      <w:r w:rsidR="00807AD4" w:rsidRPr="00D8120C">
        <w:rPr>
          <w:rFonts w:asciiTheme="minorHAnsi" w:hAnsiTheme="minorHAnsi" w:cstheme="minorHAnsi"/>
          <w:color w:val="000000"/>
          <w:sz w:val="21"/>
          <w:szCs w:val="21"/>
        </w:rPr>
        <w:t xml:space="preserve"> v konkrétním </w:t>
      </w:r>
      <w:r w:rsidR="008C75D3" w:rsidRPr="00D8120C">
        <w:rPr>
          <w:rFonts w:asciiTheme="minorHAnsi" w:hAnsiTheme="minorHAnsi" w:cstheme="minorHAnsi"/>
          <w:color w:val="000000"/>
          <w:sz w:val="21"/>
          <w:szCs w:val="21"/>
        </w:rPr>
        <w:t>měsíci, ve kterém se zveřejňují hodnoty Broker Consulting Indexu hypotečních úvěrů.</w:t>
      </w:r>
      <w:r w:rsidR="00CC3D3D" w:rsidRPr="00D8120C">
        <w:rPr>
          <w:rFonts w:asciiTheme="minorHAnsi" w:hAnsiTheme="minorHAnsi" w:cstheme="minorHAnsi"/>
          <w:color w:val="000000"/>
          <w:sz w:val="21"/>
          <w:szCs w:val="21"/>
        </w:rPr>
        <w:t xml:space="preserve"> Vzhledem ke statisti</w:t>
      </w:r>
      <w:r w:rsidR="004919CC" w:rsidRPr="00D8120C">
        <w:rPr>
          <w:rFonts w:asciiTheme="minorHAnsi" w:hAnsiTheme="minorHAnsi" w:cstheme="minorHAnsi"/>
          <w:color w:val="000000"/>
          <w:sz w:val="21"/>
          <w:szCs w:val="21"/>
        </w:rPr>
        <w:t>ce preferovaných fixací byla při výpoč</w:t>
      </w:r>
      <w:r w:rsidR="00CC3D3D" w:rsidRPr="00D8120C">
        <w:rPr>
          <w:rFonts w:asciiTheme="minorHAnsi" w:hAnsiTheme="minorHAnsi" w:cstheme="minorHAnsi"/>
          <w:color w:val="000000"/>
          <w:sz w:val="21"/>
          <w:szCs w:val="21"/>
        </w:rPr>
        <w:t>t</w:t>
      </w:r>
      <w:r w:rsidR="004919CC" w:rsidRPr="00D8120C">
        <w:rPr>
          <w:rFonts w:asciiTheme="minorHAnsi" w:hAnsiTheme="minorHAnsi" w:cstheme="minorHAnsi"/>
          <w:color w:val="000000"/>
          <w:sz w:val="21"/>
          <w:szCs w:val="21"/>
        </w:rPr>
        <w:t>u zohledněna</w:t>
      </w:r>
      <w:r w:rsidR="00CC3D3D" w:rsidRPr="00D8120C">
        <w:rPr>
          <w:rFonts w:asciiTheme="minorHAnsi" w:hAnsiTheme="minorHAnsi" w:cstheme="minorHAnsi"/>
          <w:color w:val="000000"/>
          <w:sz w:val="21"/>
          <w:szCs w:val="21"/>
        </w:rPr>
        <w:t xml:space="preserve"> pětiletá fixace úrokových sazeb.</w:t>
      </w:r>
    </w:p>
    <w:p w14:paraId="691D3A33" w14:textId="77777777" w:rsidR="00C42CA5" w:rsidRPr="00D8120C" w:rsidRDefault="00C42CA5" w:rsidP="007B1851">
      <w:pPr>
        <w:pBdr>
          <w:bottom w:val="single" w:sz="4" w:space="1" w:color="auto"/>
        </w:pBdr>
        <w:rPr>
          <w:rFonts w:asciiTheme="minorHAnsi" w:hAnsiTheme="minorHAnsi" w:cstheme="minorHAnsi"/>
          <w:sz w:val="21"/>
          <w:szCs w:val="21"/>
        </w:rPr>
      </w:pPr>
    </w:p>
    <w:p w14:paraId="4A4E372E" w14:textId="214E9ADC" w:rsidR="00CA1806" w:rsidRPr="000C6D26" w:rsidRDefault="00CA1806" w:rsidP="007B1851">
      <w:pPr>
        <w:rPr>
          <w:rFonts w:asciiTheme="minorHAnsi" w:hAnsiTheme="minorHAnsi" w:cstheme="minorHAnsi"/>
          <w:b/>
          <w:sz w:val="21"/>
          <w:szCs w:val="21"/>
        </w:rPr>
      </w:pPr>
    </w:p>
    <w:p w14:paraId="5FCF3C96" w14:textId="79E57602" w:rsidR="00B01F39" w:rsidRDefault="00C947C0" w:rsidP="007B1851">
      <w:pPr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</w:pPr>
      <w:r w:rsidRPr="000C6D26">
        <w:rPr>
          <w:rFonts w:asciiTheme="minorHAnsi" w:hAnsiTheme="minorHAnsi" w:cstheme="minorHAnsi"/>
          <w:b/>
          <w:sz w:val="21"/>
          <w:szCs w:val="21"/>
        </w:rPr>
        <w:t>P</w:t>
      </w:r>
      <w:r w:rsidR="00B37F41" w:rsidRPr="000C6D26">
        <w:rPr>
          <w:rFonts w:asciiTheme="minorHAnsi" w:hAnsiTheme="minorHAnsi" w:cstheme="minorHAnsi"/>
          <w:b/>
          <w:sz w:val="21"/>
          <w:szCs w:val="21"/>
        </w:rPr>
        <w:t>oznámka pro média:</w:t>
      </w:r>
      <w:r w:rsidR="00B37F41" w:rsidRPr="000C6D26">
        <w:rPr>
          <w:rFonts w:asciiTheme="minorHAnsi" w:hAnsiTheme="minorHAnsi" w:cstheme="minorHAnsi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Broker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Consulting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Indexy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je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možné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volně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spacing w:val="2"/>
          <w:w w:val="105"/>
          <w:sz w:val="21"/>
          <w:szCs w:val="21"/>
        </w:rPr>
        <w:t>publikovat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pouze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s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označením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„Broker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Consulting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Index“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spacing w:val="-3"/>
          <w:w w:val="105"/>
          <w:sz w:val="21"/>
          <w:szCs w:val="21"/>
        </w:rPr>
        <w:t>(</w:t>
      </w:r>
      <w:r w:rsidR="00B37F41" w:rsidRPr="000C6D26">
        <w:rPr>
          <w:rFonts w:asciiTheme="minorHAnsi" w:hAnsiTheme="minorHAnsi" w:cstheme="minorHAnsi"/>
          <w:i/>
          <w:color w:val="1D1D1B"/>
          <w:spacing w:val="-3"/>
          <w:w w:val="105"/>
          <w:sz w:val="21"/>
          <w:szCs w:val="21"/>
        </w:rPr>
        <w:t>např.</w:t>
      </w:r>
      <w:r w:rsidR="00B37F41" w:rsidRPr="000C6D26">
        <w:rPr>
          <w:rFonts w:asciiTheme="minorHAnsi" w:hAnsiTheme="minorHAnsi" w:cstheme="minorHAnsi"/>
          <w:i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Broker</w:t>
      </w:r>
      <w:r w:rsidR="00B37F41" w:rsidRPr="000C6D26">
        <w:rPr>
          <w:rFonts w:asciiTheme="minorHAnsi" w:hAnsiTheme="minorHAnsi" w:cstheme="minorHAnsi"/>
          <w:i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Consulting</w:t>
      </w:r>
      <w:r w:rsidR="00B37F41" w:rsidRPr="000C6D26">
        <w:rPr>
          <w:rFonts w:asciiTheme="minorHAnsi" w:hAnsiTheme="minorHAnsi" w:cstheme="minorHAnsi"/>
          <w:i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index hypot</w:t>
      </w:r>
      <w:r w:rsidR="00830CE8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e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 xml:space="preserve">čních úvěrů). Více informací najdete též na webu </w:t>
      </w:r>
      <w:r w:rsidR="00B37F41" w:rsidRPr="000C6D26">
        <w:rPr>
          <w:rStyle w:val="Hypertextovodkaz"/>
          <w:rFonts w:asciiTheme="minorHAnsi" w:hAnsiTheme="minorHAnsi" w:cstheme="minorHAnsi"/>
          <w:i/>
          <w:w w:val="105"/>
          <w:sz w:val="21"/>
          <w:szCs w:val="21"/>
        </w:rPr>
        <w:t>https://www.bcas.cz/onas/pro-media/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 xml:space="preserve">. </w:t>
      </w:r>
    </w:p>
    <w:p w14:paraId="0BBC87EC" w14:textId="77777777" w:rsidR="001C22FE" w:rsidRDefault="001C22FE" w:rsidP="001C22FE">
      <w:pPr>
        <w:rPr>
          <w:rFonts w:asciiTheme="minorHAnsi" w:hAnsiTheme="minorHAnsi" w:cstheme="minorHAnsi"/>
          <w:b/>
          <w:color w:val="FF0000"/>
          <w:w w:val="105"/>
          <w:sz w:val="21"/>
          <w:szCs w:val="21"/>
        </w:rPr>
      </w:pPr>
    </w:p>
    <w:p w14:paraId="72ED1D97" w14:textId="126A9B30" w:rsidR="001C22FE" w:rsidRPr="007B5E2F" w:rsidRDefault="001C22FE" w:rsidP="007B1851">
      <w:pPr>
        <w:rPr>
          <w:rFonts w:asciiTheme="minorHAnsi" w:hAnsiTheme="minorHAnsi" w:cstheme="minorHAnsi"/>
          <w:b/>
          <w:color w:val="1D1D1B"/>
          <w:w w:val="105"/>
          <w:sz w:val="21"/>
          <w:szCs w:val="21"/>
        </w:rPr>
      </w:pPr>
      <w:r w:rsidRPr="0049280D">
        <w:rPr>
          <w:rFonts w:asciiTheme="minorHAnsi" w:hAnsiTheme="minorHAnsi" w:cstheme="minorHAnsi"/>
          <w:b/>
          <w:color w:val="FF0000"/>
          <w:w w:val="105"/>
          <w:sz w:val="21"/>
          <w:szCs w:val="21"/>
        </w:rPr>
        <w:t>Broker Consulting Indexy je nyní možné sledovat v interaktivní formě na webu</w:t>
      </w:r>
      <w:r w:rsidRPr="0049280D">
        <w:rPr>
          <w:rFonts w:asciiTheme="minorHAnsi" w:hAnsiTheme="minorHAnsi" w:cstheme="minorHAnsi"/>
          <w:color w:val="1D1D1B"/>
          <w:w w:val="105"/>
          <w:sz w:val="21"/>
          <w:szCs w:val="21"/>
        </w:rPr>
        <w:t>. Zde lze zároveň exportovat zdrojová data ke grafům. Vice dostupné na odkaze</w:t>
      </w:r>
      <w:r w:rsidRPr="0049280D">
        <w:rPr>
          <w:rFonts w:asciiTheme="minorHAnsi" w:hAnsiTheme="minorHAnsi" w:cstheme="minorHAnsi"/>
          <w:b/>
          <w:color w:val="1D1D1B"/>
          <w:w w:val="105"/>
          <w:sz w:val="21"/>
          <w:szCs w:val="21"/>
        </w:rPr>
        <w:t xml:space="preserve">: </w:t>
      </w:r>
      <w:hyperlink r:id="rId26" w:history="1">
        <w:r w:rsidRPr="00BB397E">
          <w:rPr>
            <w:rStyle w:val="Hypertextovodkaz"/>
            <w:rFonts w:asciiTheme="minorHAnsi" w:hAnsiTheme="minorHAnsi" w:cstheme="minorHAnsi"/>
            <w:b/>
            <w:w w:val="105"/>
            <w:sz w:val="21"/>
            <w:szCs w:val="21"/>
          </w:rPr>
          <w:t>https://www.bcas.cz/o-nas/broker-consulting-index-hypotecnich-uveru/</w:t>
        </w:r>
      </w:hyperlink>
      <w:r>
        <w:rPr>
          <w:rFonts w:asciiTheme="minorHAnsi" w:hAnsiTheme="minorHAnsi" w:cstheme="minorHAnsi"/>
          <w:b/>
          <w:color w:val="1D1D1B"/>
          <w:w w:val="105"/>
          <w:sz w:val="21"/>
          <w:szCs w:val="21"/>
        </w:rPr>
        <w:t xml:space="preserve">. </w:t>
      </w:r>
    </w:p>
    <w:p w14:paraId="7DE80F01" w14:textId="5F0A8380" w:rsidR="00CA1806" w:rsidRPr="002F5550" w:rsidRDefault="00CA1806" w:rsidP="00B27178">
      <w:pPr>
        <w:jc w:val="both"/>
        <w:rPr>
          <w:rFonts w:asciiTheme="minorHAnsi" w:eastAsia="Calibri" w:hAnsiTheme="minorHAnsi" w:cstheme="minorHAnsi"/>
          <w:b/>
          <w:bCs/>
          <w:noProof/>
        </w:rPr>
      </w:pPr>
    </w:p>
    <w:p w14:paraId="7C1907C0" w14:textId="1D2EC938" w:rsidR="00D60D98" w:rsidRPr="000C6D26" w:rsidRDefault="00D60D98" w:rsidP="00D60D98">
      <w:pPr>
        <w:rPr>
          <w:rFonts w:asciiTheme="minorHAnsi" w:eastAsia="Calibri" w:hAnsiTheme="minorHAnsi" w:cstheme="minorHAnsi"/>
          <w:b/>
          <w:bCs/>
          <w:noProof/>
          <w:sz w:val="21"/>
          <w:szCs w:val="21"/>
        </w:rPr>
      </w:pPr>
      <w:r w:rsidRPr="000C6D26">
        <w:rPr>
          <w:rFonts w:asciiTheme="minorHAnsi" w:eastAsia="Calibri" w:hAnsiTheme="minorHAnsi" w:cstheme="minorHAnsi"/>
          <w:b/>
          <w:bCs/>
          <w:noProof/>
          <w:sz w:val="21"/>
          <w:szCs w:val="21"/>
        </w:rPr>
        <w:t>Kontakt pro média:</w:t>
      </w:r>
    </w:p>
    <w:p w14:paraId="459105C8" w14:textId="1ED04440" w:rsidR="00692610" w:rsidRPr="000C6D26" w:rsidRDefault="003529EF" w:rsidP="00C07D5F">
      <w:pPr>
        <w:rPr>
          <w:rFonts w:asciiTheme="minorHAnsi" w:eastAsia="Calibri" w:hAnsiTheme="minorHAnsi" w:cstheme="minorHAnsi"/>
          <w:bCs/>
          <w:noProof/>
          <w:sz w:val="21"/>
          <w:szCs w:val="21"/>
          <w:lang w:bidi="ar-SA"/>
        </w:rPr>
      </w:pPr>
      <w:r w:rsidRPr="000C6D26">
        <w:rPr>
          <w:rFonts w:asciiTheme="minorHAnsi" w:eastAsia="Calibri" w:hAnsiTheme="minorHAnsi" w:cstheme="minorHAnsi"/>
          <w:bCs/>
          <w:noProof/>
          <w:sz w:val="21"/>
          <w:szCs w:val="21"/>
        </w:rPr>
        <w:t>Michaela Sahulová</w:t>
      </w:r>
    </w:p>
    <w:p w14:paraId="025F1B2F" w14:textId="3BABBB4E" w:rsidR="00D60D98" w:rsidRPr="00C07D5F" w:rsidRDefault="00692610" w:rsidP="00C07D5F">
      <w:pPr>
        <w:pStyle w:val="Bezmezer"/>
        <w:rPr>
          <w:rFonts w:eastAsia="Calibri" w:cstheme="minorHAnsi"/>
          <w:noProof/>
          <w:sz w:val="21"/>
          <w:szCs w:val="21"/>
        </w:rPr>
      </w:pPr>
      <w:r w:rsidRPr="000C6D26">
        <w:rPr>
          <w:rFonts w:eastAsia="Calibri" w:cstheme="minorHAnsi"/>
          <w:noProof/>
          <w:sz w:val="21"/>
          <w:szCs w:val="21"/>
        </w:rPr>
        <w:t>Specialistka PR a externí komunikace</w:t>
      </w:r>
      <w:r w:rsidR="00C07D5F">
        <w:rPr>
          <w:rFonts w:eastAsia="Calibri" w:cstheme="minorHAnsi"/>
          <w:noProof/>
          <w:sz w:val="21"/>
          <w:szCs w:val="21"/>
        </w:rPr>
        <w:t xml:space="preserve">, </w:t>
      </w:r>
      <w:r w:rsidR="004928CB" w:rsidRPr="000C6D26">
        <w:rPr>
          <w:rFonts w:cstheme="minorHAnsi"/>
          <w:noProof/>
          <w:color w:val="000000" w:themeColor="text1"/>
          <w:sz w:val="21"/>
          <w:szCs w:val="21"/>
        </w:rPr>
        <w:t>tel.: +420 731 538</w:t>
      </w:r>
      <w:r w:rsidR="00C07D5F">
        <w:rPr>
          <w:rFonts w:cstheme="minorHAnsi"/>
          <w:noProof/>
          <w:color w:val="000000" w:themeColor="text1"/>
          <w:sz w:val="21"/>
          <w:szCs w:val="21"/>
        </w:rPr>
        <w:t> </w:t>
      </w:r>
      <w:r w:rsidR="004928CB" w:rsidRPr="000C6D26">
        <w:rPr>
          <w:rFonts w:cstheme="minorHAnsi"/>
          <w:noProof/>
          <w:color w:val="000000" w:themeColor="text1"/>
          <w:sz w:val="21"/>
          <w:szCs w:val="21"/>
        </w:rPr>
        <w:t>373</w:t>
      </w:r>
      <w:r w:rsidR="00C07D5F">
        <w:rPr>
          <w:rFonts w:cstheme="minorHAnsi"/>
          <w:noProof/>
          <w:color w:val="000000" w:themeColor="text1"/>
          <w:sz w:val="21"/>
          <w:szCs w:val="21"/>
        </w:rPr>
        <w:t>, e</w:t>
      </w:r>
      <w:r w:rsidRPr="000C6D26">
        <w:rPr>
          <w:rFonts w:eastAsia="Calibri" w:cstheme="minorHAnsi"/>
          <w:noProof/>
          <w:sz w:val="21"/>
          <w:szCs w:val="21"/>
        </w:rPr>
        <w:t xml:space="preserve">-mail: </w:t>
      </w:r>
      <w:hyperlink r:id="rId27" w:history="1">
        <w:r w:rsidR="003529EF" w:rsidRPr="000C6D26">
          <w:rPr>
            <w:rStyle w:val="Hypertextovodkaz"/>
            <w:rFonts w:eastAsia="Calibri" w:cstheme="minorHAnsi"/>
            <w:noProof/>
            <w:sz w:val="21"/>
            <w:szCs w:val="21"/>
          </w:rPr>
          <w:t>michaela.sahulova@bcas.cz</w:t>
        </w:r>
      </w:hyperlink>
      <w:r w:rsidRPr="000C6D26">
        <w:rPr>
          <w:rFonts w:eastAsia="Calibri" w:cstheme="minorHAnsi"/>
          <w:noProof/>
          <w:sz w:val="21"/>
          <w:szCs w:val="21"/>
        </w:rPr>
        <w:t xml:space="preserve"> </w:t>
      </w:r>
    </w:p>
    <w:sectPr w:rsidR="00D60D98" w:rsidRPr="00C07D5F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CEEE60" w14:textId="77777777" w:rsidR="00FA6EE9" w:rsidRDefault="00FA6EE9">
      <w:r>
        <w:separator/>
      </w:r>
    </w:p>
  </w:endnote>
  <w:endnote w:type="continuationSeparator" w:id="0">
    <w:p w14:paraId="6F652BA0" w14:textId="77777777" w:rsidR="00FA6EE9" w:rsidRDefault="00FA6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FA6EE9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451896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FA6EE9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451896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FA6EE9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451896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D0082A" w14:textId="77777777" w:rsidR="00FA6EE9" w:rsidRDefault="00FA6EE9">
      <w:r>
        <w:separator/>
      </w:r>
    </w:p>
  </w:footnote>
  <w:footnote w:type="continuationSeparator" w:id="0">
    <w:p w14:paraId="047F583E" w14:textId="77777777" w:rsidR="00FA6EE9" w:rsidRDefault="00FA6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7443AD" w:rsidRDefault="00D80B6D" w:rsidP="00E95698">
    <w:pPr>
      <w:tabs>
        <w:tab w:val="left" w:pos="8633"/>
      </w:tabs>
      <w:spacing w:before="80"/>
      <w:ind w:firstLine="2880"/>
      <w:rPr>
        <w:rFonts w:asciiTheme="minorHAnsi" w:hAnsiTheme="minorHAnsi" w:cstheme="minorHAnsi"/>
        <w:sz w:val="52"/>
      </w:rPr>
    </w:pPr>
    <w:r w:rsidRPr="007443AD">
      <w:rPr>
        <w:rFonts w:asciiTheme="minorHAnsi" w:hAnsiTheme="minorHAnsi" w:cstheme="minorHAnsi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43AD">
      <w:rPr>
        <w:rFonts w:asciiTheme="minorHAnsi" w:hAnsiTheme="minorHAnsi" w:cstheme="minorHAnsi"/>
        <w:color w:val="1D1D1B"/>
        <w:sz w:val="48"/>
      </w:rPr>
      <w:t xml:space="preserve">BROKER CONSULTING </w:t>
    </w:r>
    <w:r w:rsidRPr="007443AD">
      <w:rPr>
        <w:rFonts w:asciiTheme="minorHAnsi" w:hAnsiTheme="minorHAnsi" w:cstheme="minorHAnsi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7443AD" w:rsidRDefault="009F59EE" w:rsidP="009F59EE">
    <w:pPr>
      <w:pStyle w:val="Nadpis2"/>
      <w:ind w:left="1440" w:firstLine="720"/>
      <w:rPr>
        <w:rFonts w:asciiTheme="minorHAnsi" w:hAnsiTheme="minorHAnsi" w:cstheme="minorHAnsi"/>
      </w:rPr>
    </w:pPr>
    <w:r w:rsidRPr="007443AD">
      <w:rPr>
        <w:rFonts w:asciiTheme="minorHAnsi" w:hAnsiTheme="minorHAnsi" w:cs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43AD">
      <w:rPr>
        <w:rFonts w:asciiTheme="minorHAnsi" w:hAnsiTheme="minorHAnsi" w:cstheme="minorHAnsi"/>
        <w:color w:val="1D1D1B"/>
      </w:rPr>
      <w:t>BROKER CONSULTING</w:t>
    </w:r>
  </w:p>
  <w:p w14:paraId="3FF270D6" w14:textId="6799F236" w:rsidR="00D40C89" w:rsidRPr="007443AD" w:rsidRDefault="009F59EE" w:rsidP="00D40C89">
    <w:pPr>
      <w:spacing w:before="85"/>
      <w:ind w:left="1440" w:firstLine="720"/>
      <w:rPr>
        <w:rFonts w:asciiTheme="minorHAnsi" w:hAnsiTheme="minorHAnsi" w:cstheme="minorHAnsi"/>
        <w:color w:val="E52713"/>
        <w:sz w:val="28"/>
        <w:szCs w:val="28"/>
      </w:rPr>
    </w:pPr>
    <w:r w:rsidRPr="007443AD">
      <w:rPr>
        <w:rFonts w:asciiTheme="minorHAnsi" w:hAnsiTheme="minorHAnsi" w:cstheme="minorHAnsi"/>
        <w:color w:val="E52713"/>
        <w:sz w:val="28"/>
        <w:szCs w:val="28"/>
      </w:rPr>
      <w:t xml:space="preserve">INDEX </w:t>
    </w:r>
    <w:r w:rsidR="002A1185" w:rsidRPr="007443AD">
      <w:rPr>
        <w:rFonts w:asciiTheme="minorHAnsi" w:hAnsiTheme="minorHAnsi" w:cstheme="minorHAnsi"/>
        <w:color w:val="E52713"/>
        <w:sz w:val="28"/>
        <w:szCs w:val="28"/>
      </w:rPr>
      <w:t>HYPOTEČNÍCH ÚVĚRŮ</w:t>
    </w:r>
    <w:r w:rsidR="00D40C89" w:rsidRPr="007443AD">
      <w:rPr>
        <w:rFonts w:asciiTheme="minorHAnsi" w:hAnsiTheme="minorHAnsi" w:cstheme="minorHAnsi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631C5"/>
    <w:multiLevelType w:val="hybridMultilevel"/>
    <w:tmpl w:val="37368C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2" w15:restartNumberingAfterBreak="0">
    <w:nsid w:val="3A62021C"/>
    <w:multiLevelType w:val="hybridMultilevel"/>
    <w:tmpl w:val="40EC06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325D01"/>
    <w:multiLevelType w:val="hybridMultilevel"/>
    <w:tmpl w:val="20B04784"/>
    <w:lvl w:ilvl="0" w:tplc="67E89344">
      <w:start w:val="6"/>
      <w:numFmt w:val="bullet"/>
      <w:lvlText w:val="-"/>
      <w:lvlJc w:val="left"/>
      <w:pPr>
        <w:ind w:left="720" w:hanging="360"/>
      </w:pPr>
      <w:rPr>
        <w:rFonts w:ascii="Arial" w:eastAsia="F015TEELig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D60C79"/>
    <w:multiLevelType w:val="hybridMultilevel"/>
    <w:tmpl w:val="78CEF0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14760E"/>
    <w:multiLevelType w:val="hybridMultilevel"/>
    <w:tmpl w:val="7B56E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E675A0"/>
    <w:multiLevelType w:val="hybridMultilevel"/>
    <w:tmpl w:val="B462C0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E63C89"/>
    <w:multiLevelType w:val="hybridMultilevel"/>
    <w:tmpl w:val="03AAFAE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6"/>
  </w:num>
  <w:num w:numId="5">
    <w:abstractNumId w:val="7"/>
  </w:num>
  <w:num w:numId="6">
    <w:abstractNumId w:val="3"/>
  </w:num>
  <w:num w:numId="7">
    <w:abstractNumId w:val="8"/>
  </w:num>
  <w:num w:numId="8">
    <w:abstractNumId w:val="0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06F"/>
    <w:rsid w:val="00004919"/>
    <w:rsid w:val="00005B61"/>
    <w:rsid w:val="00011DF6"/>
    <w:rsid w:val="00014FB5"/>
    <w:rsid w:val="00020EC7"/>
    <w:rsid w:val="0002230E"/>
    <w:rsid w:val="000226F3"/>
    <w:rsid w:val="00026F23"/>
    <w:rsid w:val="000277AC"/>
    <w:rsid w:val="00027C83"/>
    <w:rsid w:val="0003028F"/>
    <w:rsid w:val="00030E97"/>
    <w:rsid w:val="00032D94"/>
    <w:rsid w:val="0003332D"/>
    <w:rsid w:val="00033FD7"/>
    <w:rsid w:val="000374D7"/>
    <w:rsid w:val="00037DAF"/>
    <w:rsid w:val="000400E4"/>
    <w:rsid w:val="000412FA"/>
    <w:rsid w:val="0004477D"/>
    <w:rsid w:val="00044EC5"/>
    <w:rsid w:val="00045D86"/>
    <w:rsid w:val="00046AF6"/>
    <w:rsid w:val="0004776E"/>
    <w:rsid w:val="0005423A"/>
    <w:rsid w:val="00057F54"/>
    <w:rsid w:val="000611E3"/>
    <w:rsid w:val="00061BF6"/>
    <w:rsid w:val="00070652"/>
    <w:rsid w:val="00074B2B"/>
    <w:rsid w:val="000766E7"/>
    <w:rsid w:val="00080E7A"/>
    <w:rsid w:val="00081616"/>
    <w:rsid w:val="000823D3"/>
    <w:rsid w:val="00082D29"/>
    <w:rsid w:val="0008331F"/>
    <w:rsid w:val="000845CA"/>
    <w:rsid w:val="000851AC"/>
    <w:rsid w:val="000853D4"/>
    <w:rsid w:val="00087894"/>
    <w:rsid w:val="00092AEE"/>
    <w:rsid w:val="00092BB7"/>
    <w:rsid w:val="00092C6B"/>
    <w:rsid w:val="00094C16"/>
    <w:rsid w:val="00096425"/>
    <w:rsid w:val="0009776B"/>
    <w:rsid w:val="000A080B"/>
    <w:rsid w:val="000A6CF9"/>
    <w:rsid w:val="000B187C"/>
    <w:rsid w:val="000B6DD9"/>
    <w:rsid w:val="000C181E"/>
    <w:rsid w:val="000C2DA6"/>
    <w:rsid w:val="000C5541"/>
    <w:rsid w:val="000C6D26"/>
    <w:rsid w:val="000C7564"/>
    <w:rsid w:val="000D0013"/>
    <w:rsid w:val="000D14E2"/>
    <w:rsid w:val="000D2CFC"/>
    <w:rsid w:val="000D4AFB"/>
    <w:rsid w:val="000D7158"/>
    <w:rsid w:val="000E01C2"/>
    <w:rsid w:val="000E19B2"/>
    <w:rsid w:val="000E1C76"/>
    <w:rsid w:val="000E3D86"/>
    <w:rsid w:val="000E568C"/>
    <w:rsid w:val="000E5D32"/>
    <w:rsid w:val="000E6E14"/>
    <w:rsid w:val="000F4B6C"/>
    <w:rsid w:val="000F50BC"/>
    <w:rsid w:val="000F6249"/>
    <w:rsid w:val="000F6EBE"/>
    <w:rsid w:val="00101CEC"/>
    <w:rsid w:val="00103109"/>
    <w:rsid w:val="00105248"/>
    <w:rsid w:val="00106E26"/>
    <w:rsid w:val="001117DE"/>
    <w:rsid w:val="00111C28"/>
    <w:rsid w:val="00113603"/>
    <w:rsid w:val="001153E3"/>
    <w:rsid w:val="00117AE4"/>
    <w:rsid w:val="00120113"/>
    <w:rsid w:val="001214E7"/>
    <w:rsid w:val="00122208"/>
    <w:rsid w:val="00122CEB"/>
    <w:rsid w:val="0012361F"/>
    <w:rsid w:val="00125B97"/>
    <w:rsid w:val="0012657A"/>
    <w:rsid w:val="00126BEC"/>
    <w:rsid w:val="00127234"/>
    <w:rsid w:val="0013044E"/>
    <w:rsid w:val="00131A69"/>
    <w:rsid w:val="001327CE"/>
    <w:rsid w:val="00136D8D"/>
    <w:rsid w:val="00137003"/>
    <w:rsid w:val="0013717C"/>
    <w:rsid w:val="00140987"/>
    <w:rsid w:val="00145622"/>
    <w:rsid w:val="001516CA"/>
    <w:rsid w:val="001524FB"/>
    <w:rsid w:val="00154308"/>
    <w:rsid w:val="00154AC2"/>
    <w:rsid w:val="00156082"/>
    <w:rsid w:val="00160686"/>
    <w:rsid w:val="00160E1C"/>
    <w:rsid w:val="00161352"/>
    <w:rsid w:val="00161830"/>
    <w:rsid w:val="001620E3"/>
    <w:rsid w:val="00162D8E"/>
    <w:rsid w:val="0016482C"/>
    <w:rsid w:val="001675AF"/>
    <w:rsid w:val="0016771F"/>
    <w:rsid w:val="00174317"/>
    <w:rsid w:val="00175545"/>
    <w:rsid w:val="001767A5"/>
    <w:rsid w:val="00176E93"/>
    <w:rsid w:val="00177C18"/>
    <w:rsid w:val="00182A92"/>
    <w:rsid w:val="00187310"/>
    <w:rsid w:val="00192716"/>
    <w:rsid w:val="00194831"/>
    <w:rsid w:val="00194B5D"/>
    <w:rsid w:val="001A0A5C"/>
    <w:rsid w:val="001A1A56"/>
    <w:rsid w:val="001A2D08"/>
    <w:rsid w:val="001A54DD"/>
    <w:rsid w:val="001A5AC8"/>
    <w:rsid w:val="001A61A5"/>
    <w:rsid w:val="001A7D2F"/>
    <w:rsid w:val="001B1E41"/>
    <w:rsid w:val="001B2A07"/>
    <w:rsid w:val="001B2C03"/>
    <w:rsid w:val="001B3B31"/>
    <w:rsid w:val="001B4F4B"/>
    <w:rsid w:val="001B501B"/>
    <w:rsid w:val="001B58E7"/>
    <w:rsid w:val="001B6D7A"/>
    <w:rsid w:val="001B7936"/>
    <w:rsid w:val="001C22FE"/>
    <w:rsid w:val="001D015A"/>
    <w:rsid w:val="001D30C7"/>
    <w:rsid w:val="001D33FA"/>
    <w:rsid w:val="001D36F0"/>
    <w:rsid w:val="001D3DFC"/>
    <w:rsid w:val="001D45F5"/>
    <w:rsid w:val="001D5EFC"/>
    <w:rsid w:val="001E02C2"/>
    <w:rsid w:val="001E0A89"/>
    <w:rsid w:val="001E1597"/>
    <w:rsid w:val="001E4209"/>
    <w:rsid w:val="001F1D14"/>
    <w:rsid w:val="001F2399"/>
    <w:rsid w:val="001F4D74"/>
    <w:rsid w:val="001F7194"/>
    <w:rsid w:val="001F71BA"/>
    <w:rsid w:val="001F7577"/>
    <w:rsid w:val="002019F3"/>
    <w:rsid w:val="0020207A"/>
    <w:rsid w:val="00202F22"/>
    <w:rsid w:val="00203BD4"/>
    <w:rsid w:val="00206E92"/>
    <w:rsid w:val="00207D22"/>
    <w:rsid w:val="00212C2E"/>
    <w:rsid w:val="0021395D"/>
    <w:rsid w:val="002141AF"/>
    <w:rsid w:val="00216B81"/>
    <w:rsid w:val="00216F2E"/>
    <w:rsid w:val="00217E92"/>
    <w:rsid w:val="00220529"/>
    <w:rsid w:val="002220C9"/>
    <w:rsid w:val="00223FFD"/>
    <w:rsid w:val="00224AF1"/>
    <w:rsid w:val="00224E6E"/>
    <w:rsid w:val="00225CEC"/>
    <w:rsid w:val="00225D70"/>
    <w:rsid w:val="00232B0D"/>
    <w:rsid w:val="00233BF3"/>
    <w:rsid w:val="002368F3"/>
    <w:rsid w:val="00236A37"/>
    <w:rsid w:val="00241313"/>
    <w:rsid w:val="00241AA2"/>
    <w:rsid w:val="0024212A"/>
    <w:rsid w:val="00242669"/>
    <w:rsid w:val="0025080B"/>
    <w:rsid w:val="0025183C"/>
    <w:rsid w:val="00251F32"/>
    <w:rsid w:val="0025264B"/>
    <w:rsid w:val="00253C9E"/>
    <w:rsid w:val="0025428A"/>
    <w:rsid w:val="002555D2"/>
    <w:rsid w:val="00257978"/>
    <w:rsid w:val="002619DC"/>
    <w:rsid w:val="002676E8"/>
    <w:rsid w:val="00270B59"/>
    <w:rsid w:val="00270DB3"/>
    <w:rsid w:val="002717C9"/>
    <w:rsid w:val="0027235F"/>
    <w:rsid w:val="0027691A"/>
    <w:rsid w:val="00277D20"/>
    <w:rsid w:val="00280730"/>
    <w:rsid w:val="0028081F"/>
    <w:rsid w:val="00281C61"/>
    <w:rsid w:val="00285767"/>
    <w:rsid w:val="0028607C"/>
    <w:rsid w:val="002863CE"/>
    <w:rsid w:val="0029566F"/>
    <w:rsid w:val="002961B5"/>
    <w:rsid w:val="00296B24"/>
    <w:rsid w:val="002A1185"/>
    <w:rsid w:val="002A208F"/>
    <w:rsid w:val="002A498A"/>
    <w:rsid w:val="002A61B7"/>
    <w:rsid w:val="002B01AF"/>
    <w:rsid w:val="002B094E"/>
    <w:rsid w:val="002B1E20"/>
    <w:rsid w:val="002B2A94"/>
    <w:rsid w:val="002B3C6D"/>
    <w:rsid w:val="002B4265"/>
    <w:rsid w:val="002B4919"/>
    <w:rsid w:val="002B4B98"/>
    <w:rsid w:val="002B6F4E"/>
    <w:rsid w:val="002B7650"/>
    <w:rsid w:val="002C06E2"/>
    <w:rsid w:val="002C0E94"/>
    <w:rsid w:val="002C6C42"/>
    <w:rsid w:val="002C7D70"/>
    <w:rsid w:val="002D23B9"/>
    <w:rsid w:val="002D3534"/>
    <w:rsid w:val="002D49F7"/>
    <w:rsid w:val="002D64A2"/>
    <w:rsid w:val="002E0400"/>
    <w:rsid w:val="002E1A01"/>
    <w:rsid w:val="002E1A0D"/>
    <w:rsid w:val="002E6173"/>
    <w:rsid w:val="002E6DB6"/>
    <w:rsid w:val="002F002B"/>
    <w:rsid w:val="002F06AC"/>
    <w:rsid w:val="002F09BA"/>
    <w:rsid w:val="002F46B0"/>
    <w:rsid w:val="002F485A"/>
    <w:rsid w:val="002F5550"/>
    <w:rsid w:val="002F62C4"/>
    <w:rsid w:val="002F7818"/>
    <w:rsid w:val="002F7EC2"/>
    <w:rsid w:val="003015E0"/>
    <w:rsid w:val="0030207B"/>
    <w:rsid w:val="00303778"/>
    <w:rsid w:val="00303A6E"/>
    <w:rsid w:val="0030751A"/>
    <w:rsid w:val="00307CF8"/>
    <w:rsid w:val="00307E95"/>
    <w:rsid w:val="00307FEB"/>
    <w:rsid w:val="003128F8"/>
    <w:rsid w:val="00313D42"/>
    <w:rsid w:val="00322E5E"/>
    <w:rsid w:val="00323B17"/>
    <w:rsid w:val="003243A6"/>
    <w:rsid w:val="003247B0"/>
    <w:rsid w:val="0032734F"/>
    <w:rsid w:val="00330918"/>
    <w:rsid w:val="003310D8"/>
    <w:rsid w:val="0033296E"/>
    <w:rsid w:val="003337A9"/>
    <w:rsid w:val="0033431C"/>
    <w:rsid w:val="0033488F"/>
    <w:rsid w:val="00340E70"/>
    <w:rsid w:val="00342F85"/>
    <w:rsid w:val="00347557"/>
    <w:rsid w:val="00352435"/>
    <w:rsid w:val="003529EF"/>
    <w:rsid w:val="00355366"/>
    <w:rsid w:val="003555BB"/>
    <w:rsid w:val="003629B6"/>
    <w:rsid w:val="00362BFF"/>
    <w:rsid w:val="003640C8"/>
    <w:rsid w:val="00364C11"/>
    <w:rsid w:val="00371225"/>
    <w:rsid w:val="003721AD"/>
    <w:rsid w:val="00376086"/>
    <w:rsid w:val="003761D9"/>
    <w:rsid w:val="00380608"/>
    <w:rsid w:val="00380E0A"/>
    <w:rsid w:val="00382546"/>
    <w:rsid w:val="00382EAD"/>
    <w:rsid w:val="00383DC5"/>
    <w:rsid w:val="00385EED"/>
    <w:rsid w:val="00390B58"/>
    <w:rsid w:val="00395F41"/>
    <w:rsid w:val="003967DF"/>
    <w:rsid w:val="003A291C"/>
    <w:rsid w:val="003A3DE2"/>
    <w:rsid w:val="003A4860"/>
    <w:rsid w:val="003A4D47"/>
    <w:rsid w:val="003A6435"/>
    <w:rsid w:val="003A7D32"/>
    <w:rsid w:val="003B0E4F"/>
    <w:rsid w:val="003B1966"/>
    <w:rsid w:val="003B5B25"/>
    <w:rsid w:val="003B60CA"/>
    <w:rsid w:val="003B7BDD"/>
    <w:rsid w:val="003C0CBE"/>
    <w:rsid w:val="003C1344"/>
    <w:rsid w:val="003C3421"/>
    <w:rsid w:val="003C5D0A"/>
    <w:rsid w:val="003D1987"/>
    <w:rsid w:val="003D3AE8"/>
    <w:rsid w:val="003D69A7"/>
    <w:rsid w:val="003E1308"/>
    <w:rsid w:val="003F07E8"/>
    <w:rsid w:val="003F472F"/>
    <w:rsid w:val="003F79EC"/>
    <w:rsid w:val="00400129"/>
    <w:rsid w:val="004005D9"/>
    <w:rsid w:val="00400A5A"/>
    <w:rsid w:val="00407AE9"/>
    <w:rsid w:val="004120C7"/>
    <w:rsid w:val="0041257F"/>
    <w:rsid w:val="0042193A"/>
    <w:rsid w:val="004267DE"/>
    <w:rsid w:val="00430ABD"/>
    <w:rsid w:val="00431631"/>
    <w:rsid w:val="00432FD5"/>
    <w:rsid w:val="00434C5D"/>
    <w:rsid w:val="004350F6"/>
    <w:rsid w:val="00435115"/>
    <w:rsid w:val="00441028"/>
    <w:rsid w:val="00444432"/>
    <w:rsid w:val="00445D0A"/>
    <w:rsid w:val="00450DBC"/>
    <w:rsid w:val="00451896"/>
    <w:rsid w:val="00451B7B"/>
    <w:rsid w:val="0045292A"/>
    <w:rsid w:val="004540ED"/>
    <w:rsid w:val="00454843"/>
    <w:rsid w:val="004564BC"/>
    <w:rsid w:val="004565C7"/>
    <w:rsid w:val="004627B9"/>
    <w:rsid w:val="00465E53"/>
    <w:rsid w:val="00466329"/>
    <w:rsid w:val="00473219"/>
    <w:rsid w:val="00477DCC"/>
    <w:rsid w:val="00477FFA"/>
    <w:rsid w:val="00481D66"/>
    <w:rsid w:val="004835F4"/>
    <w:rsid w:val="00487B6B"/>
    <w:rsid w:val="004919CC"/>
    <w:rsid w:val="004928CB"/>
    <w:rsid w:val="00492941"/>
    <w:rsid w:val="00495AFF"/>
    <w:rsid w:val="00495E14"/>
    <w:rsid w:val="004A3439"/>
    <w:rsid w:val="004B2C5B"/>
    <w:rsid w:val="004B5104"/>
    <w:rsid w:val="004B5797"/>
    <w:rsid w:val="004B5B94"/>
    <w:rsid w:val="004B6304"/>
    <w:rsid w:val="004B64B3"/>
    <w:rsid w:val="004B6AF3"/>
    <w:rsid w:val="004C0179"/>
    <w:rsid w:val="004C0CEF"/>
    <w:rsid w:val="004C0D41"/>
    <w:rsid w:val="004C3F71"/>
    <w:rsid w:val="004C61F5"/>
    <w:rsid w:val="004D14C1"/>
    <w:rsid w:val="004D2C46"/>
    <w:rsid w:val="004D3578"/>
    <w:rsid w:val="004D4D9F"/>
    <w:rsid w:val="004D6BA6"/>
    <w:rsid w:val="004E2983"/>
    <w:rsid w:val="004E3BA4"/>
    <w:rsid w:val="004E4E81"/>
    <w:rsid w:val="004E4E9F"/>
    <w:rsid w:val="004E67DB"/>
    <w:rsid w:val="004F1934"/>
    <w:rsid w:val="004F1E84"/>
    <w:rsid w:val="005042D1"/>
    <w:rsid w:val="00506098"/>
    <w:rsid w:val="00506161"/>
    <w:rsid w:val="0050659B"/>
    <w:rsid w:val="00506889"/>
    <w:rsid w:val="00510050"/>
    <w:rsid w:val="00512D6B"/>
    <w:rsid w:val="00512FF6"/>
    <w:rsid w:val="005153F7"/>
    <w:rsid w:val="0052216B"/>
    <w:rsid w:val="005224C1"/>
    <w:rsid w:val="0052338B"/>
    <w:rsid w:val="00523D4C"/>
    <w:rsid w:val="005275F9"/>
    <w:rsid w:val="0053153F"/>
    <w:rsid w:val="005339D0"/>
    <w:rsid w:val="00534E75"/>
    <w:rsid w:val="00536954"/>
    <w:rsid w:val="005379BC"/>
    <w:rsid w:val="00540606"/>
    <w:rsid w:val="00541870"/>
    <w:rsid w:val="005436EC"/>
    <w:rsid w:val="00544A37"/>
    <w:rsid w:val="005455B0"/>
    <w:rsid w:val="0055263D"/>
    <w:rsid w:val="00552E2B"/>
    <w:rsid w:val="0055303C"/>
    <w:rsid w:val="00553369"/>
    <w:rsid w:val="00554574"/>
    <w:rsid w:val="0055553F"/>
    <w:rsid w:val="0056150F"/>
    <w:rsid w:val="005678E0"/>
    <w:rsid w:val="005729F4"/>
    <w:rsid w:val="00576F58"/>
    <w:rsid w:val="005773B2"/>
    <w:rsid w:val="00577D19"/>
    <w:rsid w:val="0058062A"/>
    <w:rsid w:val="005834AE"/>
    <w:rsid w:val="0058666A"/>
    <w:rsid w:val="00586BEF"/>
    <w:rsid w:val="005875EC"/>
    <w:rsid w:val="00590434"/>
    <w:rsid w:val="00594050"/>
    <w:rsid w:val="0059432A"/>
    <w:rsid w:val="0059452A"/>
    <w:rsid w:val="005956E9"/>
    <w:rsid w:val="005A0ABD"/>
    <w:rsid w:val="005A2637"/>
    <w:rsid w:val="005A37E5"/>
    <w:rsid w:val="005A4497"/>
    <w:rsid w:val="005A5BBA"/>
    <w:rsid w:val="005A5F08"/>
    <w:rsid w:val="005A60B4"/>
    <w:rsid w:val="005A7A64"/>
    <w:rsid w:val="005B0E8E"/>
    <w:rsid w:val="005B31D7"/>
    <w:rsid w:val="005B4E77"/>
    <w:rsid w:val="005B5427"/>
    <w:rsid w:val="005B5CA8"/>
    <w:rsid w:val="005B6889"/>
    <w:rsid w:val="005B68FA"/>
    <w:rsid w:val="005B7492"/>
    <w:rsid w:val="005B7E46"/>
    <w:rsid w:val="005C0D63"/>
    <w:rsid w:val="005C41F6"/>
    <w:rsid w:val="005C48C1"/>
    <w:rsid w:val="005C7059"/>
    <w:rsid w:val="005D189A"/>
    <w:rsid w:val="005D6963"/>
    <w:rsid w:val="005E3212"/>
    <w:rsid w:val="005E45D8"/>
    <w:rsid w:val="005E4855"/>
    <w:rsid w:val="005F18D4"/>
    <w:rsid w:val="005F57A1"/>
    <w:rsid w:val="005F65A1"/>
    <w:rsid w:val="005F7741"/>
    <w:rsid w:val="00600788"/>
    <w:rsid w:val="00600BA3"/>
    <w:rsid w:val="00605C5D"/>
    <w:rsid w:val="006106F0"/>
    <w:rsid w:val="006110E7"/>
    <w:rsid w:val="00612DC2"/>
    <w:rsid w:val="006135FD"/>
    <w:rsid w:val="006212F9"/>
    <w:rsid w:val="00622494"/>
    <w:rsid w:val="00624A82"/>
    <w:rsid w:val="0062747C"/>
    <w:rsid w:val="0062751F"/>
    <w:rsid w:val="00633136"/>
    <w:rsid w:val="00636E70"/>
    <w:rsid w:val="0064020E"/>
    <w:rsid w:val="0064160C"/>
    <w:rsid w:val="0064209A"/>
    <w:rsid w:val="006429DE"/>
    <w:rsid w:val="00645BA9"/>
    <w:rsid w:val="00646B73"/>
    <w:rsid w:val="006501CB"/>
    <w:rsid w:val="00650A3C"/>
    <w:rsid w:val="00651B79"/>
    <w:rsid w:val="00652695"/>
    <w:rsid w:val="006529D7"/>
    <w:rsid w:val="00652DCE"/>
    <w:rsid w:val="006545F8"/>
    <w:rsid w:val="00654F8C"/>
    <w:rsid w:val="00656312"/>
    <w:rsid w:val="0066135D"/>
    <w:rsid w:val="00661A5F"/>
    <w:rsid w:val="00663C36"/>
    <w:rsid w:val="00667012"/>
    <w:rsid w:val="00673DDB"/>
    <w:rsid w:val="00675F3B"/>
    <w:rsid w:val="006768F0"/>
    <w:rsid w:val="00676C10"/>
    <w:rsid w:val="00677078"/>
    <w:rsid w:val="006775B7"/>
    <w:rsid w:val="00677C07"/>
    <w:rsid w:val="00684F62"/>
    <w:rsid w:val="0068617E"/>
    <w:rsid w:val="00686E01"/>
    <w:rsid w:val="00687107"/>
    <w:rsid w:val="00692610"/>
    <w:rsid w:val="006939E4"/>
    <w:rsid w:val="00693A07"/>
    <w:rsid w:val="00695DE8"/>
    <w:rsid w:val="006978DE"/>
    <w:rsid w:val="00697A40"/>
    <w:rsid w:val="00697F28"/>
    <w:rsid w:val="006A0BD0"/>
    <w:rsid w:val="006A150C"/>
    <w:rsid w:val="006A2F6C"/>
    <w:rsid w:val="006A3BE2"/>
    <w:rsid w:val="006A6601"/>
    <w:rsid w:val="006B2EA9"/>
    <w:rsid w:val="006B3A13"/>
    <w:rsid w:val="006B3CB5"/>
    <w:rsid w:val="006C2008"/>
    <w:rsid w:val="006C2696"/>
    <w:rsid w:val="006C4076"/>
    <w:rsid w:val="006C4193"/>
    <w:rsid w:val="006C61E8"/>
    <w:rsid w:val="006D01AF"/>
    <w:rsid w:val="006D1884"/>
    <w:rsid w:val="006D65EC"/>
    <w:rsid w:val="006E074A"/>
    <w:rsid w:val="006E1C67"/>
    <w:rsid w:val="006E26DC"/>
    <w:rsid w:val="006E52B8"/>
    <w:rsid w:val="006E68CA"/>
    <w:rsid w:val="006F32FB"/>
    <w:rsid w:val="00700FD6"/>
    <w:rsid w:val="00705D83"/>
    <w:rsid w:val="0071201C"/>
    <w:rsid w:val="00712177"/>
    <w:rsid w:val="00713CD7"/>
    <w:rsid w:val="0072112F"/>
    <w:rsid w:val="007253C3"/>
    <w:rsid w:val="00730047"/>
    <w:rsid w:val="0073009C"/>
    <w:rsid w:val="007316BB"/>
    <w:rsid w:val="00731B6F"/>
    <w:rsid w:val="00731E05"/>
    <w:rsid w:val="00736FB9"/>
    <w:rsid w:val="00737562"/>
    <w:rsid w:val="007424FC"/>
    <w:rsid w:val="007443AD"/>
    <w:rsid w:val="00762254"/>
    <w:rsid w:val="0076333E"/>
    <w:rsid w:val="00764BFF"/>
    <w:rsid w:val="00767284"/>
    <w:rsid w:val="00771B91"/>
    <w:rsid w:val="007737E3"/>
    <w:rsid w:val="007748DA"/>
    <w:rsid w:val="0077685A"/>
    <w:rsid w:val="007824F4"/>
    <w:rsid w:val="0078345F"/>
    <w:rsid w:val="00783AB1"/>
    <w:rsid w:val="00784109"/>
    <w:rsid w:val="00785FC5"/>
    <w:rsid w:val="0078631B"/>
    <w:rsid w:val="00791A2B"/>
    <w:rsid w:val="00792EE9"/>
    <w:rsid w:val="00795445"/>
    <w:rsid w:val="0079572A"/>
    <w:rsid w:val="00795D79"/>
    <w:rsid w:val="0079732B"/>
    <w:rsid w:val="007A1121"/>
    <w:rsid w:val="007A1122"/>
    <w:rsid w:val="007A15A6"/>
    <w:rsid w:val="007A2531"/>
    <w:rsid w:val="007A278E"/>
    <w:rsid w:val="007B11F2"/>
    <w:rsid w:val="007B1851"/>
    <w:rsid w:val="007B232E"/>
    <w:rsid w:val="007B358E"/>
    <w:rsid w:val="007B5E2F"/>
    <w:rsid w:val="007C37DF"/>
    <w:rsid w:val="007C6288"/>
    <w:rsid w:val="007D05D4"/>
    <w:rsid w:val="007D06A5"/>
    <w:rsid w:val="007D085C"/>
    <w:rsid w:val="007D1100"/>
    <w:rsid w:val="007D2280"/>
    <w:rsid w:val="007D3EF7"/>
    <w:rsid w:val="007E1111"/>
    <w:rsid w:val="007E1865"/>
    <w:rsid w:val="007E5614"/>
    <w:rsid w:val="007F0754"/>
    <w:rsid w:val="007F3198"/>
    <w:rsid w:val="007F36AF"/>
    <w:rsid w:val="007F515C"/>
    <w:rsid w:val="008009B8"/>
    <w:rsid w:val="00800CEA"/>
    <w:rsid w:val="00807AD4"/>
    <w:rsid w:val="008104E0"/>
    <w:rsid w:val="0081387C"/>
    <w:rsid w:val="00817512"/>
    <w:rsid w:val="00822194"/>
    <w:rsid w:val="00822D26"/>
    <w:rsid w:val="008269F5"/>
    <w:rsid w:val="00830105"/>
    <w:rsid w:val="0083053E"/>
    <w:rsid w:val="00830CE8"/>
    <w:rsid w:val="00831B5E"/>
    <w:rsid w:val="00831F36"/>
    <w:rsid w:val="0083338E"/>
    <w:rsid w:val="00833A44"/>
    <w:rsid w:val="0083519D"/>
    <w:rsid w:val="00843016"/>
    <w:rsid w:val="00844420"/>
    <w:rsid w:val="00845A34"/>
    <w:rsid w:val="00846E1E"/>
    <w:rsid w:val="00850445"/>
    <w:rsid w:val="0085594F"/>
    <w:rsid w:val="008630EC"/>
    <w:rsid w:val="00866791"/>
    <w:rsid w:val="00874FE0"/>
    <w:rsid w:val="008769D5"/>
    <w:rsid w:val="00882EE9"/>
    <w:rsid w:val="00883131"/>
    <w:rsid w:val="00883A3E"/>
    <w:rsid w:val="008848CF"/>
    <w:rsid w:val="00885B2F"/>
    <w:rsid w:val="008866ED"/>
    <w:rsid w:val="008868A5"/>
    <w:rsid w:val="0089080A"/>
    <w:rsid w:val="00890A80"/>
    <w:rsid w:val="008926E5"/>
    <w:rsid w:val="008926F3"/>
    <w:rsid w:val="00892DB3"/>
    <w:rsid w:val="00893533"/>
    <w:rsid w:val="00894FAD"/>
    <w:rsid w:val="008957C5"/>
    <w:rsid w:val="00896014"/>
    <w:rsid w:val="0089614B"/>
    <w:rsid w:val="00896556"/>
    <w:rsid w:val="00896BE6"/>
    <w:rsid w:val="00896FD6"/>
    <w:rsid w:val="00897BD9"/>
    <w:rsid w:val="008A04D3"/>
    <w:rsid w:val="008A0C76"/>
    <w:rsid w:val="008A663F"/>
    <w:rsid w:val="008B05F2"/>
    <w:rsid w:val="008B0636"/>
    <w:rsid w:val="008B1531"/>
    <w:rsid w:val="008B2EE5"/>
    <w:rsid w:val="008B3C82"/>
    <w:rsid w:val="008B5C5C"/>
    <w:rsid w:val="008B64C9"/>
    <w:rsid w:val="008C1795"/>
    <w:rsid w:val="008C4B0D"/>
    <w:rsid w:val="008C75D3"/>
    <w:rsid w:val="008C79A2"/>
    <w:rsid w:val="008D1E94"/>
    <w:rsid w:val="008D373A"/>
    <w:rsid w:val="008D484C"/>
    <w:rsid w:val="008D68A5"/>
    <w:rsid w:val="008E19F3"/>
    <w:rsid w:val="008E3B44"/>
    <w:rsid w:val="008E58ED"/>
    <w:rsid w:val="008E6712"/>
    <w:rsid w:val="008F2226"/>
    <w:rsid w:val="008F25C5"/>
    <w:rsid w:val="008F4980"/>
    <w:rsid w:val="008F6707"/>
    <w:rsid w:val="008F6AAF"/>
    <w:rsid w:val="00900951"/>
    <w:rsid w:val="00901813"/>
    <w:rsid w:val="00903020"/>
    <w:rsid w:val="00906176"/>
    <w:rsid w:val="0090637E"/>
    <w:rsid w:val="00906E67"/>
    <w:rsid w:val="00914002"/>
    <w:rsid w:val="00915ADA"/>
    <w:rsid w:val="009161BE"/>
    <w:rsid w:val="00917F21"/>
    <w:rsid w:val="009213AE"/>
    <w:rsid w:val="009222C9"/>
    <w:rsid w:val="00922BC9"/>
    <w:rsid w:val="00926825"/>
    <w:rsid w:val="009268FC"/>
    <w:rsid w:val="00926A98"/>
    <w:rsid w:val="00932625"/>
    <w:rsid w:val="009340FD"/>
    <w:rsid w:val="00934141"/>
    <w:rsid w:val="009344C2"/>
    <w:rsid w:val="009345C9"/>
    <w:rsid w:val="0093538A"/>
    <w:rsid w:val="009434D0"/>
    <w:rsid w:val="0094705C"/>
    <w:rsid w:val="009514FE"/>
    <w:rsid w:val="00952F66"/>
    <w:rsid w:val="00957B41"/>
    <w:rsid w:val="00961519"/>
    <w:rsid w:val="00962FD2"/>
    <w:rsid w:val="009644A2"/>
    <w:rsid w:val="00967162"/>
    <w:rsid w:val="00971DE7"/>
    <w:rsid w:val="00973C62"/>
    <w:rsid w:val="0097419E"/>
    <w:rsid w:val="00974A97"/>
    <w:rsid w:val="00977B41"/>
    <w:rsid w:val="00982987"/>
    <w:rsid w:val="00990318"/>
    <w:rsid w:val="0099489F"/>
    <w:rsid w:val="00994B64"/>
    <w:rsid w:val="009955B3"/>
    <w:rsid w:val="00996D72"/>
    <w:rsid w:val="009A4D99"/>
    <w:rsid w:val="009A53B7"/>
    <w:rsid w:val="009A544A"/>
    <w:rsid w:val="009A69B1"/>
    <w:rsid w:val="009A6CDB"/>
    <w:rsid w:val="009B0CA9"/>
    <w:rsid w:val="009B301F"/>
    <w:rsid w:val="009B52C2"/>
    <w:rsid w:val="009C0ECA"/>
    <w:rsid w:val="009C283B"/>
    <w:rsid w:val="009C2B04"/>
    <w:rsid w:val="009C3544"/>
    <w:rsid w:val="009C45BA"/>
    <w:rsid w:val="009D7AFB"/>
    <w:rsid w:val="009E055E"/>
    <w:rsid w:val="009E0C76"/>
    <w:rsid w:val="009E22C3"/>
    <w:rsid w:val="009E2833"/>
    <w:rsid w:val="009E317D"/>
    <w:rsid w:val="009E3B52"/>
    <w:rsid w:val="009E3D89"/>
    <w:rsid w:val="009E5B43"/>
    <w:rsid w:val="009E6B59"/>
    <w:rsid w:val="009F097B"/>
    <w:rsid w:val="009F0DD5"/>
    <w:rsid w:val="009F2CB2"/>
    <w:rsid w:val="009F2CEE"/>
    <w:rsid w:val="009F3A56"/>
    <w:rsid w:val="009F59EE"/>
    <w:rsid w:val="009F5CD5"/>
    <w:rsid w:val="009F66D0"/>
    <w:rsid w:val="00A02D45"/>
    <w:rsid w:val="00A069E2"/>
    <w:rsid w:val="00A073C7"/>
    <w:rsid w:val="00A07431"/>
    <w:rsid w:val="00A07A9F"/>
    <w:rsid w:val="00A11B93"/>
    <w:rsid w:val="00A11C90"/>
    <w:rsid w:val="00A12821"/>
    <w:rsid w:val="00A14FC9"/>
    <w:rsid w:val="00A2066F"/>
    <w:rsid w:val="00A23C45"/>
    <w:rsid w:val="00A25B10"/>
    <w:rsid w:val="00A33653"/>
    <w:rsid w:val="00A36D79"/>
    <w:rsid w:val="00A37A20"/>
    <w:rsid w:val="00A37AD0"/>
    <w:rsid w:val="00A4508B"/>
    <w:rsid w:val="00A4618A"/>
    <w:rsid w:val="00A53205"/>
    <w:rsid w:val="00A5429B"/>
    <w:rsid w:val="00A553A9"/>
    <w:rsid w:val="00A61F80"/>
    <w:rsid w:val="00A62566"/>
    <w:rsid w:val="00A62CCA"/>
    <w:rsid w:val="00A641DB"/>
    <w:rsid w:val="00A65B9D"/>
    <w:rsid w:val="00A70932"/>
    <w:rsid w:val="00A719A5"/>
    <w:rsid w:val="00A72A74"/>
    <w:rsid w:val="00A72F83"/>
    <w:rsid w:val="00A7372B"/>
    <w:rsid w:val="00A74A1E"/>
    <w:rsid w:val="00A7509B"/>
    <w:rsid w:val="00A7796E"/>
    <w:rsid w:val="00A77F44"/>
    <w:rsid w:val="00A803EF"/>
    <w:rsid w:val="00A86656"/>
    <w:rsid w:val="00A87B14"/>
    <w:rsid w:val="00A93638"/>
    <w:rsid w:val="00A97D07"/>
    <w:rsid w:val="00AA0737"/>
    <w:rsid w:val="00AA218A"/>
    <w:rsid w:val="00AA48E7"/>
    <w:rsid w:val="00AB3D30"/>
    <w:rsid w:val="00AB4794"/>
    <w:rsid w:val="00AB4842"/>
    <w:rsid w:val="00AB7CCF"/>
    <w:rsid w:val="00AC614D"/>
    <w:rsid w:val="00AC7F1C"/>
    <w:rsid w:val="00AD0F3F"/>
    <w:rsid w:val="00AD4EA3"/>
    <w:rsid w:val="00AE05ED"/>
    <w:rsid w:val="00AE44CB"/>
    <w:rsid w:val="00AE55D4"/>
    <w:rsid w:val="00AE72D7"/>
    <w:rsid w:val="00AF05BB"/>
    <w:rsid w:val="00AF1038"/>
    <w:rsid w:val="00AF2633"/>
    <w:rsid w:val="00AF74AF"/>
    <w:rsid w:val="00B01F39"/>
    <w:rsid w:val="00B05862"/>
    <w:rsid w:val="00B07D3B"/>
    <w:rsid w:val="00B11974"/>
    <w:rsid w:val="00B1264B"/>
    <w:rsid w:val="00B12CF8"/>
    <w:rsid w:val="00B15519"/>
    <w:rsid w:val="00B15922"/>
    <w:rsid w:val="00B244B9"/>
    <w:rsid w:val="00B27178"/>
    <w:rsid w:val="00B30A9E"/>
    <w:rsid w:val="00B3265A"/>
    <w:rsid w:val="00B32817"/>
    <w:rsid w:val="00B33E8E"/>
    <w:rsid w:val="00B346ED"/>
    <w:rsid w:val="00B36901"/>
    <w:rsid w:val="00B37F41"/>
    <w:rsid w:val="00B4245F"/>
    <w:rsid w:val="00B43ABC"/>
    <w:rsid w:val="00B470FB"/>
    <w:rsid w:val="00B479EB"/>
    <w:rsid w:val="00B51125"/>
    <w:rsid w:val="00B52CDF"/>
    <w:rsid w:val="00B65A3B"/>
    <w:rsid w:val="00B66DE0"/>
    <w:rsid w:val="00B72652"/>
    <w:rsid w:val="00B8133C"/>
    <w:rsid w:val="00B815A3"/>
    <w:rsid w:val="00B85C55"/>
    <w:rsid w:val="00B90B23"/>
    <w:rsid w:val="00B91CEE"/>
    <w:rsid w:val="00B94777"/>
    <w:rsid w:val="00B95BB2"/>
    <w:rsid w:val="00B95EBA"/>
    <w:rsid w:val="00B96E03"/>
    <w:rsid w:val="00BA0BC1"/>
    <w:rsid w:val="00BA1D82"/>
    <w:rsid w:val="00BA1FA3"/>
    <w:rsid w:val="00BA23D8"/>
    <w:rsid w:val="00BA27DA"/>
    <w:rsid w:val="00BA4230"/>
    <w:rsid w:val="00BA45FD"/>
    <w:rsid w:val="00BA5B9C"/>
    <w:rsid w:val="00BA7722"/>
    <w:rsid w:val="00BB4512"/>
    <w:rsid w:val="00BB4D49"/>
    <w:rsid w:val="00BB51F4"/>
    <w:rsid w:val="00BB58F0"/>
    <w:rsid w:val="00BB6439"/>
    <w:rsid w:val="00BB675F"/>
    <w:rsid w:val="00BC133F"/>
    <w:rsid w:val="00BC1D75"/>
    <w:rsid w:val="00BD05E4"/>
    <w:rsid w:val="00BD0936"/>
    <w:rsid w:val="00BD17B0"/>
    <w:rsid w:val="00BD3715"/>
    <w:rsid w:val="00BD4630"/>
    <w:rsid w:val="00BD4EBD"/>
    <w:rsid w:val="00BD5A47"/>
    <w:rsid w:val="00BD6E76"/>
    <w:rsid w:val="00BE6717"/>
    <w:rsid w:val="00BF36AE"/>
    <w:rsid w:val="00BF4092"/>
    <w:rsid w:val="00BF44F1"/>
    <w:rsid w:val="00BF4CD9"/>
    <w:rsid w:val="00C02E39"/>
    <w:rsid w:val="00C0301A"/>
    <w:rsid w:val="00C04F1A"/>
    <w:rsid w:val="00C05CCC"/>
    <w:rsid w:val="00C07088"/>
    <w:rsid w:val="00C07D5F"/>
    <w:rsid w:val="00C07F35"/>
    <w:rsid w:val="00C15993"/>
    <w:rsid w:val="00C17C49"/>
    <w:rsid w:val="00C22B1C"/>
    <w:rsid w:val="00C23E32"/>
    <w:rsid w:val="00C24B73"/>
    <w:rsid w:val="00C2555B"/>
    <w:rsid w:val="00C26D3E"/>
    <w:rsid w:val="00C30EA3"/>
    <w:rsid w:val="00C31E67"/>
    <w:rsid w:val="00C325BB"/>
    <w:rsid w:val="00C33A4A"/>
    <w:rsid w:val="00C4086A"/>
    <w:rsid w:val="00C42CA5"/>
    <w:rsid w:val="00C42FAF"/>
    <w:rsid w:val="00C456DD"/>
    <w:rsid w:val="00C47E7D"/>
    <w:rsid w:val="00C52DA0"/>
    <w:rsid w:val="00C53031"/>
    <w:rsid w:val="00C56AD1"/>
    <w:rsid w:val="00C60BBC"/>
    <w:rsid w:val="00C6644B"/>
    <w:rsid w:val="00C668FF"/>
    <w:rsid w:val="00C67861"/>
    <w:rsid w:val="00C7532A"/>
    <w:rsid w:val="00C7663D"/>
    <w:rsid w:val="00C779DC"/>
    <w:rsid w:val="00C80ADA"/>
    <w:rsid w:val="00C81DF4"/>
    <w:rsid w:val="00C83132"/>
    <w:rsid w:val="00C864DC"/>
    <w:rsid w:val="00C908E5"/>
    <w:rsid w:val="00C9156E"/>
    <w:rsid w:val="00C947C0"/>
    <w:rsid w:val="00C947CE"/>
    <w:rsid w:val="00C95072"/>
    <w:rsid w:val="00C95F04"/>
    <w:rsid w:val="00C97E6F"/>
    <w:rsid w:val="00CA079E"/>
    <w:rsid w:val="00CA135D"/>
    <w:rsid w:val="00CA1722"/>
    <w:rsid w:val="00CA1806"/>
    <w:rsid w:val="00CA5872"/>
    <w:rsid w:val="00CA78F9"/>
    <w:rsid w:val="00CA7CAF"/>
    <w:rsid w:val="00CB06F8"/>
    <w:rsid w:val="00CB18B1"/>
    <w:rsid w:val="00CB2736"/>
    <w:rsid w:val="00CB38CA"/>
    <w:rsid w:val="00CB5712"/>
    <w:rsid w:val="00CB6969"/>
    <w:rsid w:val="00CB6F2B"/>
    <w:rsid w:val="00CB7254"/>
    <w:rsid w:val="00CC0CB0"/>
    <w:rsid w:val="00CC1067"/>
    <w:rsid w:val="00CC3D3D"/>
    <w:rsid w:val="00CC3DF9"/>
    <w:rsid w:val="00CC65C5"/>
    <w:rsid w:val="00CC73AB"/>
    <w:rsid w:val="00CD12BC"/>
    <w:rsid w:val="00CD3324"/>
    <w:rsid w:val="00CD46EA"/>
    <w:rsid w:val="00CD4A18"/>
    <w:rsid w:val="00CD575C"/>
    <w:rsid w:val="00CD6257"/>
    <w:rsid w:val="00CD6E1E"/>
    <w:rsid w:val="00CD7A9C"/>
    <w:rsid w:val="00CE0770"/>
    <w:rsid w:val="00CE6C6E"/>
    <w:rsid w:val="00CE76FD"/>
    <w:rsid w:val="00CF177F"/>
    <w:rsid w:val="00CF2033"/>
    <w:rsid w:val="00CF5DF2"/>
    <w:rsid w:val="00CF6C98"/>
    <w:rsid w:val="00D0061B"/>
    <w:rsid w:val="00D012CF"/>
    <w:rsid w:val="00D016C3"/>
    <w:rsid w:val="00D01832"/>
    <w:rsid w:val="00D01DC0"/>
    <w:rsid w:val="00D02C28"/>
    <w:rsid w:val="00D02E81"/>
    <w:rsid w:val="00D0526B"/>
    <w:rsid w:val="00D07AA2"/>
    <w:rsid w:val="00D1081A"/>
    <w:rsid w:val="00D15569"/>
    <w:rsid w:val="00D15A44"/>
    <w:rsid w:val="00D160DE"/>
    <w:rsid w:val="00D21C96"/>
    <w:rsid w:val="00D30074"/>
    <w:rsid w:val="00D30854"/>
    <w:rsid w:val="00D31127"/>
    <w:rsid w:val="00D320FC"/>
    <w:rsid w:val="00D333B4"/>
    <w:rsid w:val="00D3359F"/>
    <w:rsid w:val="00D35FF4"/>
    <w:rsid w:val="00D40C89"/>
    <w:rsid w:val="00D41337"/>
    <w:rsid w:val="00D47B55"/>
    <w:rsid w:val="00D47B8A"/>
    <w:rsid w:val="00D50703"/>
    <w:rsid w:val="00D531E4"/>
    <w:rsid w:val="00D53C47"/>
    <w:rsid w:val="00D53E59"/>
    <w:rsid w:val="00D60057"/>
    <w:rsid w:val="00D60444"/>
    <w:rsid w:val="00D605B1"/>
    <w:rsid w:val="00D60D98"/>
    <w:rsid w:val="00D6181D"/>
    <w:rsid w:val="00D61D5F"/>
    <w:rsid w:val="00D61FAA"/>
    <w:rsid w:val="00D62038"/>
    <w:rsid w:val="00D628D2"/>
    <w:rsid w:val="00D62FEC"/>
    <w:rsid w:val="00D65C4E"/>
    <w:rsid w:val="00D67EA6"/>
    <w:rsid w:val="00D71EA0"/>
    <w:rsid w:val="00D72157"/>
    <w:rsid w:val="00D721F1"/>
    <w:rsid w:val="00D73F33"/>
    <w:rsid w:val="00D74A93"/>
    <w:rsid w:val="00D77A56"/>
    <w:rsid w:val="00D80B6D"/>
    <w:rsid w:val="00D80C55"/>
    <w:rsid w:val="00D80F78"/>
    <w:rsid w:val="00D8120C"/>
    <w:rsid w:val="00D84488"/>
    <w:rsid w:val="00D844C8"/>
    <w:rsid w:val="00D84B7D"/>
    <w:rsid w:val="00D84F78"/>
    <w:rsid w:val="00D8513A"/>
    <w:rsid w:val="00D85BBB"/>
    <w:rsid w:val="00D85FB4"/>
    <w:rsid w:val="00D879CA"/>
    <w:rsid w:val="00D906BE"/>
    <w:rsid w:val="00D943AD"/>
    <w:rsid w:val="00D9690A"/>
    <w:rsid w:val="00DA2C91"/>
    <w:rsid w:val="00DA5316"/>
    <w:rsid w:val="00DA7B87"/>
    <w:rsid w:val="00DB0343"/>
    <w:rsid w:val="00DB342A"/>
    <w:rsid w:val="00DB3E19"/>
    <w:rsid w:val="00DB63D9"/>
    <w:rsid w:val="00DB7121"/>
    <w:rsid w:val="00DB7E77"/>
    <w:rsid w:val="00DC0BD6"/>
    <w:rsid w:val="00DC0F17"/>
    <w:rsid w:val="00DC30D0"/>
    <w:rsid w:val="00DC37CE"/>
    <w:rsid w:val="00DC422E"/>
    <w:rsid w:val="00DD1F5E"/>
    <w:rsid w:val="00DD2DD1"/>
    <w:rsid w:val="00DD4803"/>
    <w:rsid w:val="00DD639C"/>
    <w:rsid w:val="00DD67DA"/>
    <w:rsid w:val="00DD7940"/>
    <w:rsid w:val="00DE1840"/>
    <w:rsid w:val="00DE1B89"/>
    <w:rsid w:val="00DE476A"/>
    <w:rsid w:val="00DE5007"/>
    <w:rsid w:val="00DE59C6"/>
    <w:rsid w:val="00DF2E5A"/>
    <w:rsid w:val="00DF3A69"/>
    <w:rsid w:val="00DF4305"/>
    <w:rsid w:val="00DF4D81"/>
    <w:rsid w:val="00DF658B"/>
    <w:rsid w:val="00E00DC6"/>
    <w:rsid w:val="00E04B02"/>
    <w:rsid w:val="00E058A3"/>
    <w:rsid w:val="00E10ABF"/>
    <w:rsid w:val="00E130CB"/>
    <w:rsid w:val="00E151F3"/>
    <w:rsid w:val="00E17539"/>
    <w:rsid w:val="00E23A7D"/>
    <w:rsid w:val="00E244E6"/>
    <w:rsid w:val="00E27028"/>
    <w:rsid w:val="00E32995"/>
    <w:rsid w:val="00E32C50"/>
    <w:rsid w:val="00E3404F"/>
    <w:rsid w:val="00E41E9C"/>
    <w:rsid w:val="00E423C3"/>
    <w:rsid w:val="00E4323F"/>
    <w:rsid w:val="00E4469C"/>
    <w:rsid w:val="00E450AB"/>
    <w:rsid w:val="00E47059"/>
    <w:rsid w:val="00E5280E"/>
    <w:rsid w:val="00E52CEE"/>
    <w:rsid w:val="00E53A7F"/>
    <w:rsid w:val="00E54A8E"/>
    <w:rsid w:val="00E563FC"/>
    <w:rsid w:val="00E57F9B"/>
    <w:rsid w:val="00E60634"/>
    <w:rsid w:val="00E607C0"/>
    <w:rsid w:val="00E6319B"/>
    <w:rsid w:val="00E6550B"/>
    <w:rsid w:val="00E6726D"/>
    <w:rsid w:val="00E70FBC"/>
    <w:rsid w:val="00E74000"/>
    <w:rsid w:val="00E7623C"/>
    <w:rsid w:val="00E80764"/>
    <w:rsid w:val="00E80FCB"/>
    <w:rsid w:val="00E81433"/>
    <w:rsid w:val="00E81C95"/>
    <w:rsid w:val="00E845C0"/>
    <w:rsid w:val="00E852A3"/>
    <w:rsid w:val="00E914B7"/>
    <w:rsid w:val="00E93103"/>
    <w:rsid w:val="00EA0295"/>
    <w:rsid w:val="00EA0C1C"/>
    <w:rsid w:val="00EA477A"/>
    <w:rsid w:val="00EA5CA0"/>
    <w:rsid w:val="00EA5D92"/>
    <w:rsid w:val="00EB083E"/>
    <w:rsid w:val="00EB307B"/>
    <w:rsid w:val="00EB5354"/>
    <w:rsid w:val="00EC2DC7"/>
    <w:rsid w:val="00EC3779"/>
    <w:rsid w:val="00EC71DE"/>
    <w:rsid w:val="00EC7F0E"/>
    <w:rsid w:val="00ED2D1F"/>
    <w:rsid w:val="00ED58E9"/>
    <w:rsid w:val="00ED700E"/>
    <w:rsid w:val="00ED79D6"/>
    <w:rsid w:val="00EE1831"/>
    <w:rsid w:val="00EE3DAD"/>
    <w:rsid w:val="00EF2F7C"/>
    <w:rsid w:val="00EF3FC0"/>
    <w:rsid w:val="00EF61B5"/>
    <w:rsid w:val="00F00A40"/>
    <w:rsid w:val="00F00A6E"/>
    <w:rsid w:val="00F05773"/>
    <w:rsid w:val="00F0773E"/>
    <w:rsid w:val="00F115D1"/>
    <w:rsid w:val="00F12CED"/>
    <w:rsid w:val="00F12DCE"/>
    <w:rsid w:val="00F13496"/>
    <w:rsid w:val="00F14346"/>
    <w:rsid w:val="00F14982"/>
    <w:rsid w:val="00F22A26"/>
    <w:rsid w:val="00F23C0F"/>
    <w:rsid w:val="00F2598D"/>
    <w:rsid w:val="00F26166"/>
    <w:rsid w:val="00F32739"/>
    <w:rsid w:val="00F32845"/>
    <w:rsid w:val="00F336A2"/>
    <w:rsid w:val="00F36BA0"/>
    <w:rsid w:val="00F411C5"/>
    <w:rsid w:val="00F44AEB"/>
    <w:rsid w:val="00F45620"/>
    <w:rsid w:val="00F5304D"/>
    <w:rsid w:val="00F532E2"/>
    <w:rsid w:val="00F5470D"/>
    <w:rsid w:val="00F5638B"/>
    <w:rsid w:val="00F60301"/>
    <w:rsid w:val="00F628BC"/>
    <w:rsid w:val="00F628FC"/>
    <w:rsid w:val="00F7033F"/>
    <w:rsid w:val="00F70DD4"/>
    <w:rsid w:val="00F7277F"/>
    <w:rsid w:val="00F72E32"/>
    <w:rsid w:val="00F73B85"/>
    <w:rsid w:val="00F747EC"/>
    <w:rsid w:val="00F829B7"/>
    <w:rsid w:val="00F82DF0"/>
    <w:rsid w:val="00F84A4F"/>
    <w:rsid w:val="00F84ACE"/>
    <w:rsid w:val="00F8617B"/>
    <w:rsid w:val="00F863D7"/>
    <w:rsid w:val="00F9173C"/>
    <w:rsid w:val="00F975AD"/>
    <w:rsid w:val="00FA2D1E"/>
    <w:rsid w:val="00FA35EB"/>
    <w:rsid w:val="00FA6EE9"/>
    <w:rsid w:val="00FB18D0"/>
    <w:rsid w:val="00FB2241"/>
    <w:rsid w:val="00FB2315"/>
    <w:rsid w:val="00FB2ED6"/>
    <w:rsid w:val="00FB412B"/>
    <w:rsid w:val="00FB42E5"/>
    <w:rsid w:val="00FB58C3"/>
    <w:rsid w:val="00FB59EE"/>
    <w:rsid w:val="00FB6B8F"/>
    <w:rsid w:val="00FC2522"/>
    <w:rsid w:val="00FC3C77"/>
    <w:rsid w:val="00FC5B56"/>
    <w:rsid w:val="00FD181C"/>
    <w:rsid w:val="00FD4B12"/>
    <w:rsid w:val="00FD5009"/>
    <w:rsid w:val="00FD55C9"/>
    <w:rsid w:val="00FD62DC"/>
    <w:rsid w:val="00FD65D3"/>
    <w:rsid w:val="00FD6A70"/>
    <w:rsid w:val="00FE1D87"/>
    <w:rsid w:val="00FE1EC8"/>
    <w:rsid w:val="00FE3560"/>
    <w:rsid w:val="00FE3E09"/>
    <w:rsid w:val="00FE4FBF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https://www.bcas.cz/o-nas/broker-consulting-index-hypotecnich-uveru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hyperlink" Target="mailto:michaela.sahulova@bcas.cz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7A71F-B0D2-4772-9600-98249ED18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1109</Words>
  <Characters>6546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24</cp:revision>
  <cp:lastPrinted>2023-03-06T11:31:00Z</cp:lastPrinted>
  <dcterms:created xsi:type="dcterms:W3CDTF">2023-10-10T10:46:00Z</dcterms:created>
  <dcterms:modified xsi:type="dcterms:W3CDTF">2023-11-14T09:32:00Z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