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2232FC82"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Broker Consulting je jednou z největších společností na českém a slovenském trhu, která poskytuje služby v oblasti financí a realit. Od rok</w:t>
          </w:r>
          <w:r w:rsidR="008171F9">
            <w:rPr>
              <w:rFonts w:asciiTheme="minorHAnsi" w:hAnsiTheme="minorHAnsi" w:cstheme="minorHAnsi"/>
              <w:sz w:val="20"/>
              <w:szCs w:val="20"/>
            </w:rPr>
            <w:t>u 1998 získala důvěru více než 7</w:t>
          </w:r>
          <w:r w:rsidRPr="00BC331D">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w:t>
          </w:r>
          <w:r w:rsidR="00477DC5">
            <w:rPr>
              <w:rFonts w:asciiTheme="minorHAnsi" w:hAnsiTheme="minorHAnsi" w:cstheme="minorHAnsi"/>
              <w:sz w:val="20"/>
              <w:szCs w:val="20"/>
            </w:rPr>
            <w:t>cování v ČR i SR) ve více než 15</w:t>
          </w:r>
          <w:r w:rsidRPr="00BC331D">
            <w:rPr>
              <w:rFonts w:asciiTheme="minorHAnsi" w:hAnsiTheme="minorHAnsi" w:cstheme="minorHAnsi"/>
              <w:sz w:val="20"/>
              <w:szCs w:val="20"/>
            </w:rPr>
            <w:t xml:space="preserve">0 kancelářích a </w:t>
          </w:r>
          <w:r w:rsidR="00477DC5">
            <w:rPr>
              <w:rFonts w:asciiTheme="minorHAnsi" w:hAnsiTheme="minorHAnsi" w:cstheme="minorHAnsi"/>
              <w:sz w:val="20"/>
              <w:szCs w:val="20"/>
            </w:rPr>
            <w:t>několika desítek poboček</w:t>
          </w:r>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10BF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A10BF9" w:rsidRPr="00A0680F">
            <w:rPr>
              <w:rFonts w:asciiTheme="minorHAnsi" w:hAnsiTheme="minorHAnsi" w:cstheme="minorHAnsi"/>
              <w:b/>
              <w:color w:val="FF0000"/>
              <w:sz w:val="20"/>
              <w:szCs w:val="20"/>
            </w:rPr>
            <w:t>Franchisor</w:t>
          </w:r>
          <w:proofErr w:type="spellEnd"/>
          <w:r w:rsidR="00A10BF9" w:rsidRPr="00A0680F">
            <w:rPr>
              <w:rFonts w:asciiTheme="minorHAnsi" w:hAnsiTheme="minorHAnsi" w:cstheme="minorHAnsi"/>
              <w:b/>
              <w:color w:val="FF0000"/>
              <w:sz w:val="20"/>
              <w:szCs w:val="20"/>
            </w:rPr>
            <w:t xml:space="preserve"> roku 2022</w:t>
          </w:r>
          <w:r w:rsidR="00A10BF9" w:rsidRPr="00A0680F">
            <w:rPr>
              <w:rFonts w:asciiTheme="minorHAnsi" w:hAnsiTheme="minorHAnsi" w:cstheme="minorHAnsi"/>
              <w:color w:val="FF0000"/>
              <w:sz w:val="20"/>
              <w:szCs w:val="20"/>
            </w:rPr>
            <w:t xml:space="preserve"> </w:t>
          </w:r>
          <w:r w:rsidR="00A10BF9">
            <w:rPr>
              <w:rFonts w:asciiTheme="minorHAnsi" w:hAnsiTheme="minorHAnsi" w:cstheme="minorHAnsi"/>
              <w:sz w:val="20"/>
              <w:szCs w:val="20"/>
            </w:rPr>
            <w:t xml:space="preserve">od České asociace </w:t>
          </w:r>
          <w:proofErr w:type="spellStart"/>
          <w:r w:rsidR="00A10BF9">
            <w:rPr>
              <w:rFonts w:asciiTheme="minorHAnsi" w:hAnsiTheme="minorHAnsi" w:cstheme="minorHAnsi"/>
              <w:sz w:val="20"/>
              <w:szCs w:val="20"/>
            </w:rPr>
            <w:t>franchisingu</w:t>
          </w:r>
          <w:proofErr w:type="spellEnd"/>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0022066E">
            <w:rPr>
              <w:rStyle w:val="dn"/>
              <w:rFonts w:asciiTheme="minorHAnsi" w:hAnsiTheme="minorHAnsi" w:cstheme="minorHAnsi"/>
              <w:sz w:val="20"/>
              <w:szCs w:val="20"/>
            </w:rPr>
            <w:t>OK POINTŮ</w:t>
          </w:r>
          <w:r w:rsidRPr="00BC331D">
            <w:rPr>
              <w:rStyle w:val="dn"/>
              <w:rFonts w:asciiTheme="minorHAnsi" w:hAnsiTheme="minorHAnsi" w:cstheme="minorHAnsi"/>
              <w:sz w:val="20"/>
              <w:szCs w:val="20"/>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A04BAE"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6A10485D" w14:textId="649FD664" w:rsidR="00704D83" w:rsidRPr="00AD647D" w:rsidRDefault="00704D83" w:rsidP="0053728E">
      <w:pPr>
        <w:rPr>
          <w:rFonts w:asciiTheme="minorHAnsi" w:hAnsiTheme="minorHAnsi" w:cstheme="minorHAnsi"/>
          <w:b/>
          <w:sz w:val="28"/>
          <w:szCs w:val="28"/>
        </w:rPr>
      </w:pPr>
    </w:p>
    <w:p w14:paraId="265F124C" w14:textId="7E60E218" w:rsidR="00112CC0" w:rsidRPr="00FA69C2" w:rsidRDefault="007F3E94" w:rsidP="003D47CB">
      <w:pPr>
        <w:spacing w:after="200"/>
        <w:jc w:val="center"/>
        <w:rPr>
          <w:rFonts w:asciiTheme="minorHAnsi" w:hAnsiTheme="minorHAnsi" w:cstheme="minorHAnsi"/>
          <w:b/>
          <w:sz w:val="28"/>
          <w:szCs w:val="28"/>
        </w:rPr>
      </w:pPr>
      <w:r w:rsidRPr="00FA69C2">
        <w:rPr>
          <w:rFonts w:asciiTheme="minorHAnsi" w:hAnsiTheme="minorHAnsi" w:cstheme="minorHAnsi"/>
          <w:b/>
          <w:sz w:val="28"/>
          <w:szCs w:val="28"/>
        </w:rPr>
        <w:t xml:space="preserve">Úrokové sazby </w:t>
      </w:r>
      <w:r w:rsidR="00DC2FCA" w:rsidRPr="00FA69C2">
        <w:rPr>
          <w:rFonts w:asciiTheme="minorHAnsi" w:hAnsiTheme="minorHAnsi" w:cstheme="minorHAnsi"/>
          <w:b/>
          <w:sz w:val="28"/>
          <w:szCs w:val="28"/>
        </w:rPr>
        <w:t>v září opět vzrostly</w:t>
      </w:r>
    </w:p>
    <w:p w14:paraId="5A945737" w14:textId="0DA6BE58" w:rsidR="00112CC0" w:rsidRPr="00FA69C2" w:rsidRDefault="00112CC0" w:rsidP="00112CC0">
      <w:pPr>
        <w:pStyle w:val="Odstavecseseznamem"/>
        <w:numPr>
          <w:ilvl w:val="0"/>
          <w:numId w:val="4"/>
        </w:numPr>
        <w:ind w:left="357" w:right="40" w:hanging="357"/>
        <w:rPr>
          <w:rFonts w:asciiTheme="minorHAnsi" w:eastAsiaTheme="minorHAnsi" w:hAnsiTheme="minorHAnsi" w:cstheme="minorHAnsi"/>
          <w:b/>
          <w:sz w:val="21"/>
          <w:szCs w:val="21"/>
          <w:lang w:bidi="ar-SA"/>
        </w:rPr>
      </w:pPr>
      <w:r w:rsidRPr="00FA69C2">
        <w:rPr>
          <w:rFonts w:asciiTheme="minorHAnsi" w:eastAsiaTheme="minorHAnsi" w:hAnsiTheme="minorHAnsi" w:cstheme="minorHAnsi"/>
          <w:b/>
          <w:sz w:val="21"/>
          <w:szCs w:val="21"/>
          <w:lang w:bidi="ar-SA"/>
        </w:rPr>
        <w:t>Broker Consulting Index spotřeb</w:t>
      </w:r>
      <w:r w:rsidR="00DB0F40" w:rsidRPr="00FA69C2">
        <w:rPr>
          <w:rFonts w:asciiTheme="minorHAnsi" w:eastAsiaTheme="minorHAnsi" w:hAnsiTheme="minorHAnsi" w:cstheme="minorHAnsi"/>
          <w:b/>
          <w:sz w:val="21"/>
          <w:szCs w:val="21"/>
          <w:lang w:bidi="ar-SA"/>
        </w:rPr>
        <w:t xml:space="preserve">itelských úvěrů </w:t>
      </w:r>
      <w:r w:rsidR="00A22B56" w:rsidRPr="00FA69C2">
        <w:rPr>
          <w:rFonts w:asciiTheme="minorHAnsi" w:eastAsiaTheme="minorHAnsi" w:hAnsiTheme="minorHAnsi" w:cstheme="minorHAnsi"/>
          <w:b/>
          <w:sz w:val="21"/>
          <w:szCs w:val="21"/>
          <w:lang w:bidi="ar-SA"/>
        </w:rPr>
        <w:t>dosáhl v září hodnoty 9,42</w:t>
      </w:r>
      <w:r w:rsidR="007F3E94" w:rsidRPr="00FA69C2">
        <w:rPr>
          <w:rFonts w:asciiTheme="minorHAnsi" w:eastAsiaTheme="minorHAnsi" w:hAnsiTheme="minorHAnsi" w:cstheme="minorHAnsi"/>
          <w:b/>
          <w:sz w:val="21"/>
          <w:szCs w:val="21"/>
          <w:lang w:bidi="ar-SA"/>
        </w:rPr>
        <w:t xml:space="preserve"> procent</w:t>
      </w:r>
      <w:r w:rsidR="00A566B1" w:rsidRPr="00FA69C2">
        <w:rPr>
          <w:rFonts w:asciiTheme="minorHAnsi" w:eastAsiaTheme="minorHAnsi" w:hAnsiTheme="minorHAnsi" w:cstheme="minorHAnsi"/>
          <w:b/>
          <w:sz w:val="21"/>
          <w:szCs w:val="21"/>
          <w:lang w:bidi="ar-SA"/>
        </w:rPr>
        <w:t>a</w:t>
      </w:r>
    </w:p>
    <w:p w14:paraId="4B854038" w14:textId="2E9DBE3B" w:rsidR="00112CC0" w:rsidRPr="00FA69C2" w:rsidRDefault="00DC2FCA" w:rsidP="00A22B56">
      <w:pPr>
        <w:pStyle w:val="Odstavecseseznamem"/>
        <w:numPr>
          <w:ilvl w:val="0"/>
          <w:numId w:val="4"/>
        </w:numPr>
        <w:ind w:left="357" w:right="40" w:hanging="357"/>
        <w:rPr>
          <w:rFonts w:asciiTheme="minorHAnsi" w:eastAsiaTheme="minorHAnsi" w:hAnsiTheme="minorHAnsi" w:cstheme="minorHAnsi"/>
          <w:b/>
          <w:sz w:val="21"/>
          <w:szCs w:val="21"/>
          <w:lang w:bidi="ar-SA"/>
        </w:rPr>
      </w:pPr>
      <w:r w:rsidRPr="00FA69C2">
        <w:rPr>
          <w:rFonts w:asciiTheme="minorHAnsi" w:eastAsiaTheme="minorHAnsi" w:hAnsiTheme="minorHAnsi" w:cstheme="minorHAnsi"/>
          <w:b/>
          <w:sz w:val="21"/>
          <w:szCs w:val="21"/>
          <w:lang w:bidi="ar-SA"/>
        </w:rPr>
        <w:t xml:space="preserve">Výsledná </w:t>
      </w:r>
      <w:r w:rsidR="007F3E94" w:rsidRPr="00FA69C2">
        <w:rPr>
          <w:rFonts w:asciiTheme="minorHAnsi" w:eastAsiaTheme="minorHAnsi" w:hAnsiTheme="minorHAnsi" w:cstheme="minorHAnsi"/>
          <w:b/>
          <w:sz w:val="21"/>
          <w:szCs w:val="21"/>
          <w:lang w:bidi="ar-SA"/>
        </w:rPr>
        <w:t>hodnota</w:t>
      </w:r>
      <w:r w:rsidR="005411AC" w:rsidRPr="00FA69C2">
        <w:rPr>
          <w:rFonts w:asciiTheme="minorHAnsi" w:eastAsiaTheme="minorHAnsi" w:hAnsiTheme="minorHAnsi" w:cstheme="minorHAnsi"/>
          <w:b/>
          <w:sz w:val="21"/>
          <w:szCs w:val="21"/>
          <w:lang w:bidi="ar-SA"/>
        </w:rPr>
        <w:t xml:space="preserve"> </w:t>
      </w:r>
      <w:r w:rsidR="00A22B56" w:rsidRPr="00FA69C2">
        <w:rPr>
          <w:rFonts w:asciiTheme="minorHAnsi" w:eastAsiaTheme="minorHAnsi" w:hAnsiTheme="minorHAnsi" w:cstheme="minorHAnsi"/>
          <w:b/>
          <w:sz w:val="21"/>
          <w:szCs w:val="21"/>
          <w:lang w:bidi="ar-SA"/>
        </w:rPr>
        <w:t xml:space="preserve">je prakticky </w:t>
      </w:r>
      <w:r w:rsidRPr="00FA69C2">
        <w:rPr>
          <w:rFonts w:asciiTheme="minorHAnsi" w:eastAsiaTheme="minorHAnsi" w:hAnsiTheme="minorHAnsi" w:cstheme="minorHAnsi"/>
          <w:b/>
          <w:sz w:val="21"/>
          <w:szCs w:val="21"/>
          <w:lang w:bidi="ar-SA"/>
        </w:rPr>
        <w:t>na stejné úrovni jako byla v říjnu 2022</w:t>
      </w:r>
    </w:p>
    <w:p w14:paraId="4FEB0D39" w14:textId="12C2AB53" w:rsidR="007F3E94" w:rsidRPr="00FA69C2" w:rsidRDefault="007F3E94" w:rsidP="00112CC0">
      <w:pPr>
        <w:pStyle w:val="Odstavecseseznamem"/>
        <w:numPr>
          <w:ilvl w:val="0"/>
          <w:numId w:val="4"/>
        </w:numPr>
        <w:ind w:left="357" w:right="40" w:hanging="357"/>
        <w:rPr>
          <w:rFonts w:asciiTheme="minorHAnsi" w:eastAsiaTheme="minorHAnsi" w:hAnsiTheme="minorHAnsi" w:cstheme="minorHAnsi"/>
          <w:b/>
          <w:sz w:val="21"/>
          <w:szCs w:val="21"/>
          <w:lang w:bidi="ar-SA"/>
        </w:rPr>
      </w:pPr>
      <w:r w:rsidRPr="00FA69C2">
        <w:rPr>
          <w:rFonts w:asciiTheme="minorHAnsi" w:eastAsiaTheme="minorHAnsi" w:hAnsiTheme="minorHAnsi" w:cstheme="minorHAnsi"/>
          <w:b/>
          <w:sz w:val="21"/>
          <w:szCs w:val="21"/>
          <w:lang w:bidi="ar-SA"/>
        </w:rPr>
        <w:t xml:space="preserve">Za </w:t>
      </w:r>
      <w:r w:rsidR="001352B7">
        <w:rPr>
          <w:rFonts w:asciiTheme="minorHAnsi" w:eastAsiaTheme="minorHAnsi" w:hAnsiTheme="minorHAnsi" w:cstheme="minorHAnsi"/>
          <w:b/>
          <w:sz w:val="21"/>
          <w:szCs w:val="21"/>
          <w:lang w:bidi="ar-SA"/>
        </w:rPr>
        <w:t>jedno</w:t>
      </w:r>
      <w:r w:rsidR="00DC2FCA" w:rsidRPr="00FA69C2">
        <w:rPr>
          <w:rFonts w:asciiTheme="minorHAnsi" w:eastAsiaTheme="minorHAnsi" w:hAnsiTheme="minorHAnsi" w:cstheme="minorHAnsi"/>
          <w:b/>
          <w:sz w:val="21"/>
          <w:szCs w:val="21"/>
          <w:lang w:bidi="ar-SA"/>
        </w:rPr>
        <w:t>procentním nárůstem</w:t>
      </w:r>
      <w:r w:rsidRPr="00FA69C2">
        <w:rPr>
          <w:rFonts w:asciiTheme="minorHAnsi" w:eastAsiaTheme="minorHAnsi" w:hAnsiTheme="minorHAnsi" w:cstheme="minorHAnsi"/>
          <w:b/>
          <w:sz w:val="21"/>
          <w:szCs w:val="21"/>
          <w:lang w:bidi="ar-SA"/>
        </w:rPr>
        <w:t xml:space="preserve"> stojí </w:t>
      </w:r>
      <w:r w:rsidR="00DC2FCA" w:rsidRPr="00FA69C2">
        <w:rPr>
          <w:rFonts w:asciiTheme="minorHAnsi" w:eastAsiaTheme="minorHAnsi" w:hAnsiTheme="minorHAnsi" w:cstheme="minorHAnsi"/>
          <w:b/>
          <w:sz w:val="21"/>
          <w:szCs w:val="21"/>
          <w:lang w:bidi="ar-SA"/>
        </w:rPr>
        <w:t>především předchozí prázdninový pokles průměrných úrokových sazeb</w:t>
      </w:r>
    </w:p>
    <w:p w14:paraId="32E19872" w14:textId="7FB2F881" w:rsidR="007F3E94" w:rsidRPr="0049280D" w:rsidRDefault="007F3E94" w:rsidP="007F3E94">
      <w:pPr>
        <w:ind w:right="40"/>
        <w:rPr>
          <w:rFonts w:asciiTheme="minorHAnsi" w:eastAsiaTheme="minorHAnsi" w:hAnsiTheme="minorHAnsi" w:cstheme="minorHAnsi"/>
          <w:b/>
          <w:sz w:val="21"/>
          <w:szCs w:val="21"/>
          <w:lang w:bidi="ar-SA"/>
        </w:rPr>
      </w:pPr>
    </w:p>
    <w:p w14:paraId="1D70A45A" w14:textId="15C549E2" w:rsidR="00C94C33" w:rsidRPr="00E225BA" w:rsidRDefault="008C3A59" w:rsidP="00320E0F">
      <w:pPr>
        <w:spacing w:after="200"/>
        <w:rPr>
          <w:rFonts w:asciiTheme="minorHAnsi" w:hAnsiTheme="minorHAnsi" w:cstheme="minorHAnsi"/>
          <w:b/>
          <w:sz w:val="21"/>
          <w:szCs w:val="21"/>
        </w:rPr>
      </w:pPr>
      <w:r w:rsidRPr="0049280D">
        <w:rPr>
          <w:rFonts w:asciiTheme="minorHAnsi" w:hAnsiTheme="minorHAnsi" w:cstheme="minorHAnsi"/>
          <w:b/>
          <w:i/>
          <w:sz w:val="21"/>
          <w:szCs w:val="21"/>
        </w:rPr>
        <w:t>Praha,</w:t>
      </w:r>
      <w:r w:rsidR="007F3E94" w:rsidRPr="0049280D">
        <w:rPr>
          <w:rFonts w:asciiTheme="minorHAnsi" w:hAnsiTheme="minorHAnsi" w:cstheme="minorHAnsi"/>
          <w:b/>
          <w:i/>
          <w:sz w:val="21"/>
          <w:szCs w:val="21"/>
        </w:rPr>
        <w:t xml:space="preserve"> </w:t>
      </w:r>
      <w:r w:rsidR="001352B7">
        <w:rPr>
          <w:rFonts w:asciiTheme="minorHAnsi" w:hAnsiTheme="minorHAnsi" w:cstheme="minorHAnsi"/>
          <w:b/>
          <w:i/>
          <w:sz w:val="21"/>
          <w:szCs w:val="21"/>
        </w:rPr>
        <w:t>10</w:t>
      </w:r>
      <w:r w:rsidR="00076D0E">
        <w:rPr>
          <w:rFonts w:asciiTheme="minorHAnsi" w:hAnsiTheme="minorHAnsi" w:cstheme="minorHAnsi"/>
          <w:b/>
          <w:i/>
          <w:sz w:val="21"/>
          <w:szCs w:val="21"/>
        </w:rPr>
        <w:t>. října</w:t>
      </w:r>
      <w:r w:rsidR="00F21D05" w:rsidRPr="00F640A4">
        <w:rPr>
          <w:rFonts w:asciiTheme="minorHAnsi" w:hAnsiTheme="minorHAnsi" w:cstheme="minorHAnsi"/>
          <w:b/>
          <w:i/>
          <w:sz w:val="21"/>
          <w:szCs w:val="21"/>
        </w:rPr>
        <w:t xml:space="preserve"> 2023</w:t>
      </w:r>
      <w:r w:rsidR="00F21D05" w:rsidRPr="0049280D">
        <w:rPr>
          <w:rFonts w:asciiTheme="minorHAnsi" w:hAnsiTheme="minorHAnsi" w:cstheme="minorHAnsi"/>
          <w:b/>
          <w:sz w:val="21"/>
          <w:szCs w:val="21"/>
        </w:rPr>
        <w:t xml:space="preserve"> </w:t>
      </w:r>
      <w:r w:rsidR="00FA69C2" w:rsidRPr="00E225BA">
        <w:rPr>
          <w:rFonts w:asciiTheme="minorHAnsi" w:hAnsiTheme="minorHAnsi" w:cstheme="minorHAnsi"/>
          <w:b/>
          <w:sz w:val="21"/>
          <w:szCs w:val="21"/>
        </w:rPr>
        <w:t xml:space="preserve">– Zářijová hodnota </w:t>
      </w:r>
      <w:r w:rsidR="007F3E94" w:rsidRPr="00E225BA">
        <w:rPr>
          <w:rFonts w:asciiTheme="minorHAnsi" w:hAnsiTheme="minorHAnsi" w:cstheme="minorHAnsi"/>
          <w:b/>
          <w:sz w:val="21"/>
          <w:szCs w:val="21"/>
        </w:rPr>
        <w:t xml:space="preserve">Broker Consulting Indexu spotřebitelských úvěrů </w:t>
      </w:r>
      <w:r w:rsidR="00805BDB" w:rsidRPr="00E225BA">
        <w:rPr>
          <w:rFonts w:asciiTheme="minorHAnsi" w:hAnsiTheme="minorHAnsi" w:cstheme="minorHAnsi"/>
          <w:b/>
          <w:sz w:val="21"/>
          <w:szCs w:val="21"/>
        </w:rPr>
        <w:t>dosáhla hodnoty 9,42 procenta</w:t>
      </w:r>
      <w:r w:rsidR="00FA69C2" w:rsidRPr="00E225BA">
        <w:rPr>
          <w:rFonts w:asciiTheme="minorHAnsi" w:hAnsiTheme="minorHAnsi" w:cstheme="minorHAnsi"/>
          <w:b/>
          <w:sz w:val="21"/>
          <w:szCs w:val="21"/>
        </w:rPr>
        <w:t>. V porovnání s předchozím měsícem tedy průměrná úrok</w:t>
      </w:r>
      <w:r w:rsidR="00805BDB" w:rsidRPr="00E225BA">
        <w:rPr>
          <w:rFonts w:asciiTheme="minorHAnsi" w:hAnsiTheme="minorHAnsi" w:cstheme="minorHAnsi"/>
          <w:b/>
          <w:sz w:val="21"/>
          <w:szCs w:val="21"/>
        </w:rPr>
        <w:t>ová sazba vzrostla přesně o jeden procentní bod.</w:t>
      </w:r>
      <w:r w:rsidR="00FA69C2" w:rsidRPr="00E225BA">
        <w:rPr>
          <w:rFonts w:asciiTheme="minorHAnsi" w:hAnsiTheme="minorHAnsi" w:cstheme="minorHAnsi"/>
          <w:b/>
          <w:sz w:val="21"/>
          <w:szCs w:val="21"/>
        </w:rPr>
        <w:t xml:space="preserve"> Důvodem </w:t>
      </w:r>
      <w:r w:rsidR="00805BDB" w:rsidRPr="00E225BA">
        <w:rPr>
          <w:rFonts w:asciiTheme="minorHAnsi" w:hAnsiTheme="minorHAnsi" w:cstheme="minorHAnsi"/>
          <w:b/>
          <w:sz w:val="21"/>
          <w:szCs w:val="21"/>
        </w:rPr>
        <w:t>nárůstu</w:t>
      </w:r>
      <w:r w:rsidR="00540563" w:rsidRPr="00E225BA">
        <w:rPr>
          <w:rFonts w:asciiTheme="minorHAnsi" w:hAnsiTheme="minorHAnsi" w:cstheme="minorHAnsi"/>
          <w:b/>
          <w:sz w:val="21"/>
          <w:szCs w:val="21"/>
        </w:rPr>
        <w:t xml:space="preserve"> je pokles sazeb v předchozích prázdninových měsících. Během </w:t>
      </w:r>
      <w:r w:rsidR="00805BDB" w:rsidRPr="00E225BA">
        <w:rPr>
          <w:rFonts w:asciiTheme="minorHAnsi" w:hAnsiTheme="minorHAnsi" w:cstheme="minorHAnsi"/>
          <w:b/>
          <w:sz w:val="21"/>
          <w:szCs w:val="21"/>
        </w:rPr>
        <w:t>nich kulminovaly</w:t>
      </w:r>
      <w:r w:rsidR="00540563" w:rsidRPr="00E225BA">
        <w:rPr>
          <w:rFonts w:asciiTheme="minorHAnsi" w:hAnsiTheme="minorHAnsi" w:cstheme="minorHAnsi"/>
          <w:b/>
          <w:sz w:val="21"/>
          <w:szCs w:val="21"/>
        </w:rPr>
        <w:t xml:space="preserve"> konkurenční nabídky bank na poli spotřebitelských úvěrů. </w:t>
      </w:r>
      <w:r w:rsidR="00C94C33" w:rsidRPr="00E225BA">
        <w:rPr>
          <w:rFonts w:asciiTheme="minorHAnsi" w:hAnsiTheme="minorHAnsi" w:cstheme="minorHAnsi"/>
          <w:b/>
          <w:sz w:val="21"/>
          <w:szCs w:val="21"/>
        </w:rPr>
        <w:t xml:space="preserve">Úroková sazba je právě to, co zájemce o bezúčelovou půjčku zajímá jako první. Analytici </w:t>
      </w:r>
      <w:r w:rsidR="00A61269" w:rsidRPr="00E225BA">
        <w:rPr>
          <w:rFonts w:asciiTheme="minorHAnsi" w:hAnsiTheme="minorHAnsi" w:cstheme="minorHAnsi"/>
          <w:b/>
          <w:sz w:val="21"/>
          <w:szCs w:val="21"/>
        </w:rPr>
        <w:t xml:space="preserve">z </w:t>
      </w:r>
      <w:proofErr w:type="gramStart"/>
      <w:r w:rsidR="00C94C33" w:rsidRPr="00E225BA">
        <w:rPr>
          <w:rFonts w:asciiTheme="minorHAnsi" w:hAnsiTheme="minorHAnsi" w:cstheme="minorHAnsi"/>
          <w:b/>
          <w:sz w:val="21"/>
          <w:szCs w:val="21"/>
        </w:rPr>
        <w:t>Broker</w:t>
      </w:r>
      <w:proofErr w:type="gramEnd"/>
      <w:r w:rsidR="00C94C33" w:rsidRPr="00E225BA">
        <w:rPr>
          <w:rFonts w:asciiTheme="minorHAnsi" w:hAnsiTheme="minorHAnsi" w:cstheme="minorHAnsi"/>
          <w:b/>
          <w:sz w:val="21"/>
          <w:szCs w:val="21"/>
        </w:rPr>
        <w:t xml:space="preserve"> Con</w:t>
      </w:r>
      <w:r w:rsidR="00170E0F" w:rsidRPr="00E225BA">
        <w:rPr>
          <w:rFonts w:asciiTheme="minorHAnsi" w:hAnsiTheme="minorHAnsi" w:cstheme="minorHAnsi"/>
          <w:b/>
          <w:sz w:val="21"/>
          <w:szCs w:val="21"/>
        </w:rPr>
        <w:t xml:space="preserve">sulting ale </w:t>
      </w:r>
      <w:r w:rsidR="00805BDB" w:rsidRPr="00E225BA">
        <w:rPr>
          <w:rFonts w:asciiTheme="minorHAnsi" w:hAnsiTheme="minorHAnsi" w:cstheme="minorHAnsi"/>
          <w:b/>
          <w:sz w:val="21"/>
          <w:szCs w:val="21"/>
        </w:rPr>
        <w:t>upozorňují: výše úroku v</w:t>
      </w:r>
      <w:r w:rsidR="00716355">
        <w:rPr>
          <w:rFonts w:asciiTheme="minorHAnsi" w:hAnsiTheme="minorHAnsi" w:cstheme="minorHAnsi"/>
          <w:b/>
          <w:sz w:val="21"/>
          <w:szCs w:val="21"/>
        </w:rPr>
        <w:t> reklamní nabídce</w:t>
      </w:r>
      <w:r w:rsidR="00805BDB" w:rsidRPr="00E225BA">
        <w:rPr>
          <w:rFonts w:asciiTheme="minorHAnsi" w:hAnsiTheme="minorHAnsi" w:cstheme="minorHAnsi"/>
          <w:b/>
          <w:sz w:val="21"/>
          <w:szCs w:val="21"/>
        </w:rPr>
        <w:t xml:space="preserve"> </w:t>
      </w:r>
      <w:r w:rsidR="00A61269" w:rsidRPr="00E225BA">
        <w:rPr>
          <w:rFonts w:asciiTheme="minorHAnsi" w:hAnsiTheme="minorHAnsi" w:cstheme="minorHAnsi"/>
          <w:b/>
          <w:sz w:val="21"/>
          <w:szCs w:val="21"/>
        </w:rPr>
        <w:t xml:space="preserve">se </w:t>
      </w:r>
      <w:r w:rsidR="00805BDB" w:rsidRPr="00E225BA">
        <w:rPr>
          <w:rFonts w:asciiTheme="minorHAnsi" w:hAnsiTheme="minorHAnsi" w:cstheme="minorHAnsi"/>
          <w:b/>
          <w:sz w:val="21"/>
          <w:szCs w:val="21"/>
        </w:rPr>
        <w:t xml:space="preserve">většinou </w:t>
      </w:r>
      <w:r w:rsidR="00A61269" w:rsidRPr="00E225BA">
        <w:rPr>
          <w:rFonts w:asciiTheme="minorHAnsi" w:hAnsiTheme="minorHAnsi" w:cstheme="minorHAnsi"/>
          <w:b/>
          <w:sz w:val="21"/>
          <w:szCs w:val="21"/>
        </w:rPr>
        <w:t xml:space="preserve">neshoduje s tím, </w:t>
      </w:r>
      <w:r w:rsidR="001352B7">
        <w:rPr>
          <w:rFonts w:asciiTheme="minorHAnsi" w:hAnsiTheme="minorHAnsi" w:cstheme="minorHAnsi"/>
          <w:b/>
          <w:sz w:val="21"/>
          <w:szCs w:val="21"/>
        </w:rPr>
        <w:t>jakou</w:t>
      </w:r>
      <w:r w:rsidR="00170E0F" w:rsidRPr="00E225BA">
        <w:rPr>
          <w:rFonts w:asciiTheme="minorHAnsi" w:hAnsiTheme="minorHAnsi" w:cstheme="minorHAnsi"/>
          <w:b/>
          <w:sz w:val="21"/>
          <w:szCs w:val="21"/>
        </w:rPr>
        <w:t xml:space="preserve"> RPSN klienti od banky ve skutečnosti dostanou</w:t>
      </w:r>
      <w:r w:rsidR="00A61269" w:rsidRPr="00E225BA">
        <w:rPr>
          <w:rFonts w:asciiTheme="minorHAnsi" w:hAnsiTheme="minorHAnsi" w:cstheme="minorHAnsi"/>
          <w:b/>
          <w:sz w:val="21"/>
          <w:szCs w:val="21"/>
        </w:rPr>
        <w:t xml:space="preserve">. </w:t>
      </w:r>
    </w:p>
    <w:p w14:paraId="024C3B3F" w14:textId="33998383" w:rsidR="00403729" w:rsidRDefault="00DA244F" w:rsidP="00320E0F">
      <w:pPr>
        <w:spacing w:after="200"/>
        <w:rPr>
          <w:rFonts w:asciiTheme="minorHAnsi" w:hAnsiTheme="minorHAnsi" w:cs="Calibri"/>
          <w:b/>
          <w:sz w:val="21"/>
          <w:szCs w:val="21"/>
        </w:rPr>
      </w:pPr>
      <w:r w:rsidRPr="00E225BA">
        <w:rPr>
          <w:rFonts w:asciiTheme="minorHAnsi" w:hAnsiTheme="minorHAnsi" w:cstheme="minorHAnsi"/>
          <w:bCs/>
          <w:sz w:val="21"/>
          <w:szCs w:val="21"/>
        </w:rPr>
        <w:t>Zářijové výsledky Broker Consul</w:t>
      </w:r>
      <w:r w:rsidR="00320E0F">
        <w:rPr>
          <w:rFonts w:asciiTheme="minorHAnsi" w:hAnsiTheme="minorHAnsi" w:cstheme="minorHAnsi"/>
          <w:bCs/>
          <w:sz w:val="21"/>
          <w:szCs w:val="21"/>
        </w:rPr>
        <w:t>ting Indexu spotřebitelských úvěrů</w:t>
      </w:r>
      <w:r w:rsidRPr="00E225BA">
        <w:rPr>
          <w:rFonts w:asciiTheme="minorHAnsi" w:hAnsiTheme="minorHAnsi" w:cstheme="minorHAnsi"/>
          <w:bCs/>
          <w:sz w:val="21"/>
          <w:szCs w:val="21"/>
        </w:rPr>
        <w:t xml:space="preserve"> zaznamenaly v porovnání s předchozími měsíci nárůst. </w:t>
      </w:r>
      <w:r w:rsidR="00716355">
        <w:rPr>
          <w:rFonts w:asciiTheme="minorHAnsi" w:hAnsiTheme="minorHAnsi" w:cstheme="minorHAnsi"/>
          <w:bCs/>
          <w:i/>
          <w:iCs/>
          <w:sz w:val="21"/>
          <w:szCs w:val="21"/>
        </w:rPr>
        <w:t>„Hodnota 9,42 proc</w:t>
      </w:r>
      <w:r w:rsidR="00E225BA">
        <w:rPr>
          <w:rFonts w:asciiTheme="minorHAnsi" w:hAnsiTheme="minorHAnsi" w:cstheme="minorHAnsi"/>
          <w:bCs/>
          <w:i/>
          <w:iCs/>
          <w:sz w:val="21"/>
          <w:szCs w:val="21"/>
        </w:rPr>
        <w:t>e</w:t>
      </w:r>
      <w:r w:rsidR="00716355">
        <w:rPr>
          <w:rFonts w:asciiTheme="minorHAnsi" w:hAnsiTheme="minorHAnsi" w:cstheme="minorHAnsi"/>
          <w:bCs/>
          <w:i/>
          <w:iCs/>
          <w:sz w:val="21"/>
          <w:szCs w:val="21"/>
        </w:rPr>
        <w:t>n</w:t>
      </w:r>
      <w:r w:rsidR="00E225BA">
        <w:rPr>
          <w:rFonts w:asciiTheme="minorHAnsi" w:hAnsiTheme="minorHAnsi" w:cstheme="minorHAnsi"/>
          <w:bCs/>
          <w:i/>
          <w:iCs/>
          <w:sz w:val="21"/>
          <w:szCs w:val="21"/>
        </w:rPr>
        <w:t>ta</w:t>
      </w:r>
      <w:r w:rsidRPr="00E225BA">
        <w:rPr>
          <w:rFonts w:asciiTheme="minorHAnsi" w:hAnsiTheme="minorHAnsi" w:cstheme="minorHAnsi"/>
          <w:bCs/>
          <w:i/>
          <w:iCs/>
          <w:sz w:val="21"/>
          <w:szCs w:val="21"/>
        </w:rPr>
        <w:t xml:space="preserve"> je prakticky stejná, jako byla v říjnu 2022,“ </w:t>
      </w:r>
      <w:r w:rsidR="00880B97" w:rsidRPr="00E225BA">
        <w:rPr>
          <w:rFonts w:asciiTheme="minorHAnsi" w:hAnsiTheme="minorHAnsi" w:cstheme="minorHAnsi"/>
          <w:bCs/>
          <w:sz w:val="21"/>
          <w:szCs w:val="21"/>
        </w:rPr>
        <w:t xml:space="preserve">upozorňuje na meziroční srovnání </w:t>
      </w:r>
      <w:r w:rsidR="00403729" w:rsidRPr="00E225BA">
        <w:rPr>
          <w:rFonts w:asciiTheme="minorHAnsi" w:hAnsiTheme="minorHAnsi" w:cs="Calibri"/>
          <w:b/>
          <w:sz w:val="21"/>
          <w:szCs w:val="21"/>
        </w:rPr>
        <w:t xml:space="preserve">Michaela Pudilová, analytička hypotečních a spotřebitelských úvěrů ze společnosti Broker Consulting. </w:t>
      </w:r>
    </w:p>
    <w:p w14:paraId="45106496" w14:textId="2763FC2C" w:rsidR="004228ED" w:rsidRPr="00E225BA" w:rsidRDefault="004228ED" w:rsidP="004228ED">
      <w:pPr>
        <w:spacing w:after="200"/>
        <w:jc w:val="center"/>
        <w:rPr>
          <w:rFonts w:asciiTheme="minorHAnsi" w:hAnsiTheme="minorHAnsi" w:cs="Calibri"/>
          <w:b/>
          <w:sz w:val="21"/>
          <w:szCs w:val="21"/>
        </w:rPr>
      </w:pPr>
      <w:r>
        <w:rPr>
          <w:rFonts w:asciiTheme="minorHAnsi" w:hAnsiTheme="minorHAnsi" w:cs="Calibri"/>
          <w:b/>
          <w:noProof/>
          <w:sz w:val="21"/>
          <w:szCs w:val="21"/>
          <w:lang w:bidi="ar-SA"/>
        </w:rPr>
        <w:drawing>
          <wp:inline distT="0" distB="0" distL="0" distR="0" wp14:anchorId="41CDDA4F" wp14:editId="03B663D6">
            <wp:extent cx="6192130" cy="280393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spotřebitelských úvěrů - září 2023.png"/>
                    <pic:cNvPicPr/>
                  </pic:nvPicPr>
                  <pic:blipFill>
                    <a:blip r:embed="rId24">
                      <a:extLst>
                        <a:ext uri="{28A0092B-C50C-407E-A947-70E740481C1C}">
                          <a14:useLocalDpi xmlns:a14="http://schemas.microsoft.com/office/drawing/2010/main" val="0"/>
                        </a:ext>
                      </a:extLst>
                    </a:blip>
                    <a:stretch>
                      <a:fillRect/>
                    </a:stretch>
                  </pic:blipFill>
                  <pic:spPr>
                    <a:xfrm>
                      <a:off x="0" y="0"/>
                      <a:ext cx="6220057" cy="2816585"/>
                    </a:xfrm>
                    <a:prstGeom prst="rect">
                      <a:avLst/>
                    </a:prstGeom>
                  </pic:spPr>
                </pic:pic>
              </a:graphicData>
            </a:graphic>
          </wp:inline>
        </w:drawing>
      </w:r>
    </w:p>
    <w:p w14:paraId="7F30960A" w14:textId="10D15E0D" w:rsidR="004228ED" w:rsidRDefault="00880B97" w:rsidP="00320E0F">
      <w:pPr>
        <w:spacing w:after="200"/>
        <w:rPr>
          <w:rFonts w:asciiTheme="minorHAnsi" w:hAnsiTheme="minorHAnsi" w:cstheme="minorHAnsi"/>
          <w:bCs/>
          <w:sz w:val="21"/>
          <w:szCs w:val="21"/>
        </w:rPr>
      </w:pPr>
      <w:r w:rsidRPr="00E225BA">
        <w:rPr>
          <w:rFonts w:asciiTheme="minorHAnsi" w:hAnsiTheme="minorHAnsi" w:cstheme="minorHAnsi"/>
          <w:bCs/>
          <w:sz w:val="21"/>
          <w:szCs w:val="21"/>
        </w:rPr>
        <w:t xml:space="preserve">Úroková sazba je důležitým faktorem, který ovlivňuje celkové náklady na úvěr a schopnost ho splácet. </w:t>
      </w:r>
      <w:r w:rsidR="00716355">
        <w:rPr>
          <w:rFonts w:asciiTheme="minorHAnsi" w:hAnsiTheme="minorHAnsi" w:cstheme="minorHAnsi"/>
          <w:bCs/>
          <w:sz w:val="21"/>
          <w:szCs w:val="21"/>
        </w:rPr>
        <w:t xml:space="preserve">Pro spotřebitele je proto důležité </w:t>
      </w:r>
      <w:r w:rsidRPr="00E225BA">
        <w:rPr>
          <w:rFonts w:asciiTheme="minorHAnsi" w:hAnsiTheme="minorHAnsi" w:cstheme="minorHAnsi"/>
          <w:bCs/>
          <w:sz w:val="21"/>
          <w:szCs w:val="21"/>
        </w:rPr>
        <w:t xml:space="preserve">porovnat různé nabídky a vybrat tu s nejvýhodnějšími podmínkami. Vyšší úroková sazba totiž znamená vyšší náklady na úvěr a v krajním případě může ztížit i jeho splácení. </w:t>
      </w:r>
      <w:r w:rsidR="00743390" w:rsidRPr="00E225BA">
        <w:rPr>
          <w:rFonts w:asciiTheme="minorHAnsi" w:hAnsiTheme="minorHAnsi" w:cstheme="minorHAnsi"/>
          <w:bCs/>
          <w:i/>
          <w:iCs/>
          <w:sz w:val="21"/>
          <w:szCs w:val="21"/>
        </w:rPr>
        <w:t xml:space="preserve">„Úroková sazba je většinou první věc, která klienta zajímá, pokud chce požádat o spotřebitelský úvěr. Tento údaj hledá v nabídkách bank. Většina ale uvádí hodnoty </w:t>
      </w:r>
      <w:r w:rsidR="00CD5FBC" w:rsidRPr="00E225BA">
        <w:rPr>
          <w:rFonts w:asciiTheme="minorHAnsi" w:hAnsiTheme="minorHAnsi" w:cstheme="minorHAnsi"/>
          <w:bCs/>
          <w:i/>
          <w:iCs/>
          <w:sz w:val="21"/>
          <w:szCs w:val="21"/>
        </w:rPr>
        <w:t>‚</w:t>
      </w:r>
      <w:r w:rsidR="00743390" w:rsidRPr="00E225BA">
        <w:rPr>
          <w:rFonts w:asciiTheme="minorHAnsi" w:hAnsiTheme="minorHAnsi" w:cstheme="minorHAnsi"/>
          <w:bCs/>
          <w:i/>
          <w:iCs/>
          <w:sz w:val="21"/>
          <w:szCs w:val="21"/>
        </w:rPr>
        <w:t xml:space="preserve">již </w:t>
      </w:r>
      <w:proofErr w:type="spellStart"/>
      <w:proofErr w:type="gramStart"/>
      <w:r w:rsidR="00743390" w:rsidRPr="00E225BA">
        <w:rPr>
          <w:rFonts w:asciiTheme="minorHAnsi" w:hAnsiTheme="minorHAnsi" w:cstheme="minorHAnsi"/>
          <w:bCs/>
          <w:i/>
          <w:iCs/>
          <w:sz w:val="21"/>
          <w:szCs w:val="21"/>
        </w:rPr>
        <w:t>od</w:t>
      </w:r>
      <w:proofErr w:type="gramEnd"/>
      <w:r w:rsidR="00320E0F">
        <w:rPr>
          <w:rFonts w:asciiTheme="minorHAnsi" w:hAnsiTheme="minorHAnsi" w:cstheme="minorHAnsi"/>
          <w:bCs/>
          <w:i/>
          <w:iCs/>
          <w:sz w:val="21"/>
          <w:szCs w:val="21"/>
        </w:rPr>
        <w:t>ʻ</w:t>
      </w:r>
      <w:proofErr w:type="spellEnd"/>
      <w:r w:rsidR="00CD5FBC" w:rsidRPr="00E225BA">
        <w:rPr>
          <w:rFonts w:asciiTheme="minorHAnsi" w:hAnsiTheme="minorHAnsi" w:cstheme="minorHAnsi"/>
          <w:bCs/>
          <w:i/>
          <w:iCs/>
          <w:sz w:val="21"/>
          <w:szCs w:val="21"/>
        </w:rPr>
        <w:t>. K</w:t>
      </w:r>
      <w:r w:rsidR="00320E0F">
        <w:rPr>
          <w:rFonts w:asciiTheme="minorHAnsi" w:hAnsiTheme="minorHAnsi" w:cstheme="minorHAnsi"/>
          <w:bCs/>
          <w:i/>
          <w:iCs/>
          <w:sz w:val="21"/>
          <w:szCs w:val="21"/>
        </w:rPr>
        <w:t>lient te</w:t>
      </w:r>
      <w:r w:rsidR="00345DAD">
        <w:rPr>
          <w:rFonts w:asciiTheme="minorHAnsi" w:hAnsiTheme="minorHAnsi" w:cstheme="minorHAnsi"/>
          <w:bCs/>
          <w:i/>
          <w:iCs/>
          <w:sz w:val="21"/>
          <w:szCs w:val="21"/>
        </w:rPr>
        <w:t xml:space="preserve">dy </w:t>
      </w:r>
      <w:r w:rsidR="00743390" w:rsidRPr="00E225BA">
        <w:rPr>
          <w:rFonts w:asciiTheme="minorHAnsi" w:hAnsiTheme="minorHAnsi" w:cstheme="minorHAnsi"/>
          <w:bCs/>
          <w:i/>
          <w:iCs/>
          <w:sz w:val="21"/>
          <w:szCs w:val="21"/>
        </w:rPr>
        <w:t>vidí nejnižší možnou úrokovou sazbu, nikoliv tu, kterou dostane,“</w:t>
      </w:r>
      <w:r w:rsidR="00743390" w:rsidRPr="00E225BA">
        <w:rPr>
          <w:rFonts w:asciiTheme="minorHAnsi" w:hAnsiTheme="minorHAnsi" w:cstheme="minorHAnsi"/>
          <w:bCs/>
          <w:sz w:val="21"/>
          <w:szCs w:val="21"/>
        </w:rPr>
        <w:t xml:space="preserve"> popisuje analytička </w:t>
      </w:r>
      <w:r w:rsidR="00345DAD">
        <w:rPr>
          <w:rFonts w:asciiTheme="minorHAnsi" w:hAnsiTheme="minorHAnsi" w:cstheme="minorHAnsi"/>
          <w:b/>
          <w:sz w:val="21"/>
          <w:szCs w:val="21"/>
        </w:rPr>
        <w:t>Broker Consulting Michaela</w:t>
      </w:r>
      <w:r w:rsidR="00743390" w:rsidRPr="00E225BA">
        <w:rPr>
          <w:rFonts w:asciiTheme="minorHAnsi" w:hAnsiTheme="minorHAnsi" w:cstheme="minorHAnsi"/>
          <w:b/>
          <w:sz w:val="21"/>
          <w:szCs w:val="21"/>
        </w:rPr>
        <w:t xml:space="preserve"> Pudilová.</w:t>
      </w:r>
      <w:r w:rsidR="00743390" w:rsidRPr="00E225BA">
        <w:rPr>
          <w:rFonts w:asciiTheme="minorHAnsi" w:hAnsiTheme="minorHAnsi" w:cstheme="minorHAnsi"/>
          <w:bCs/>
          <w:sz w:val="21"/>
          <w:szCs w:val="21"/>
        </w:rPr>
        <w:t xml:space="preserve"> </w:t>
      </w:r>
    </w:p>
    <w:p w14:paraId="6AF2600E" w14:textId="3045CC1E" w:rsidR="0060397A" w:rsidRPr="00345DAD" w:rsidRDefault="0060397A" w:rsidP="00743390">
      <w:pPr>
        <w:spacing w:after="200"/>
        <w:jc w:val="both"/>
        <w:rPr>
          <w:rFonts w:asciiTheme="minorHAnsi" w:hAnsiTheme="minorHAnsi" w:cstheme="minorHAnsi"/>
          <w:b/>
          <w:sz w:val="21"/>
          <w:szCs w:val="21"/>
        </w:rPr>
      </w:pPr>
      <w:r>
        <w:rPr>
          <w:rFonts w:asciiTheme="minorHAnsi" w:hAnsiTheme="minorHAnsi" w:cstheme="minorHAnsi"/>
          <w:bCs/>
          <w:sz w:val="21"/>
          <w:szCs w:val="21"/>
        </w:rPr>
        <w:t>Ilustrativní výpočet:</w:t>
      </w:r>
    </w:p>
    <w:tbl>
      <w:tblPr>
        <w:tblStyle w:val="Mkatabulky"/>
        <w:tblW w:w="9776" w:type="dxa"/>
        <w:jc w:val="center"/>
        <w:tblLook w:val="04A0" w:firstRow="1" w:lastRow="0" w:firstColumn="1" w:lastColumn="0" w:noHBand="0" w:noVBand="1"/>
      </w:tblPr>
      <w:tblGrid>
        <w:gridCol w:w="2540"/>
        <w:gridCol w:w="2121"/>
        <w:gridCol w:w="1980"/>
        <w:gridCol w:w="1698"/>
        <w:gridCol w:w="1437"/>
      </w:tblGrid>
      <w:tr w:rsidR="0060397A" w:rsidRPr="0060397A" w14:paraId="7D5B2679" w14:textId="77777777" w:rsidTr="004228ED">
        <w:trPr>
          <w:trHeight w:val="397"/>
          <w:jc w:val="center"/>
        </w:trPr>
        <w:tc>
          <w:tcPr>
            <w:tcW w:w="2540" w:type="dxa"/>
            <w:vAlign w:val="center"/>
          </w:tcPr>
          <w:p w14:paraId="727EFE44" w14:textId="01572783" w:rsidR="0060397A" w:rsidRPr="0060397A" w:rsidRDefault="00B5679C" w:rsidP="002132C5">
            <w:pPr>
              <w:rPr>
                <w:rFonts w:asciiTheme="minorHAnsi" w:hAnsiTheme="minorHAnsi"/>
                <w:b/>
                <w:sz w:val="20"/>
                <w:szCs w:val="20"/>
              </w:rPr>
            </w:pPr>
            <w:r>
              <w:rPr>
                <w:rFonts w:asciiTheme="minorHAnsi" w:hAnsiTheme="minorHAnsi"/>
                <w:b/>
                <w:sz w:val="20"/>
                <w:szCs w:val="20"/>
              </w:rPr>
              <w:t>RPSN</w:t>
            </w:r>
            <w:r w:rsidR="0060397A" w:rsidRPr="0060397A">
              <w:rPr>
                <w:rFonts w:asciiTheme="minorHAnsi" w:hAnsiTheme="minorHAnsi"/>
                <w:b/>
                <w:sz w:val="20"/>
                <w:szCs w:val="20"/>
              </w:rPr>
              <w:t xml:space="preserve"> úvěru na 250 000 Kč</w:t>
            </w:r>
          </w:p>
        </w:tc>
        <w:tc>
          <w:tcPr>
            <w:tcW w:w="2121" w:type="dxa"/>
            <w:vAlign w:val="center"/>
          </w:tcPr>
          <w:p w14:paraId="0CED71AA" w14:textId="77777777" w:rsidR="0060397A" w:rsidRPr="0060397A" w:rsidRDefault="0060397A" w:rsidP="002132C5">
            <w:pPr>
              <w:rPr>
                <w:rFonts w:asciiTheme="minorHAnsi" w:hAnsiTheme="minorHAnsi"/>
                <w:b/>
                <w:sz w:val="20"/>
                <w:szCs w:val="20"/>
              </w:rPr>
            </w:pPr>
            <w:r w:rsidRPr="0060397A">
              <w:rPr>
                <w:rFonts w:asciiTheme="minorHAnsi" w:hAnsiTheme="minorHAnsi"/>
                <w:b/>
                <w:sz w:val="20"/>
                <w:szCs w:val="20"/>
              </w:rPr>
              <w:t>celková doba splacení:</w:t>
            </w:r>
          </w:p>
        </w:tc>
        <w:tc>
          <w:tcPr>
            <w:tcW w:w="1980" w:type="dxa"/>
            <w:vAlign w:val="center"/>
          </w:tcPr>
          <w:p w14:paraId="0C2E3D16" w14:textId="77777777" w:rsidR="0060397A" w:rsidRPr="0060397A" w:rsidRDefault="0060397A" w:rsidP="002132C5">
            <w:pPr>
              <w:rPr>
                <w:rFonts w:asciiTheme="minorHAnsi" w:hAnsiTheme="minorHAnsi"/>
                <w:b/>
                <w:sz w:val="20"/>
                <w:szCs w:val="20"/>
              </w:rPr>
            </w:pPr>
            <w:r w:rsidRPr="0060397A">
              <w:rPr>
                <w:rFonts w:asciiTheme="minorHAnsi" w:hAnsiTheme="minorHAnsi"/>
                <w:b/>
                <w:sz w:val="20"/>
                <w:szCs w:val="20"/>
              </w:rPr>
              <w:t>výše měsíční splátky:</w:t>
            </w:r>
          </w:p>
        </w:tc>
        <w:tc>
          <w:tcPr>
            <w:tcW w:w="1698" w:type="dxa"/>
            <w:vAlign w:val="center"/>
          </w:tcPr>
          <w:p w14:paraId="64EA1C8D" w14:textId="77777777" w:rsidR="0060397A" w:rsidRPr="0060397A" w:rsidRDefault="0060397A" w:rsidP="002132C5">
            <w:pPr>
              <w:rPr>
                <w:rFonts w:asciiTheme="minorHAnsi" w:hAnsiTheme="minorHAnsi"/>
                <w:b/>
                <w:sz w:val="20"/>
                <w:szCs w:val="20"/>
              </w:rPr>
            </w:pPr>
            <w:r w:rsidRPr="0060397A">
              <w:rPr>
                <w:rFonts w:asciiTheme="minorHAnsi" w:hAnsiTheme="minorHAnsi"/>
                <w:b/>
                <w:sz w:val="20"/>
                <w:szCs w:val="20"/>
              </w:rPr>
              <w:t>navýšení úvěru o:</w:t>
            </w:r>
          </w:p>
        </w:tc>
        <w:tc>
          <w:tcPr>
            <w:tcW w:w="1437" w:type="dxa"/>
            <w:vAlign w:val="center"/>
          </w:tcPr>
          <w:p w14:paraId="045649D5" w14:textId="77777777" w:rsidR="0060397A" w:rsidRPr="0060397A" w:rsidRDefault="0060397A" w:rsidP="002132C5">
            <w:pPr>
              <w:rPr>
                <w:rFonts w:asciiTheme="minorHAnsi" w:hAnsiTheme="minorHAnsi"/>
                <w:b/>
                <w:sz w:val="20"/>
                <w:szCs w:val="20"/>
              </w:rPr>
            </w:pPr>
            <w:r w:rsidRPr="0060397A">
              <w:rPr>
                <w:rFonts w:asciiTheme="minorHAnsi" w:hAnsiTheme="minorHAnsi"/>
                <w:b/>
                <w:sz w:val="20"/>
                <w:szCs w:val="20"/>
              </w:rPr>
              <w:t>Splatí celkem:</w:t>
            </w:r>
          </w:p>
        </w:tc>
      </w:tr>
      <w:tr w:rsidR="0060397A" w:rsidRPr="0060397A" w14:paraId="76199568" w14:textId="77777777" w:rsidTr="004228ED">
        <w:trPr>
          <w:trHeight w:val="397"/>
          <w:jc w:val="center"/>
        </w:trPr>
        <w:tc>
          <w:tcPr>
            <w:tcW w:w="2540" w:type="dxa"/>
            <w:vAlign w:val="center"/>
          </w:tcPr>
          <w:p w14:paraId="2CDFF5B5"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4,99 %</w:t>
            </w:r>
          </w:p>
        </w:tc>
        <w:tc>
          <w:tcPr>
            <w:tcW w:w="2121" w:type="dxa"/>
            <w:vAlign w:val="center"/>
          </w:tcPr>
          <w:p w14:paraId="26E1DD13"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5 let (60 měsíců)</w:t>
            </w:r>
          </w:p>
        </w:tc>
        <w:tc>
          <w:tcPr>
            <w:tcW w:w="1980" w:type="dxa"/>
            <w:vAlign w:val="center"/>
          </w:tcPr>
          <w:p w14:paraId="41EADDD8"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4 717 Kč</w:t>
            </w:r>
          </w:p>
        </w:tc>
        <w:tc>
          <w:tcPr>
            <w:tcW w:w="1698" w:type="dxa"/>
            <w:vAlign w:val="center"/>
          </w:tcPr>
          <w:p w14:paraId="6A4D8D4B"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33 020 Kč</w:t>
            </w:r>
          </w:p>
        </w:tc>
        <w:tc>
          <w:tcPr>
            <w:tcW w:w="1437" w:type="dxa"/>
            <w:vAlign w:val="center"/>
          </w:tcPr>
          <w:p w14:paraId="3C3270AE"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283 020 Kč</w:t>
            </w:r>
          </w:p>
        </w:tc>
      </w:tr>
      <w:tr w:rsidR="0060397A" w:rsidRPr="0060397A" w14:paraId="49F7328B" w14:textId="77777777" w:rsidTr="004228ED">
        <w:trPr>
          <w:trHeight w:val="397"/>
          <w:jc w:val="center"/>
        </w:trPr>
        <w:tc>
          <w:tcPr>
            <w:tcW w:w="2540" w:type="dxa"/>
            <w:vAlign w:val="center"/>
          </w:tcPr>
          <w:p w14:paraId="4E859A96"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9,42 %</w:t>
            </w:r>
          </w:p>
        </w:tc>
        <w:tc>
          <w:tcPr>
            <w:tcW w:w="2121" w:type="dxa"/>
            <w:vAlign w:val="center"/>
          </w:tcPr>
          <w:p w14:paraId="7688443B"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5 let (60 měsíců)</w:t>
            </w:r>
          </w:p>
        </w:tc>
        <w:tc>
          <w:tcPr>
            <w:tcW w:w="1980" w:type="dxa"/>
            <w:vAlign w:val="center"/>
          </w:tcPr>
          <w:p w14:paraId="64AE802C" w14:textId="267A38D3" w:rsidR="0060397A" w:rsidRPr="0060397A" w:rsidRDefault="002259CD" w:rsidP="002132C5">
            <w:pPr>
              <w:rPr>
                <w:rFonts w:asciiTheme="minorHAnsi" w:hAnsiTheme="minorHAnsi"/>
                <w:sz w:val="20"/>
                <w:szCs w:val="20"/>
              </w:rPr>
            </w:pPr>
            <w:r>
              <w:rPr>
                <w:rFonts w:asciiTheme="minorHAnsi" w:hAnsiTheme="minorHAnsi"/>
                <w:sz w:val="20"/>
                <w:szCs w:val="20"/>
              </w:rPr>
              <w:t>5 241</w:t>
            </w:r>
            <w:r w:rsidR="0060397A" w:rsidRPr="0060397A">
              <w:rPr>
                <w:rFonts w:asciiTheme="minorHAnsi" w:hAnsiTheme="minorHAnsi"/>
                <w:sz w:val="20"/>
                <w:szCs w:val="20"/>
              </w:rPr>
              <w:t xml:space="preserve"> Kč</w:t>
            </w:r>
          </w:p>
        </w:tc>
        <w:tc>
          <w:tcPr>
            <w:tcW w:w="1698" w:type="dxa"/>
            <w:vAlign w:val="center"/>
          </w:tcPr>
          <w:p w14:paraId="1577F1D4"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64 460 Kč</w:t>
            </w:r>
          </w:p>
        </w:tc>
        <w:tc>
          <w:tcPr>
            <w:tcW w:w="1437" w:type="dxa"/>
            <w:vAlign w:val="center"/>
          </w:tcPr>
          <w:p w14:paraId="3584FD53" w14:textId="77777777" w:rsidR="0060397A" w:rsidRPr="0060397A" w:rsidRDefault="0060397A" w:rsidP="002132C5">
            <w:pPr>
              <w:rPr>
                <w:rFonts w:asciiTheme="minorHAnsi" w:hAnsiTheme="minorHAnsi"/>
                <w:sz w:val="20"/>
                <w:szCs w:val="20"/>
              </w:rPr>
            </w:pPr>
            <w:r w:rsidRPr="0060397A">
              <w:rPr>
                <w:rFonts w:asciiTheme="minorHAnsi" w:hAnsiTheme="minorHAnsi"/>
                <w:sz w:val="20"/>
                <w:szCs w:val="20"/>
              </w:rPr>
              <w:t>314 460 Kč</w:t>
            </w:r>
          </w:p>
        </w:tc>
      </w:tr>
    </w:tbl>
    <w:p w14:paraId="1A212BDD" w14:textId="25B6EBE2" w:rsidR="00743390" w:rsidRPr="0060397A" w:rsidRDefault="00CD5FBC" w:rsidP="00320E0F">
      <w:pPr>
        <w:spacing w:before="200" w:after="200"/>
        <w:rPr>
          <w:rFonts w:asciiTheme="minorHAnsi" w:hAnsiTheme="minorHAnsi" w:cs="Calibri"/>
          <w:bCs/>
          <w:sz w:val="21"/>
          <w:szCs w:val="21"/>
        </w:rPr>
      </w:pPr>
      <w:r w:rsidRPr="0060397A">
        <w:rPr>
          <w:rFonts w:asciiTheme="minorHAnsi" w:hAnsiTheme="minorHAnsi" w:cs="Calibri"/>
          <w:bCs/>
          <w:sz w:val="21"/>
          <w:szCs w:val="21"/>
        </w:rPr>
        <w:t xml:space="preserve">Přesnou úrokovou sazbu konkrétnímu žadateli stanoví až banka na základě interního hodnocení. Jeho parametry si </w:t>
      </w:r>
      <w:r w:rsidR="002E3DC6">
        <w:rPr>
          <w:rFonts w:asciiTheme="minorHAnsi" w:hAnsiTheme="minorHAnsi" w:cs="Calibri"/>
          <w:bCs/>
          <w:sz w:val="21"/>
          <w:szCs w:val="21"/>
        </w:rPr>
        <w:t>určuje každá z nich jinak. O</w:t>
      </w:r>
      <w:r w:rsidRPr="0060397A">
        <w:rPr>
          <w:rFonts w:asciiTheme="minorHAnsi" w:hAnsiTheme="minorHAnsi" w:cs="Calibri"/>
          <w:bCs/>
          <w:sz w:val="21"/>
          <w:szCs w:val="21"/>
        </w:rPr>
        <w:t>becně lze říct, že se v </w:t>
      </w:r>
      <w:r w:rsidR="002E3DC6">
        <w:rPr>
          <w:rFonts w:asciiTheme="minorHAnsi" w:hAnsiTheme="minorHAnsi" w:cs="Calibri"/>
          <w:bCs/>
          <w:sz w:val="21"/>
          <w:szCs w:val="21"/>
        </w:rPr>
        <w:t>hodnocení</w:t>
      </w:r>
      <w:r w:rsidRPr="0060397A">
        <w:rPr>
          <w:rFonts w:asciiTheme="minorHAnsi" w:hAnsiTheme="minorHAnsi" w:cs="Calibri"/>
          <w:bCs/>
          <w:sz w:val="21"/>
          <w:szCs w:val="21"/>
        </w:rPr>
        <w:t xml:space="preserve"> </w:t>
      </w:r>
      <w:r w:rsidR="002E3DC6">
        <w:rPr>
          <w:rFonts w:asciiTheme="minorHAnsi" w:hAnsiTheme="minorHAnsi" w:cs="Calibri"/>
          <w:bCs/>
          <w:sz w:val="21"/>
          <w:szCs w:val="21"/>
        </w:rPr>
        <w:t>odráží faktory</w:t>
      </w:r>
      <w:r w:rsidRPr="0060397A">
        <w:rPr>
          <w:rFonts w:asciiTheme="minorHAnsi" w:hAnsiTheme="minorHAnsi" w:cs="Calibri"/>
          <w:bCs/>
          <w:sz w:val="21"/>
          <w:szCs w:val="21"/>
        </w:rPr>
        <w:t xml:space="preserve"> jako je například věk žadatele či jeho pravidelný příjem. Výhodou také většinou bývá, pokud má žadatel v bance, v níž si chce sjednat úvěr, vlastní účet. „</w:t>
      </w:r>
      <w:r w:rsidRPr="0060397A">
        <w:rPr>
          <w:rFonts w:asciiTheme="minorHAnsi" w:hAnsiTheme="minorHAnsi" w:cs="Calibri"/>
          <w:bCs/>
          <w:i/>
          <w:iCs/>
          <w:sz w:val="21"/>
          <w:szCs w:val="21"/>
        </w:rPr>
        <w:t>Stěžejní je také kladná historie splácení jakéhokoliv úvěrového produktu. Špatná splátková morálka může vést až k odmítnutí poskytnutí úvěrového produktu,“</w:t>
      </w:r>
      <w:r w:rsidRPr="0060397A">
        <w:rPr>
          <w:rFonts w:asciiTheme="minorHAnsi" w:hAnsiTheme="minorHAnsi" w:cs="Calibri"/>
          <w:bCs/>
          <w:sz w:val="21"/>
          <w:szCs w:val="21"/>
        </w:rPr>
        <w:t xml:space="preserve"> dodává</w:t>
      </w:r>
      <w:r w:rsidR="00320E0F">
        <w:rPr>
          <w:rFonts w:asciiTheme="minorHAnsi" w:hAnsiTheme="minorHAnsi" w:cs="Calibri"/>
          <w:bCs/>
          <w:sz w:val="21"/>
          <w:szCs w:val="21"/>
        </w:rPr>
        <w:t xml:space="preserve"> Michaela</w:t>
      </w:r>
      <w:bookmarkStart w:id="0" w:name="_GoBack"/>
      <w:bookmarkEnd w:id="0"/>
      <w:r w:rsidRPr="0060397A">
        <w:rPr>
          <w:rFonts w:asciiTheme="minorHAnsi" w:hAnsiTheme="minorHAnsi" w:cs="Calibri"/>
          <w:bCs/>
          <w:sz w:val="21"/>
          <w:szCs w:val="21"/>
        </w:rPr>
        <w:t xml:space="preserve"> Pudilová. </w:t>
      </w:r>
      <w:r w:rsidR="00287D46" w:rsidRPr="0060397A">
        <w:rPr>
          <w:rFonts w:asciiTheme="minorHAnsi" w:hAnsiTheme="minorHAnsi" w:cs="Calibri"/>
          <w:bCs/>
          <w:sz w:val="21"/>
          <w:szCs w:val="21"/>
        </w:rPr>
        <w:t xml:space="preserve">Tyto informace banky zjišťují z externích registrů </w:t>
      </w:r>
      <w:r w:rsidR="00716355">
        <w:rPr>
          <w:rFonts w:asciiTheme="minorHAnsi" w:hAnsiTheme="minorHAnsi" w:cs="Calibri"/>
          <w:bCs/>
          <w:sz w:val="21"/>
          <w:szCs w:val="21"/>
        </w:rPr>
        <w:t xml:space="preserve">(především Bankovního registru klientských informací, BRKI) </w:t>
      </w:r>
      <w:r w:rsidR="00287D46" w:rsidRPr="0060397A">
        <w:rPr>
          <w:rFonts w:asciiTheme="minorHAnsi" w:hAnsiTheme="minorHAnsi" w:cs="Calibri"/>
          <w:bCs/>
          <w:sz w:val="21"/>
          <w:szCs w:val="21"/>
        </w:rPr>
        <w:t xml:space="preserve">a nespoléhají jen na své vlastní údaje. </w:t>
      </w:r>
    </w:p>
    <w:p w14:paraId="4954A8EF" w14:textId="49DA711E" w:rsidR="00DF7709" w:rsidRDefault="00287D46" w:rsidP="00DF7709">
      <w:pPr>
        <w:pBdr>
          <w:bottom w:val="single" w:sz="4" w:space="1" w:color="auto"/>
        </w:pBdr>
        <w:spacing w:after="200"/>
        <w:jc w:val="both"/>
        <w:rPr>
          <w:rFonts w:asciiTheme="minorHAnsi" w:hAnsiTheme="minorHAnsi" w:cs="Calibri"/>
          <w:bCs/>
          <w:sz w:val="21"/>
          <w:szCs w:val="21"/>
        </w:rPr>
      </w:pPr>
      <w:r w:rsidRPr="0060397A">
        <w:rPr>
          <w:rFonts w:asciiTheme="minorHAnsi" w:hAnsiTheme="minorHAnsi" w:cs="Calibri"/>
          <w:bCs/>
          <w:sz w:val="21"/>
          <w:szCs w:val="21"/>
        </w:rPr>
        <w:lastRenderedPageBreak/>
        <w:t xml:space="preserve">Vedle stanovení finální úrokové sazky pro žadatele dle jeho hodnocení existuje také druhá varianta jejího určení. V tomto případě banky nabízí garantovaný úrok v závislosti na splatnosti a výši úvěru. </w:t>
      </w:r>
    </w:p>
    <w:p w14:paraId="5C325780" w14:textId="77777777" w:rsidR="00DF7709" w:rsidRPr="00DF7709" w:rsidRDefault="00DF7709" w:rsidP="00DF7709">
      <w:pPr>
        <w:pBdr>
          <w:bottom w:val="single" w:sz="4" w:space="1" w:color="auto"/>
        </w:pBdr>
        <w:jc w:val="both"/>
        <w:rPr>
          <w:rFonts w:asciiTheme="minorHAnsi" w:hAnsiTheme="minorHAnsi" w:cs="Calibri"/>
          <w:bCs/>
          <w:sz w:val="2"/>
          <w:szCs w:val="2"/>
        </w:rPr>
      </w:pPr>
    </w:p>
    <w:p w14:paraId="4CF17F9A" w14:textId="5D6FE399" w:rsidR="00C10C80" w:rsidRDefault="008F3C6D" w:rsidP="00EE3451">
      <w:pPr>
        <w:spacing w:before="120"/>
        <w:rPr>
          <w:rFonts w:asciiTheme="minorHAnsi" w:hAnsiTheme="minorHAnsi" w:cstheme="minorHAnsi"/>
          <w:b/>
          <w:sz w:val="21"/>
          <w:szCs w:val="21"/>
        </w:rPr>
      </w:pPr>
      <w:r w:rsidRPr="00233A58">
        <w:rPr>
          <w:rFonts w:asciiTheme="minorHAnsi" w:hAnsiTheme="minorHAnsi" w:cstheme="minorHAnsi"/>
          <w:b/>
          <w:sz w:val="21"/>
          <w:szCs w:val="21"/>
        </w:rPr>
        <w:t>Broker Consulting Index spotřebitelských úvěrů</w:t>
      </w:r>
      <w:r w:rsidRPr="0049280D">
        <w:rPr>
          <w:rFonts w:asciiTheme="minorHAnsi" w:hAnsiTheme="minorHAnsi" w:cstheme="minorHAnsi"/>
          <w:sz w:val="21"/>
          <w:szCs w:val="21"/>
        </w:rPr>
        <w:t xml:space="preserve"> je analytický nástroj, který ukazuje průměrnou úrokovou sazbu </w:t>
      </w:r>
      <w:r w:rsidR="00BE768F" w:rsidRPr="0049280D">
        <w:rPr>
          <w:rFonts w:asciiTheme="minorHAnsi" w:hAnsiTheme="minorHAnsi" w:cstheme="minorHAnsi"/>
          <w:sz w:val="21"/>
          <w:szCs w:val="21"/>
        </w:rPr>
        <w:br/>
      </w:r>
      <w:r w:rsidRPr="0049280D">
        <w:rPr>
          <w:rFonts w:asciiTheme="minorHAnsi" w:hAnsiTheme="minorHAnsi" w:cstheme="minorHAnsi"/>
          <w:sz w:val="21"/>
          <w:szCs w:val="21"/>
        </w:rPr>
        <w:t xml:space="preserve">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w:t>
      </w:r>
      <w:r w:rsidR="00EE3451">
        <w:rPr>
          <w:rFonts w:asciiTheme="minorHAnsi" w:hAnsiTheme="minorHAnsi" w:cstheme="minorHAnsi"/>
          <w:sz w:val="21"/>
          <w:szCs w:val="21"/>
        </w:rPr>
        <w:t>dojít ke zkreslení informací a i</w:t>
      </w:r>
      <w:r w:rsidRPr="0049280D">
        <w:rPr>
          <w:rFonts w:asciiTheme="minorHAnsi" w:hAnsiTheme="minorHAnsi" w:cstheme="minorHAnsi"/>
          <w:sz w:val="21"/>
          <w:szCs w:val="21"/>
        </w:rPr>
        <w:t>ndex není závislý na datech dodávaných třetími stranami.</w:t>
      </w:r>
      <w:r w:rsidRPr="0049280D">
        <w:rPr>
          <w:rFonts w:asciiTheme="minorHAnsi" w:hAnsiTheme="minorHAnsi" w:cstheme="minorHAnsi"/>
          <w:b/>
          <w:sz w:val="21"/>
          <w:szCs w:val="21"/>
        </w:rPr>
        <w:tab/>
      </w:r>
    </w:p>
    <w:p w14:paraId="2FA3FD44" w14:textId="1E7A17D8" w:rsidR="008F3C6D" w:rsidRPr="00C10C80" w:rsidRDefault="008F3C6D" w:rsidP="00EE3451">
      <w:pPr>
        <w:spacing w:before="120" w:after="120"/>
        <w:rPr>
          <w:rFonts w:asciiTheme="minorHAnsi" w:hAnsiTheme="minorHAnsi" w:cstheme="minorHAnsi"/>
          <w:b/>
          <w:sz w:val="21"/>
          <w:szCs w:val="21"/>
        </w:rPr>
      </w:pPr>
      <w:r w:rsidRPr="0049280D">
        <w:rPr>
          <w:rFonts w:asciiTheme="minorHAnsi" w:hAnsiTheme="minorHAnsi" w:cstheme="minorHAnsi"/>
          <w:b/>
          <w:sz w:val="21"/>
          <w:szCs w:val="21"/>
        </w:rPr>
        <w:t>Proč je dobré Index sledovat</w:t>
      </w:r>
      <w:r w:rsidRPr="0049280D">
        <w:rPr>
          <w:rFonts w:asciiTheme="minorHAnsi" w:hAnsiTheme="minorHAnsi" w:cstheme="minorHAnsi"/>
          <w:b/>
          <w:sz w:val="21"/>
          <w:szCs w:val="21"/>
        </w:rPr>
        <w:tab/>
      </w:r>
    </w:p>
    <w:p w14:paraId="19369C4D" w14:textId="072B9F25" w:rsidR="008F3C6D" w:rsidRPr="0049280D" w:rsidRDefault="008F3C6D" w:rsidP="00EE3451">
      <w:pPr>
        <w:rPr>
          <w:rFonts w:asciiTheme="minorHAnsi" w:hAnsiTheme="minorHAnsi" w:cstheme="minorHAnsi"/>
          <w:sz w:val="21"/>
          <w:szCs w:val="21"/>
        </w:rPr>
      </w:pPr>
      <w:r w:rsidRPr="0049280D">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49280D">
        <w:rPr>
          <w:rFonts w:asciiTheme="minorHAnsi" w:hAnsiTheme="minorHAnsi" w:cstheme="minorHAnsi"/>
          <w:sz w:val="21"/>
          <w:szCs w:val="21"/>
        </w:rPr>
        <w:tab/>
      </w:r>
    </w:p>
    <w:p w14:paraId="0979CE30" w14:textId="7CC17BAD" w:rsidR="008B3925" w:rsidRPr="0049280D" w:rsidRDefault="008B3925" w:rsidP="00CF7819">
      <w:pPr>
        <w:pBdr>
          <w:bottom w:val="single" w:sz="4" w:space="1" w:color="auto"/>
        </w:pBdr>
        <w:jc w:val="both"/>
        <w:rPr>
          <w:rFonts w:asciiTheme="minorHAnsi" w:hAnsiTheme="minorHAnsi" w:cs="Arial"/>
          <w:sz w:val="21"/>
          <w:szCs w:val="21"/>
        </w:rPr>
      </w:pPr>
    </w:p>
    <w:p w14:paraId="5F16FECD" w14:textId="69AB3698" w:rsidR="008F3C6D" w:rsidRPr="0049280D" w:rsidRDefault="008F3C6D" w:rsidP="008F3C6D">
      <w:pPr>
        <w:jc w:val="both"/>
        <w:rPr>
          <w:rFonts w:asciiTheme="minorHAnsi" w:hAnsiTheme="minorHAnsi"/>
          <w:sz w:val="21"/>
          <w:szCs w:val="21"/>
        </w:rPr>
      </w:pPr>
    </w:p>
    <w:p w14:paraId="6AF53FD1" w14:textId="77777777" w:rsidR="00B51F55" w:rsidRPr="0049280D" w:rsidRDefault="00B51F55" w:rsidP="00A2244B">
      <w:pPr>
        <w:rPr>
          <w:rFonts w:asciiTheme="minorHAnsi" w:hAnsiTheme="minorHAnsi" w:cstheme="minorHAnsi"/>
          <w:sz w:val="21"/>
          <w:szCs w:val="21"/>
        </w:rPr>
      </w:pPr>
      <w:r w:rsidRPr="0049280D">
        <w:rPr>
          <w:rFonts w:asciiTheme="minorHAnsi" w:hAnsiTheme="minorHAnsi" w:cstheme="minorHAnsi"/>
          <w:b/>
          <w:sz w:val="21"/>
          <w:szCs w:val="21"/>
        </w:rPr>
        <w:t>Poznámka pro média:</w:t>
      </w:r>
      <w:r w:rsidRPr="0049280D">
        <w:rPr>
          <w:rFonts w:asciiTheme="minorHAnsi" w:hAnsiTheme="minorHAnsi" w:cstheme="minorHAnsi"/>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Indexy</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je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možné</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volně</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spacing w:val="2"/>
          <w:w w:val="105"/>
          <w:sz w:val="21"/>
          <w:szCs w:val="21"/>
        </w:rPr>
        <w:t>publikovat</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pouze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s</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označením</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spacing w:val="-3"/>
          <w:w w:val="105"/>
          <w:sz w:val="21"/>
          <w:szCs w:val="21"/>
        </w:rPr>
        <w:t>(</w:t>
      </w:r>
      <w:r w:rsidRPr="0049280D">
        <w:rPr>
          <w:rFonts w:asciiTheme="minorHAnsi" w:hAnsiTheme="minorHAnsi" w:cstheme="minorHAnsi"/>
          <w:i/>
          <w:color w:val="1D1D1B"/>
          <w:spacing w:val="-3"/>
          <w:w w:val="105"/>
          <w:sz w:val="21"/>
          <w:szCs w:val="21"/>
        </w:rPr>
        <w:t>např.</w:t>
      </w:r>
      <w:r w:rsidRPr="0049280D">
        <w:rPr>
          <w:rFonts w:asciiTheme="minorHAnsi" w:hAnsiTheme="minorHAnsi" w:cstheme="minorHAnsi"/>
          <w:i/>
          <w:color w:val="1D1D1B"/>
          <w:spacing w:val="-8"/>
          <w:w w:val="105"/>
          <w:sz w:val="21"/>
          <w:szCs w:val="21"/>
        </w:rPr>
        <w:t xml:space="preserve"> </w:t>
      </w:r>
      <w:r w:rsidRPr="0049280D">
        <w:rPr>
          <w:rFonts w:asciiTheme="minorHAnsi" w:hAnsiTheme="minorHAnsi" w:cstheme="minorHAnsi"/>
          <w:i/>
          <w:color w:val="1D1D1B"/>
          <w:w w:val="105"/>
          <w:sz w:val="21"/>
          <w:szCs w:val="21"/>
        </w:rPr>
        <w:t>Broker</w:t>
      </w:r>
      <w:r w:rsidRPr="0049280D">
        <w:rPr>
          <w:rFonts w:asciiTheme="minorHAnsi" w:hAnsiTheme="minorHAnsi" w:cstheme="minorHAnsi"/>
          <w:i/>
          <w:color w:val="1D1D1B"/>
          <w:spacing w:val="-9"/>
          <w:w w:val="105"/>
          <w:sz w:val="21"/>
          <w:szCs w:val="21"/>
        </w:rPr>
        <w:t xml:space="preserve"> </w:t>
      </w:r>
      <w:r w:rsidRPr="0049280D">
        <w:rPr>
          <w:rFonts w:asciiTheme="minorHAnsi" w:hAnsiTheme="minorHAnsi" w:cstheme="minorHAnsi"/>
          <w:i/>
          <w:color w:val="1D1D1B"/>
          <w:w w:val="105"/>
          <w:sz w:val="21"/>
          <w:szCs w:val="21"/>
        </w:rPr>
        <w:t>Consulting</w:t>
      </w:r>
      <w:r w:rsidRPr="0049280D">
        <w:rPr>
          <w:rFonts w:asciiTheme="minorHAnsi" w:hAnsiTheme="minorHAnsi" w:cstheme="minorHAnsi"/>
          <w:i/>
          <w:color w:val="1D1D1B"/>
          <w:spacing w:val="-8"/>
          <w:w w:val="105"/>
          <w:sz w:val="21"/>
          <w:szCs w:val="21"/>
        </w:rPr>
        <w:t xml:space="preserve"> Index </w:t>
      </w:r>
      <w:r w:rsidRPr="0049280D">
        <w:rPr>
          <w:rFonts w:asciiTheme="minorHAnsi" w:hAnsiTheme="minorHAnsi" w:cstheme="minorHAnsi"/>
          <w:i/>
          <w:color w:val="1D1D1B"/>
          <w:w w:val="105"/>
          <w:sz w:val="21"/>
          <w:szCs w:val="21"/>
        </w:rPr>
        <w:t>hypoteční</w:t>
      </w:r>
      <w:r w:rsidRPr="0049280D">
        <w:rPr>
          <w:rFonts w:asciiTheme="minorHAnsi" w:hAnsiTheme="minorHAnsi" w:cstheme="minorHAnsi"/>
          <w:i/>
          <w:color w:val="1D1D1B"/>
          <w:spacing w:val="-9"/>
          <w:w w:val="105"/>
          <w:sz w:val="21"/>
          <w:szCs w:val="21"/>
        </w:rPr>
        <w:t>ch úvěrů</w:t>
      </w:r>
      <w:r w:rsidRPr="0049280D">
        <w:rPr>
          <w:rFonts w:asciiTheme="minorHAnsi" w:hAnsiTheme="minorHAnsi" w:cstheme="minorHAnsi"/>
          <w:i/>
          <w:color w:val="1D1D1B"/>
          <w:w w:val="105"/>
          <w:sz w:val="21"/>
          <w:szCs w:val="21"/>
        </w:rPr>
        <w:t xml:space="preserve">). Více informací najdete též na webu </w:t>
      </w:r>
      <w:r w:rsidRPr="0049280D">
        <w:rPr>
          <w:rStyle w:val="Hypertextovodkaz"/>
          <w:rFonts w:asciiTheme="minorHAnsi" w:hAnsiTheme="minorHAnsi" w:cstheme="minorHAnsi"/>
          <w:i/>
          <w:w w:val="105"/>
          <w:sz w:val="21"/>
          <w:szCs w:val="21"/>
        </w:rPr>
        <w:t>https://www.bcas.cz/onas/pro-media/</w:t>
      </w:r>
      <w:r w:rsidRPr="0049280D">
        <w:rPr>
          <w:rFonts w:asciiTheme="minorHAnsi" w:hAnsiTheme="minorHAnsi" w:cstheme="minorHAnsi"/>
          <w:i/>
          <w:color w:val="1D1D1B"/>
          <w:w w:val="105"/>
          <w:sz w:val="21"/>
          <w:szCs w:val="21"/>
        </w:rPr>
        <w:t xml:space="preserve">. </w:t>
      </w:r>
    </w:p>
    <w:p w14:paraId="685A4AD2" w14:textId="2FFF8BF2" w:rsidR="00B51F55" w:rsidRPr="0049280D" w:rsidRDefault="00B51F55" w:rsidP="00A2244B">
      <w:pPr>
        <w:rPr>
          <w:rFonts w:asciiTheme="minorHAnsi" w:hAnsiTheme="minorHAnsi" w:cstheme="minorHAnsi"/>
          <w:sz w:val="21"/>
          <w:szCs w:val="21"/>
        </w:rPr>
      </w:pPr>
    </w:p>
    <w:p w14:paraId="5245244C" w14:textId="59FD1ED6" w:rsidR="007563D8" w:rsidRPr="0049280D" w:rsidRDefault="007563D8" w:rsidP="00A2244B">
      <w:pPr>
        <w:rPr>
          <w:rFonts w:asciiTheme="minorHAnsi" w:hAnsiTheme="minorHAnsi" w:cstheme="minorHAnsi"/>
          <w:b/>
          <w:color w:val="1D1D1B"/>
          <w:w w:val="105"/>
          <w:sz w:val="21"/>
          <w:szCs w:val="21"/>
        </w:rPr>
      </w:pPr>
      <w:r w:rsidRPr="0049280D">
        <w:rPr>
          <w:rFonts w:asciiTheme="minorHAnsi" w:hAnsiTheme="minorHAnsi" w:cstheme="minorHAnsi"/>
          <w:b/>
          <w:color w:val="FF0000"/>
          <w:w w:val="105"/>
          <w:sz w:val="21"/>
          <w:szCs w:val="21"/>
        </w:rPr>
        <w:t>Broker Consulting Indexy je nyní možné sledovat v interaktivní formě na webu</w:t>
      </w:r>
      <w:r w:rsidRPr="0049280D">
        <w:rPr>
          <w:rFonts w:asciiTheme="minorHAnsi" w:hAnsiTheme="minorHAnsi" w:cstheme="minorHAnsi"/>
          <w:color w:val="1D1D1B"/>
          <w:w w:val="105"/>
          <w:sz w:val="21"/>
          <w:szCs w:val="21"/>
        </w:rPr>
        <w:t>. Zde lze zároveň exportovat zdrojová data ke grafům. Vice dostupné na odkaze</w:t>
      </w:r>
      <w:r w:rsidRPr="0049280D">
        <w:rPr>
          <w:rFonts w:asciiTheme="minorHAnsi" w:hAnsiTheme="minorHAnsi" w:cstheme="minorHAnsi"/>
          <w:b/>
          <w:color w:val="1D1D1B"/>
          <w:w w:val="105"/>
          <w:sz w:val="21"/>
          <w:szCs w:val="21"/>
        </w:rPr>
        <w:t xml:space="preserve">: </w:t>
      </w:r>
      <w:hyperlink r:id="rId25" w:history="1">
        <w:r w:rsidRPr="0049280D">
          <w:rPr>
            <w:rStyle w:val="Hypertextovodkaz"/>
            <w:rFonts w:asciiTheme="minorHAnsi" w:hAnsiTheme="minorHAnsi"/>
            <w:b/>
            <w:sz w:val="21"/>
            <w:szCs w:val="21"/>
          </w:rPr>
          <w:t>https://www.bcas.cz/o-nas/broker-consulting-index-spotrebitelskych-uveru/</w:t>
        </w:r>
      </w:hyperlink>
      <w:r w:rsidRPr="0049280D">
        <w:rPr>
          <w:rFonts w:asciiTheme="minorHAnsi" w:hAnsiTheme="minorHAnsi"/>
          <w:b/>
          <w:sz w:val="21"/>
          <w:szCs w:val="21"/>
        </w:rPr>
        <w:t xml:space="preserve">. </w:t>
      </w:r>
    </w:p>
    <w:p w14:paraId="79A88D64" w14:textId="77777777" w:rsidR="007563D8" w:rsidRPr="0049280D" w:rsidRDefault="007563D8" w:rsidP="00A2244B">
      <w:pPr>
        <w:rPr>
          <w:rFonts w:asciiTheme="minorHAnsi" w:hAnsiTheme="minorHAnsi" w:cstheme="minorHAnsi"/>
          <w:sz w:val="21"/>
          <w:szCs w:val="21"/>
        </w:rPr>
      </w:pPr>
    </w:p>
    <w:p w14:paraId="1039ED98" w14:textId="77777777" w:rsidR="008F3C6D" w:rsidRPr="0049280D" w:rsidRDefault="008F3C6D" w:rsidP="00A2244B">
      <w:pPr>
        <w:rPr>
          <w:rFonts w:asciiTheme="minorHAnsi" w:eastAsia="Calibri" w:hAnsiTheme="minorHAnsi" w:cstheme="minorHAnsi"/>
          <w:b/>
          <w:bCs/>
          <w:noProof/>
          <w:sz w:val="21"/>
          <w:szCs w:val="21"/>
        </w:rPr>
      </w:pPr>
    </w:p>
    <w:p w14:paraId="195CA202" w14:textId="77777777" w:rsidR="008F3C6D" w:rsidRPr="0049280D" w:rsidRDefault="008F3C6D" w:rsidP="00A2244B">
      <w:pPr>
        <w:rPr>
          <w:rFonts w:asciiTheme="minorHAnsi" w:eastAsia="Calibri" w:hAnsiTheme="minorHAnsi" w:cstheme="minorHAnsi"/>
          <w:b/>
          <w:bCs/>
          <w:noProof/>
          <w:sz w:val="21"/>
          <w:szCs w:val="21"/>
        </w:rPr>
      </w:pPr>
      <w:r w:rsidRPr="0049280D">
        <w:rPr>
          <w:rFonts w:asciiTheme="minorHAnsi" w:eastAsia="Calibri" w:hAnsiTheme="minorHAnsi" w:cstheme="minorHAnsi"/>
          <w:b/>
          <w:bCs/>
          <w:noProof/>
          <w:sz w:val="21"/>
          <w:szCs w:val="21"/>
        </w:rPr>
        <w:t>Kontakt pro média:</w:t>
      </w:r>
    </w:p>
    <w:p w14:paraId="78012E24" w14:textId="77777777" w:rsidR="0053079B" w:rsidRPr="0049280D" w:rsidRDefault="0053079B" w:rsidP="0053079B">
      <w:pPr>
        <w:rPr>
          <w:rFonts w:asciiTheme="minorHAnsi" w:eastAsia="Calibri" w:hAnsiTheme="minorHAnsi" w:cstheme="minorHAnsi"/>
          <w:bCs/>
          <w:noProof/>
          <w:sz w:val="21"/>
          <w:szCs w:val="21"/>
        </w:rPr>
      </w:pPr>
    </w:p>
    <w:p w14:paraId="60542279" w14:textId="77777777" w:rsidR="0053079B" w:rsidRPr="0049280D" w:rsidRDefault="0053079B" w:rsidP="0053079B">
      <w:pPr>
        <w:spacing w:after="60"/>
        <w:rPr>
          <w:rFonts w:asciiTheme="minorHAnsi" w:eastAsia="Calibri" w:hAnsiTheme="minorHAnsi" w:cstheme="minorHAnsi"/>
          <w:bCs/>
          <w:noProof/>
          <w:sz w:val="21"/>
          <w:szCs w:val="21"/>
          <w:lang w:bidi="ar-SA"/>
        </w:rPr>
      </w:pPr>
      <w:r w:rsidRPr="0049280D">
        <w:rPr>
          <w:rFonts w:asciiTheme="minorHAnsi" w:eastAsia="Calibri" w:hAnsiTheme="minorHAnsi" w:cstheme="minorHAnsi"/>
          <w:bCs/>
          <w:noProof/>
          <w:sz w:val="21"/>
          <w:szCs w:val="21"/>
        </w:rPr>
        <w:t>Michaela Sahulová</w:t>
      </w:r>
    </w:p>
    <w:p w14:paraId="16BB5E7E" w14:textId="77777777" w:rsidR="0053079B" w:rsidRPr="0049280D" w:rsidRDefault="0053079B" w:rsidP="0053079B">
      <w:pPr>
        <w:pStyle w:val="Bezmezer"/>
        <w:rPr>
          <w:rFonts w:eastAsia="Calibri" w:cstheme="minorHAnsi"/>
          <w:noProof/>
          <w:sz w:val="21"/>
          <w:szCs w:val="21"/>
        </w:rPr>
      </w:pPr>
      <w:r w:rsidRPr="0049280D">
        <w:rPr>
          <w:rFonts w:eastAsia="Calibri" w:cstheme="minorHAnsi"/>
          <w:noProof/>
          <w:sz w:val="21"/>
          <w:szCs w:val="21"/>
        </w:rPr>
        <w:t>Specialistka PR a externí komunikace</w:t>
      </w:r>
    </w:p>
    <w:p w14:paraId="2D24B5C8" w14:textId="77777777" w:rsidR="0053079B" w:rsidRPr="0049280D" w:rsidRDefault="0053079B" w:rsidP="0053079B">
      <w:pPr>
        <w:rPr>
          <w:rFonts w:asciiTheme="minorHAnsi" w:eastAsiaTheme="minorEastAsia" w:hAnsiTheme="minorHAnsi" w:cstheme="minorHAnsi"/>
          <w:noProof/>
          <w:color w:val="000000" w:themeColor="text1"/>
          <w:sz w:val="21"/>
          <w:szCs w:val="21"/>
          <w:lang w:bidi="ar-SA"/>
        </w:rPr>
      </w:pPr>
      <w:r w:rsidRPr="0049280D">
        <w:rPr>
          <w:rFonts w:asciiTheme="minorHAnsi" w:eastAsiaTheme="minorEastAsia" w:hAnsiTheme="minorHAnsi" w:cstheme="minorHAnsi"/>
          <w:noProof/>
          <w:color w:val="000000" w:themeColor="text1"/>
          <w:sz w:val="21"/>
          <w:szCs w:val="21"/>
        </w:rPr>
        <w:t>tel.: +420 731 538 373</w:t>
      </w:r>
    </w:p>
    <w:p w14:paraId="745E815C" w14:textId="77777777" w:rsidR="0053079B" w:rsidRPr="0049280D" w:rsidRDefault="0053079B" w:rsidP="0053079B">
      <w:pPr>
        <w:rPr>
          <w:rFonts w:asciiTheme="minorHAnsi" w:eastAsia="Calibri" w:hAnsiTheme="minorHAnsi" w:cstheme="minorHAnsi"/>
          <w:noProof/>
          <w:sz w:val="21"/>
          <w:szCs w:val="21"/>
        </w:rPr>
      </w:pPr>
      <w:r w:rsidRPr="0049280D">
        <w:rPr>
          <w:rFonts w:asciiTheme="minorHAnsi" w:eastAsia="Calibri" w:hAnsiTheme="minorHAnsi" w:cstheme="minorHAnsi"/>
          <w:noProof/>
          <w:sz w:val="21"/>
          <w:szCs w:val="21"/>
        </w:rPr>
        <w:t xml:space="preserve">E-mail: </w:t>
      </w:r>
      <w:hyperlink r:id="rId26" w:history="1">
        <w:r w:rsidRPr="0049280D">
          <w:rPr>
            <w:rStyle w:val="Hypertextovodkaz"/>
            <w:rFonts w:asciiTheme="minorHAnsi" w:eastAsia="Calibri" w:hAnsiTheme="minorHAnsi" w:cstheme="minorHAnsi"/>
            <w:noProof/>
            <w:sz w:val="21"/>
            <w:szCs w:val="21"/>
          </w:rPr>
          <w:t>michaela.sahulova@bcas.cz</w:t>
        </w:r>
      </w:hyperlink>
      <w:r w:rsidRPr="0049280D">
        <w:rPr>
          <w:rFonts w:asciiTheme="minorHAnsi" w:eastAsia="Calibri" w:hAnsiTheme="minorHAnsi" w:cstheme="minorHAnsi"/>
          <w:noProof/>
          <w:sz w:val="21"/>
          <w:szCs w:val="21"/>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3FE78" w14:textId="77777777" w:rsidR="00A04BAE" w:rsidRDefault="00A04BAE">
      <w:r>
        <w:separator/>
      </w:r>
    </w:p>
  </w:endnote>
  <w:endnote w:type="continuationSeparator" w:id="0">
    <w:p w14:paraId="2FDC24F0" w14:textId="77777777" w:rsidR="00A04BAE" w:rsidRDefault="00A0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04BAE"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225A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04BAE"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225A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04BAE"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225A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313AB" w14:textId="77777777" w:rsidR="00A04BAE" w:rsidRDefault="00A04BAE">
      <w:r>
        <w:separator/>
      </w:r>
    </w:p>
  </w:footnote>
  <w:footnote w:type="continuationSeparator" w:id="0">
    <w:p w14:paraId="39762D81" w14:textId="77777777" w:rsidR="00A04BAE" w:rsidRDefault="00A04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76D0E"/>
    <w:rsid w:val="00080552"/>
    <w:rsid w:val="00080ADE"/>
    <w:rsid w:val="00081616"/>
    <w:rsid w:val="000853D4"/>
    <w:rsid w:val="00087263"/>
    <w:rsid w:val="0009776B"/>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939"/>
    <w:rsid w:val="001302C1"/>
    <w:rsid w:val="0013044E"/>
    <w:rsid w:val="00131A69"/>
    <w:rsid w:val="001352B7"/>
    <w:rsid w:val="00136C97"/>
    <w:rsid w:val="00137003"/>
    <w:rsid w:val="0013717C"/>
    <w:rsid w:val="00137474"/>
    <w:rsid w:val="00143EFE"/>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623E"/>
    <w:rsid w:val="00281834"/>
    <w:rsid w:val="0028590C"/>
    <w:rsid w:val="00287D46"/>
    <w:rsid w:val="002A0285"/>
    <w:rsid w:val="002A3F19"/>
    <w:rsid w:val="002A6FA3"/>
    <w:rsid w:val="002A7325"/>
    <w:rsid w:val="002B0728"/>
    <w:rsid w:val="002B1317"/>
    <w:rsid w:val="002B7DA9"/>
    <w:rsid w:val="002B7F6D"/>
    <w:rsid w:val="002C0240"/>
    <w:rsid w:val="002C4A25"/>
    <w:rsid w:val="002C4BCE"/>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6FA6"/>
    <w:rsid w:val="0031712D"/>
    <w:rsid w:val="0031752C"/>
    <w:rsid w:val="00320455"/>
    <w:rsid w:val="00320E0F"/>
    <w:rsid w:val="00321518"/>
    <w:rsid w:val="00321E19"/>
    <w:rsid w:val="003226EB"/>
    <w:rsid w:val="003247B0"/>
    <w:rsid w:val="00330918"/>
    <w:rsid w:val="003358BA"/>
    <w:rsid w:val="0034184F"/>
    <w:rsid w:val="00342F85"/>
    <w:rsid w:val="0034360E"/>
    <w:rsid w:val="00345686"/>
    <w:rsid w:val="00345DAD"/>
    <w:rsid w:val="00347557"/>
    <w:rsid w:val="003502B4"/>
    <w:rsid w:val="00355366"/>
    <w:rsid w:val="00356752"/>
    <w:rsid w:val="00361D44"/>
    <w:rsid w:val="003629B6"/>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47CB"/>
    <w:rsid w:val="003E0649"/>
    <w:rsid w:val="003E6537"/>
    <w:rsid w:val="003F0CAF"/>
    <w:rsid w:val="003F324C"/>
    <w:rsid w:val="003F7018"/>
    <w:rsid w:val="003F79EC"/>
    <w:rsid w:val="0040257E"/>
    <w:rsid w:val="00403729"/>
    <w:rsid w:val="004041EF"/>
    <w:rsid w:val="004053BB"/>
    <w:rsid w:val="004075C9"/>
    <w:rsid w:val="004116FD"/>
    <w:rsid w:val="0041759C"/>
    <w:rsid w:val="0042193A"/>
    <w:rsid w:val="004228ED"/>
    <w:rsid w:val="0043347D"/>
    <w:rsid w:val="004336E4"/>
    <w:rsid w:val="00433F20"/>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0EB"/>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6355"/>
    <w:rsid w:val="0072112F"/>
    <w:rsid w:val="00724267"/>
    <w:rsid w:val="00725BF5"/>
    <w:rsid w:val="007320FB"/>
    <w:rsid w:val="007362E3"/>
    <w:rsid w:val="007408D1"/>
    <w:rsid w:val="00741E71"/>
    <w:rsid w:val="00743390"/>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DE8"/>
    <w:rsid w:val="007F3E94"/>
    <w:rsid w:val="007F4493"/>
    <w:rsid w:val="007F4C72"/>
    <w:rsid w:val="007F71F9"/>
    <w:rsid w:val="008011E7"/>
    <w:rsid w:val="0080323F"/>
    <w:rsid w:val="00805BDB"/>
    <w:rsid w:val="008063BB"/>
    <w:rsid w:val="00812394"/>
    <w:rsid w:val="008123FF"/>
    <w:rsid w:val="0081387C"/>
    <w:rsid w:val="0081474E"/>
    <w:rsid w:val="008171F9"/>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579E"/>
    <w:rsid w:val="00885B2F"/>
    <w:rsid w:val="008875C1"/>
    <w:rsid w:val="00891E25"/>
    <w:rsid w:val="008926E5"/>
    <w:rsid w:val="008926F3"/>
    <w:rsid w:val="008A04D3"/>
    <w:rsid w:val="008B3925"/>
    <w:rsid w:val="008B4F0F"/>
    <w:rsid w:val="008C000E"/>
    <w:rsid w:val="008C1795"/>
    <w:rsid w:val="008C2254"/>
    <w:rsid w:val="008C3938"/>
    <w:rsid w:val="008C3A59"/>
    <w:rsid w:val="008C4B0D"/>
    <w:rsid w:val="008E1286"/>
    <w:rsid w:val="008E19F3"/>
    <w:rsid w:val="008F2AEC"/>
    <w:rsid w:val="008F36CB"/>
    <w:rsid w:val="008F3C6D"/>
    <w:rsid w:val="008F6AAF"/>
    <w:rsid w:val="00901DB4"/>
    <w:rsid w:val="00901E1F"/>
    <w:rsid w:val="0090292E"/>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645B"/>
    <w:rsid w:val="0094705C"/>
    <w:rsid w:val="00957739"/>
    <w:rsid w:val="00957B41"/>
    <w:rsid w:val="009631E0"/>
    <w:rsid w:val="009649D2"/>
    <w:rsid w:val="009660BD"/>
    <w:rsid w:val="009674F1"/>
    <w:rsid w:val="009771E2"/>
    <w:rsid w:val="00977540"/>
    <w:rsid w:val="009834E2"/>
    <w:rsid w:val="00985DC8"/>
    <w:rsid w:val="009A52BA"/>
    <w:rsid w:val="009A69B1"/>
    <w:rsid w:val="009A700C"/>
    <w:rsid w:val="009B1D25"/>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4BAE"/>
    <w:rsid w:val="00A069E2"/>
    <w:rsid w:val="00A07639"/>
    <w:rsid w:val="00A10289"/>
    <w:rsid w:val="00A106F8"/>
    <w:rsid w:val="00A10BF9"/>
    <w:rsid w:val="00A11C90"/>
    <w:rsid w:val="00A1395B"/>
    <w:rsid w:val="00A13D4D"/>
    <w:rsid w:val="00A14701"/>
    <w:rsid w:val="00A16A29"/>
    <w:rsid w:val="00A16E82"/>
    <w:rsid w:val="00A2244B"/>
    <w:rsid w:val="00A22B56"/>
    <w:rsid w:val="00A252BA"/>
    <w:rsid w:val="00A26285"/>
    <w:rsid w:val="00A27A7B"/>
    <w:rsid w:val="00A36CBA"/>
    <w:rsid w:val="00A36D79"/>
    <w:rsid w:val="00A41EA4"/>
    <w:rsid w:val="00A44FE0"/>
    <w:rsid w:val="00A4618A"/>
    <w:rsid w:val="00A50D03"/>
    <w:rsid w:val="00A522F5"/>
    <w:rsid w:val="00A566B1"/>
    <w:rsid w:val="00A61269"/>
    <w:rsid w:val="00A624BA"/>
    <w:rsid w:val="00A712B2"/>
    <w:rsid w:val="00A720B2"/>
    <w:rsid w:val="00A74214"/>
    <w:rsid w:val="00A7796E"/>
    <w:rsid w:val="00A86544"/>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2698"/>
    <w:rsid w:val="00AE313F"/>
    <w:rsid w:val="00AE34F4"/>
    <w:rsid w:val="00AF042F"/>
    <w:rsid w:val="00B00C49"/>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568FB"/>
    <w:rsid w:val="00C56D0A"/>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F0000"/>
    <w:rsid w:val="00DF020C"/>
    <w:rsid w:val="00DF05CC"/>
    <w:rsid w:val="00DF5A2C"/>
    <w:rsid w:val="00DF7709"/>
    <w:rsid w:val="00DF7D1B"/>
    <w:rsid w:val="00E00DC6"/>
    <w:rsid w:val="00E01A0A"/>
    <w:rsid w:val="00E02B4A"/>
    <w:rsid w:val="00E058A3"/>
    <w:rsid w:val="00E06422"/>
    <w:rsid w:val="00E11439"/>
    <w:rsid w:val="00E151F3"/>
    <w:rsid w:val="00E161C6"/>
    <w:rsid w:val="00E17539"/>
    <w:rsid w:val="00E21CDE"/>
    <w:rsid w:val="00E225BA"/>
    <w:rsid w:val="00E2483C"/>
    <w:rsid w:val="00E26CF0"/>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4B41"/>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F01A8D"/>
    <w:rsid w:val="00F01BFC"/>
    <w:rsid w:val="00F02356"/>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bcas.cz/o-nas/broker-consulting-index-spotrebitelskych-uve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5C56-66EF-4F39-A829-2EC53C1E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1019</Words>
  <Characters>6015</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11</cp:revision>
  <dcterms:created xsi:type="dcterms:W3CDTF">2023-10-06T09:05:00Z</dcterms:created>
  <dcterms:modified xsi:type="dcterms:W3CDTF">2023-10-10T08:29:00Z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