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0553832B" w14:textId="26A83FD8" w:rsidR="009A24E0" w:rsidRDefault="009A24E0" w:rsidP="00B27C5B">
          <w:pPr>
            <w:rPr>
              <w:highlight w:val="yellow"/>
            </w:rPr>
          </w:pPr>
        </w:p>
        <w:p w14:paraId="66C82109" w14:textId="09709D8F" w:rsidR="009A24E0" w:rsidRDefault="009A24E0" w:rsidP="00B27C5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1A089D9D" w14:textId="14F9451F" w:rsidR="009A24E0" w:rsidRPr="00A92255" w:rsidRDefault="009A24E0" w:rsidP="009A24E0">
          <w:pPr>
            <w:pStyle w:val="Nadpis3"/>
            <w:spacing w:before="10"/>
            <w:ind w:left="0"/>
            <w:jc w:val="both"/>
            <w:rPr>
              <w:rFonts w:asciiTheme="minorHAnsi" w:hAnsiTheme="minorHAnsi" w:cstheme="minorHAnsi"/>
              <w:color w:val="1D1D1B"/>
              <w:highlight w:val="yellow"/>
            </w:rPr>
          </w:pPr>
        </w:p>
        <w:p w14:paraId="57935006" w14:textId="77777777" w:rsidR="009A24E0" w:rsidRDefault="009A24E0" w:rsidP="009A24E0">
          <w:pPr>
            <w:spacing w:before="230"/>
            <w:ind w:left="165"/>
            <w:jc w:val="center"/>
            <w:rPr>
              <w:rFonts w:asciiTheme="minorHAnsi" w:hAnsiTheme="minorHAnsi" w:cstheme="minorHAnsi"/>
              <w:color w:val="1D1D1B"/>
              <w:sz w:val="24"/>
            </w:rPr>
          </w:pPr>
          <w:r w:rsidRPr="00A92255">
            <w:rPr>
              <w:rFonts w:asciiTheme="minorHAnsi" w:hAnsiTheme="minorHAnsi" w:cstheme="minorHAnsi"/>
              <w:color w:val="1D1D1B"/>
              <w:sz w:val="24"/>
            </w:rPr>
            <w:t xml:space="preserve">INDEX HYPOTEČNÍCH ÚVĚRŮ </w:t>
          </w:r>
          <w:r w:rsidRPr="00A92255">
            <w:rPr>
              <w:rFonts w:asciiTheme="minorHAnsi" w:hAnsiTheme="minorHAnsi" w:cstheme="minorHAnsi"/>
              <w:color w:val="CD1719"/>
              <w:sz w:val="24"/>
            </w:rPr>
            <w:t xml:space="preserve">| </w:t>
          </w:r>
          <w:r w:rsidRPr="00A92255">
            <w:rPr>
              <w:rFonts w:asciiTheme="minorHAnsi" w:hAnsiTheme="minorHAnsi" w:cstheme="minorHAnsi"/>
              <w:color w:val="1D1D1B"/>
              <w:sz w:val="24"/>
            </w:rPr>
            <w:t>FIXINDEX</w:t>
          </w:r>
        </w:p>
        <w:p w14:paraId="4971D4AA" w14:textId="77777777" w:rsidR="009A24E0" w:rsidRPr="009A24E0" w:rsidRDefault="009A24E0" w:rsidP="009A24E0">
          <w:pPr>
            <w:spacing w:before="240" w:line="288" w:lineRule="exact"/>
            <w:ind w:left="162"/>
            <w:jc w:val="center"/>
            <w:rPr>
              <w:rFonts w:asciiTheme="minorHAnsi" w:hAnsiTheme="minorHAnsi" w:cstheme="minorHAnsi"/>
              <w:b/>
              <w:color w:val="1D1D1B"/>
              <w:sz w:val="24"/>
            </w:rPr>
          </w:pPr>
          <w:r w:rsidRPr="009A24E0">
            <w:rPr>
              <w:rFonts w:asciiTheme="minorHAnsi" w:hAnsiTheme="minorHAnsi" w:cstheme="minorHAnsi"/>
              <w:b/>
              <w:color w:val="1D1D1B"/>
              <w:sz w:val="24"/>
            </w:rPr>
            <w:t>INDEX PODÍLOVÝCH FONDŮ</w:t>
          </w:r>
        </w:p>
        <w:p w14:paraId="2EF85979" w14:textId="77777777" w:rsidR="009A24E0" w:rsidRPr="009A24E0" w:rsidRDefault="009A24E0" w:rsidP="009A24E0">
          <w:pPr>
            <w:spacing w:before="240" w:line="288" w:lineRule="exact"/>
            <w:ind w:left="162"/>
            <w:jc w:val="center"/>
            <w:rPr>
              <w:rFonts w:asciiTheme="minorHAnsi" w:hAnsiTheme="minorHAnsi" w:cstheme="minorHAnsi"/>
              <w:color w:val="1D1D1B"/>
              <w:sz w:val="24"/>
            </w:rPr>
          </w:pPr>
          <w:r w:rsidRPr="009A24E0">
            <w:rPr>
              <w:rFonts w:asciiTheme="minorHAnsi" w:hAnsiTheme="minorHAnsi" w:cstheme="minorHAnsi"/>
              <w:color w:val="1D1D1B"/>
              <w:sz w:val="24"/>
            </w:rPr>
            <w:t>REALINDEX</w:t>
          </w:r>
        </w:p>
        <w:p w14:paraId="088D3706" w14:textId="77777777" w:rsidR="009A24E0" w:rsidRPr="00A92255" w:rsidRDefault="009A24E0" w:rsidP="009A24E0">
          <w:pPr>
            <w:spacing w:before="230"/>
            <w:ind w:left="165"/>
            <w:jc w:val="center"/>
            <w:rPr>
              <w:rFonts w:asciiTheme="minorHAnsi" w:hAnsiTheme="minorHAnsi" w:cstheme="minorHAnsi"/>
              <w:color w:val="1D1D1B"/>
              <w:sz w:val="24"/>
            </w:rPr>
          </w:pPr>
          <w:r w:rsidRPr="00A92255">
            <w:rPr>
              <w:rFonts w:asciiTheme="minorHAnsi" w:hAnsiTheme="minorHAnsi" w:cstheme="minorHAnsi"/>
              <w:color w:val="1D1D1B"/>
              <w:sz w:val="24"/>
            </w:rPr>
            <w:t>POVINDEX</w:t>
          </w:r>
        </w:p>
        <w:p w14:paraId="2C84A045" w14:textId="77777777" w:rsidR="009A24E0" w:rsidRPr="00A92255" w:rsidRDefault="009A24E0" w:rsidP="009A24E0">
          <w:pPr>
            <w:spacing w:before="230"/>
            <w:ind w:left="165"/>
            <w:jc w:val="center"/>
            <w:rPr>
              <w:rFonts w:asciiTheme="minorHAnsi" w:hAnsiTheme="minorHAnsi" w:cstheme="minorHAnsi"/>
              <w:color w:val="CD1719"/>
              <w:sz w:val="24"/>
            </w:rPr>
          </w:pPr>
          <w:r w:rsidRPr="00A92255">
            <w:rPr>
              <w:rFonts w:asciiTheme="minorHAnsi" w:hAnsiTheme="minorHAnsi" w:cstheme="minorHAnsi"/>
              <w:color w:val="1D1D1B"/>
              <w:sz w:val="24"/>
            </w:rPr>
            <w:t>INDEX SPOTŘEBITELSKÝCH ÚVĚRŮ</w:t>
          </w:r>
        </w:p>
        <w:p w14:paraId="77054EA8" w14:textId="77777777" w:rsidR="009A24E0" w:rsidRPr="00FC2522" w:rsidRDefault="009A24E0" w:rsidP="009A24E0">
          <w:pPr>
            <w:pStyle w:val="Zkladntext"/>
            <w:spacing w:before="240"/>
            <w:jc w:val="both"/>
            <w:rPr>
              <w:sz w:val="20"/>
              <w:highlight w:val="yellow"/>
            </w:rPr>
          </w:pPr>
        </w:p>
        <w:p w14:paraId="21A769D6" w14:textId="77777777" w:rsidR="009A24E0" w:rsidRPr="00FC2522" w:rsidRDefault="009A24E0" w:rsidP="009A24E0">
          <w:pPr>
            <w:pStyle w:val="Zkladntext"/>
            <w:spacing w:before="240"/>
            <w:jc w:val="both"/>
            <w:rPr>
              <w:sz w:val="20"/>
              <w:highlight w:val="yellow"/>
            </w:rPr>
          </w:pPr>
        </w:p>
        <w:p w14:paraId="2E93F250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7CC3AA0C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  <w:r w:rsidRPr="00FC2522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59264" behindDoc="1" locked="0" layoutInCell="1" allowOverlap="1" wp14:anchorId="48E7ADFA" wp14:editId="7B0A3BF0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95F7708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5E6664AB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1930CA37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7FCA6E80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13FE327E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19E3C758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52633DF4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444CA251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  <w:highlight w:val="yellow"/>
            </w:rPr>
          </w:pPr>
        </w:p>
        <w:p w14:paraId="4AFBCDC0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9110DCD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E4B3D26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775C62E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C40915A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414FDD7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5AFA46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14008C1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09C85DE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FC86080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52B0573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7E7CE0FE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7D076C6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3693F34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7AA8D59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7E50C7C7" w14:textId="4F641F9A" w:rsidR="009A24E0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F1D41DE" w14:textId="3074C335" w:rsidR="00B859AE" w:rsidRDefault="00B859AE" w:rsidP="009A24E0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A718EC4" w14:textId="77777777" w:rsidR="00B859AE" w:rsidRDefault="00B859AE" w:rsidP="009A24E0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</w:p>
        <w:p w14:paraId="1C76B6CD" w14:textId="77777777" w:rsidR="009A24E0" w:rsidRDefault="009A24E0" w:rsidP="009A24E0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</w:p>
        <w:p w14:paraId="3788119E" w14:textId="77777777" w:rsidR="009A24E0" w:rsidRDefault="009A24E0" w:rsidP="009A24E0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</w:p>
        <w:p w14:paraId="2D28740B" w14:textId="114FA560" w:rsidR="009A24E0" w:rsidRPr="00A92255" w:rsidRDefault="009A24E0" w:rsidP="009A24E0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  <w:r w:rsidRPr="00A92255">
            <w:rPr>
              <w:rFonts w:asciiTheme="minorHAnsi" w:hAnsiTheme="minorHAnsi" w:cstheme="minorHAnsi"/>
              <w:b/>
            </w:rPr>
            <w:t>O společnosti Broker Consulting</w:t>
          </w:r>
        </w:p>
        <w:p w14:paraId="03F88B1D" w14:textId="77777777" w:rsidR="009A24E0" w:rsidRPr="00FC2522" w:rsidRDefault="009A24E0" w:rsidP="009A24E0">
          <w:pPr>
            <w:jc w:val="both"/>
            <w:rPr>
              <w:rFonts w:ascii="Arial" w:hAnsi="Arial" w:cs="Arial"/>
              <w:sz w:val="20"/>
            </w:rPr>
          </w:pPr>
        </w:p>
        <w:p w14:paraId="63D94E4D" w14:textId="16A534E3" w:rsidR="00B859AE" w:rsidRPr="00100CE7" w:rsidRDefault="00B859AE" w:rsidP="00B859AE">
          <w:pPr>
            <w:jc w:val="both"/>
            <w:rPr>
              <w:rFonts w:asciiTheme="minorHAnsi" w:hAnsiTheme="minorHAnsi" w:cstheme="minorHAnsi"/>
              <w:sz w:val="20"/>
              <w:szCs w:val="20"/>
              <w:lang w:val="de-DE"/>
            </w:rPr>
          </w:pPr>
          <w:r w:rsidRPr="00B712F8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</w:t>
          </w:r>
          <w:r>
            <w:rPr>
              <w:rFonts w:asciiTheme="minorHAnsi" w:hAnsiTheme="minorHAnsi" w:cstheme="minorHAnsi"/>
              <w:sz w:val="20"/>
              <w:szCs w:val="20"/>
            </w:rPr>
            <w:t>u 1998 získala důvěru více než 7</w:t>
          </w:r>
          <w:r w:rsidRPr="00B712F8">
            <w:rPr>
              <w:rFonts w:asciiTheme="minorHAnsi" w:hAnsiTheme="minorHAnsi" w:cstheme="minorHAnsi"/>
              <w:sz w:val="20"/>
              <w:szCs w:val="20"/>
            </w:rPr>
            <w:t xml:space="preserve">00 000 klientů. Poskytuje také služby přes 4 000 firmám. Distribuci služeb zajišťuje přibližně 2 000 konzultantů (profesionální konzultanti, zaměstnanci, konzultanti v zapracování v ČR i SR) ve </w:t>
          </w:r>
          <w:r w:rsidR="00A46C7A">
            <w:rPr>
              <w:rFonts w:asciiTheme="minorHAnsi" w:hAnsiTheme="minorHAnsi" w:cstheme="minorHAnsi"/>
              <w:sz w:val="20"/>
              <w:szCs w:val="20"/>
            </w:rPr>
            <w:t>více než 15</w:t>
          </w:r>
          <w:r>
            <w:rPr>
              <w:rFonts w:asciiTheme="minorHAnsi" w:hAnsiTheme="minorHAnsi" w:cstheme="minorHAnsi"/>
              <w:sz w:val="20"/>
              <w:szCs w:val="20"/>
            </w:rPr>
            <w:t>0 kancelářích a</w:t>
          </w:r>
          <w:r w:rsidRPr="00B712F8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 w:rsidR="00F75D78">
            <w:rPr>
              <w:rFonts w:asciiTheme="minorHAnsi" w:hAnsiTheme="minorHAnsi" w:cstheme="minorHAnsi"/>
              <w:sz w:val="20"/>
              <w:szCs w:val="20"/>
            </w:rPr>
            <w:t xml:space="preserve">na 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desítkách poboček </w:t>
          </w:r>
          <w:r w:rsidRPr="00B712F8">
            <w:rPr>
              <w:rFonts w:asciiTheme="minorHAnsi" w:hAnsiTheme="minorHAnsi" w:cstheme="minorHAnsi"/>
              <w:sz w:val="20"/>
              <w:szCs w:val="20"/>
            </w:rPr>
            <w:t xml:space="preserve">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jehož přináší společnost Broker Consulting, která za vedení franšízy a její podporu získala ocenění </w:t>
          </w:r>
          <w:proofErr w:type="spellStart"/>
          <w:r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>Franchisor</w:t>
          </w:r>
          <w:proofErr w:type="spellEnd"/>
          <w:r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 xml:space="preserve"> roku 2022</w:t>
          </w:r>
          <w:r w:rsidRPr="00A0680F">
            <w:rPr>
              <w:rFonts w:asciiTheme="minorHAnsi" w:hAnsiTheme="minorHAnsi" w:cstheme="minorHAnsi"/>
              <w:color w:val="FF0000"/>
              <w:sz w:val="20"/>
              <w:szCs w:val="20"/>
            </w:rPr>
            <w:t xml:space="preserve"> 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od České asociace </w:t>
          </w:r>
          <w:proofErr w:type="spellStart"/>
          <w:r>
            <w:rPr>
              <w:rFonts w:asciiTheme="minorHAnsi" w:hAnsiTheme="minorHAnsi" w:cstheme="minorHAnsi"/>
              <w:sz w:val="20"/>
              <w:szCs w:val="20"/>
            </w:rPr>
            <w:t>franchisingu</w:t>
          </w:r>
          <w:proofErr w:type="spellEnd"/>
          <w:r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proofErr w:type="spellStart"/>
          <w:r w:rsidRPr="00B712F8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B712F8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Pr="00B712F8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www.bcas.cz</w:t>
            </w:r>
          </w:hyperlink>
          <w:r w:rsidRPr="00B712F8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 xml:space="preserve">, </w:t>
          </w:r>
          <w:hyperlink r:id="rId10" w:history="1">
            <w:r w:rsidRPr="00B712F8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www.okpointy.cz</w:t>
            </w:r>
          </w:hyperlink>
          <w:r w:rsidRPr="00B712F8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, www.okpoint.tv</w:t>
          </w:r>
          <w:r w:rsidRPr="00B712F8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1" w:history="1">
            <w:r w:rsidRPr="00B712F8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www.realityspolu.cz</w:t>
            </w:r>
          </w:hyperlink>
          <w:r w:rsidRPr="00B712F8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  <w:r w:rsidRPr="00B712F8">
            <w:rPr>
              <w:rStyle w:val="dn"/>
              <w:rFonts w:asciiTheme="minorHAnsi" w:hAnsiTheme="minorHAnsi" w:cstheme="minorHAnsi"/>
              <w:sz w:val="20"/>
              <w:szCs w:val="20"/>
              <w:lang w:val="cs-CZ"/>
            </w:rPr>
            <w:t>Navštivte také náš</w:t>
          </w:r>
          <w:r w:rsidRPr="00B712F8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2" w:history="1">
            <w:proofErr w:type="spellStart"/>
            <w:r w:rsidRPr="00B712F8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3" w:history="1">
            <w:proofErr w:type="spellStart"/>
            <w:r w:rsidRPr="00B712F8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@</w:t>
          </w:r>
          <w:proofErr w:type="spellStart"/>
          <w:r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BC_oficialni</w:t>
          </w:r>
          <w:proofErr w:type="spellEnd"/>
          <w:r w:rsidRPr="00B712F8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4" w:history="1">
            <w:proofErr w:type="spellStart"/>
            <w:r w:rsidRPr="00B712F8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B712F8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5" w:history="1">
            <w:proofErr w:type="spellStart"/>
            <w:r w:rsidRPr="00B712F8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B712F8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 w:rsidR="002E4795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OK POINTŮ</w:t>
          </w:r>
          <w:r w:rsidRPr="00B712F8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  <w:r w:rsidRPr="00B712F8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  <w:p w14:paraId="5EE81B6A" w14:textId="77777777" w:rsidR="008C5E3B" w:rsidRPr="007C7B64" w:rsidRDefault="008C5E3B" w:rsidP="00B27C5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E8689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6"/>
              <w:headerReference w:type="default" r:id="rId17"/>
              <w:footerReference w:type="even" r:id="rId18"/>
              <w:footerReference w:type="default" r:id="rId19"/>
              <w:headerReference w:type="first" r:id="rId20"/>
              <w:footerReference w:type="first" r:id="rId21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199B939B" w14:textId="67D855C4" w:rsidR="001C4B7D" w:rsidRDefault="009A24E0" w:rsidP="00FA7D5C">
      <w:pPr>
        <w:spacing w:after="120"/>
        <w:jc w:val="center"/>
        <w:rPr>
          <w:rFonts w:asciiTheme="minorHAnsi" w:hAnsiTheme="minorHAnsi" w:cstheme="minorHAnsi"/>
          <w:b/>
          <w:sz w:val="27"/>
          <w:szCs w:val="27"/>
        </w:rPr>
      </w:pPr>
      <w:r>
        <w:rPr>
          <w:rFonts w:asciiTheme="minorHAnsi" w:hAnsiTheme="minorHAnsi" w:cstheme="minorHAnsi"/>
          <w:b/>
          <w:sz w:val="27"/>
          <w:szCs w:val="27"/>
        </w:rPr>
        <w:br/>
      </w:r>
      <w:r w:rsidR="00F75D78">
        <w:rPr>
          <w:rFonts w:asciiTheme="minorHAnsi" w:hAnsiTheme="minorHAnsi" w:cstheme="minorHAnsi"/>
          <w:b/>
          <w:sz w:val="27"/>
          <w:szCs w:val="27"/>
        </w:rPr>
        <w:lastRenderedPageBreak/>
        <w:t xml:space="preserve">V srpnu klesala </w:t>
      </w:r>
      <w:r w:rsidR="00DF7A3E">
        <w:rPr>
          <w:rFonts w:asciiTheme="minorHAnsi" w:hAnsiTheme="minorHAnsi" w:cstheme="minorHAnsi"/>
          <w:b/>
          <w:sz w:val="27"/>
          <w:szCs w:val="27"/>
        </w:rPr>
        <w:t>aktiva napříč trhy. Investorům</w:t>
      </w:r>
      <w:r w:rsidR="00AC61AF">
        <w:rPr>
          <w:rFonts w:asciiTheme="minorHAnsi" w:hAnsiTheme="minorHAnsi" w:cstheme="minorHAnsi"/>
          <w:b/>
          <w:sz w:val="27"/>
          <w:szCs w:val="27"/>
        </w:rPr>
        <w:t xml:space="preserve"> se otevírají nové příležitosti</w:t>
      </w:r>
    </w:p>
    <w:p w14:paraId="1970F70A" w14:textId="02345EC0" w:rsidR="00684D2C" w:rsidRPr="008B01BE" w:rsidRDefault="00190287" w:rsidP="00684D2C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hAnsiTheme="minorHAnsi" w:cstheme="minorHAnsi"/>
          <w:b/>
          <w:sz w:val="21"/>
          <w:szCs w:val="21"/>
        </w:rPr>
      </w:pPr>
      <w:r w:rsidRPr="008B01BE">
        <w:rPr>
          <w:rFonts w:asciiTheme="minorHAnsi" w:hAnsiTheme="minorHAnsi" w:cstheme="minorHAnsi"/>
          <w:b/>
          <w:sz w:val="21"/>
          <w:szCs w:val="21"/>
        </w:rPr>
        <w:t xml:space="preserve">Podle Broker Consulting Indexu </w:t>
      </w:r>
      <w:r w:rsidR="00684D2C" w:rsidRPr="008B01BE">
        <w:rPr>
          <w:rFonts w:asciiTheme="minorHAnsi" w:hAnsiTheme="minorHAnsi" w:cstheme="minorHAnsi"/>
          <w:b/>
          <w:sz w:val="21"/>
          <w:szCs w:val="21"/>
        </w:rPr>
        <w:t>podílových fondů</w:t>
      </w:r>
      <w:r w:rsidR="007216AC" w:rsidRPr="008B01BE">
        <w:rPr>
          <w:rFonts w:asciiTheme="minorHAnsi" w:hAnsiTheme="minorHAnsi" w:cstheme="minorHAnsi"/>
          <w:b/>
          <w:sz w:val="21"/>
          <w:szCs w:val="21"/>
        </w:rPr>
        <w:t xml:space="preserve"> poklesly v srpnu všechny monitorované podílové fondy.</w:t>
      </w:r>
    </w:p>
    <w:p w14:paraId="243BCF90" w14:textId="3FDB25D5" w:rsidR="00684D2C" w:rsidRPr="008B01BE" w:rsidRDefault="00F75D78" w:rsidP="00684D2C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hAnsiTheme="minorHAnsi" w:cstheme="minorHAnsi"/>
          <w:b/>
          <w:sz w:val="21"/>
          <w:szCs w:val="21"/>
        </w:rPr>
      </w:pPr>
      <w:r>
        <w:rPr>
          <w:rFonts w:asciiTheme="minorHAnsi" w:hAnsiTheme="minorHAnsi" w:cstheme="minorHAnsi"/>
          <w:b/>
          <w:sz w:val="21"/>
          <w:szCs w:val="21"/>
        </w:rPr>
        <w:t>Nejvíce klesaly akciové (</w:t>
      </w:r>
      <w:r w:rsidRPr="008B01BE">
        <w:rPr>
          <w:rFonts w:asciiTheme="minorHAnsi" w:hAnsiTheme="minorHAnsi" w:cstheme="minorHAnsi"/>
          <w:b/>
          <w:sz w:val="21"/>
          <w:szCs w:val="21"/>
        </w:rPr>
        <w:t>-</w:t>
      </w:r>
      <w:r w:rsidR="007216AC" w:rsidRPr="008B01BE">
        <w:rPr>
          <w:rFonts w:asciiTheme="minorHAnsi" w:hAnsiTheme="minorHAnsi" w:cstheme="minorHAnsi"/>
          <w:b/>
          <w:sz w:val="21"/>
          <w:szCs w:val="21"/>
        </w:rPr>
        <w:t>4,94 procent</w:t>
      </w:r>
      <w:r>
        <w:rPr>
          <w:rFonts w:asciiTheme="minorHAnsi" w:hAnsiTheme="minorHAnsi" w:cstheme="minorHAnsi"/>
          <w:b/>
          <w:sz w:val="21"/>
          <w:szCs w:val="21"/>
        </w:rPr>
        <w:t>a</w:t>
      </w:r>
      <w:r w:rsidR="007216AC" w:rsidRPr="008B01BE">
        <w:rPr>
          <w:rFonts w:asciiTheme="minorHAnsi" w:hAnsiTheme="minorHAnsi" w:cstheme="minorHAnsi"/>
          <w:b/>
          <w:sz w:val="21"/>
          <w:szCs w:val="21"/>
        </w:rPr>
        <w:t>)</w:t>
      </w:r>
      <w:r w:rsidR="00427CBB" w:rsidRPr="008B01BE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="007216AC" w:rsidRPr="008B01BE">
        <w:rPr>
          <w:rFonts w:asciiTheme="minorHAnsi" w:hAnsiTheme="minorHAnsi" w:cstheme="minorHAnsi"/>
          <w:b/>
          <w:sz w:val="21"/>
          <w:szCs w:val="21"/>
        </w:rPr>
        <w:t>a komoditní (-3,72</w:t>
      </w:r>
      <w:r w:rsidR="00AC0249" w:rsidRPr="008B01BE">
        <w:rPr>
          <w:rFonts w:asciiTheme="minorHAnsi" w:hAnsiTheme="minorHAnsi" w:cstheme="minorHAnsi"/>
          <w:b/>
          <w:sz w:val="21"/>
          <w:szCs w:val="21"/>
        </w:rPr>
        <w:t xml:space="preserve"> procent</w:t>
      </w:r>
      <w:r>
        <w:rPr>
          <w:rFonts w:asciiTheme="minorHAnsi" w:hAnsiTheme="minorHAnsi" w:cstheme="minorHAnsi"/>
          <w:b/>
          <w:sz w:val="21"/>
          <w:szCs w:val="21"/>
        </w:rPr>
        <w:t>a</w:t>
      </w:r>
      <w:r w:rsidR="00AC0249" w:rsidRPr="008B01BE">
        <w:rPr>
          <w:rFonts w:asciiTheme="minorHAnsi" w:hAnsiTheme="minorHAnsi" w:cstheme="minorHAnsi"/>
          <w:b/>
          <w:sz w:val="21"/>
          <w:szCs w:val="21"/>
        </w:rPr>
        <w:t xml:space="preserve">) </w:t>
      </w:r>
      <w:r w:rsidR="007216AC" w:rsidRPr="008B01BE">
        <w:rPr>
          <w:rFonts w:asciiTheme="minorHAnsi" w:hAnsiTheme="minorHAnsi" w:cstheme="minorHAnsi"/>
          <w:b/>
          <w:sz w:val="21"/>
          <w:szCs w:val="21"/>
        </w:rPr>
        <w:t>fondy.</w:t>
      </w:r>
    </w:p>
    <w:p w14:paraId="6E88F3D2" w14:textId="017BBD9F" w:rsidR="00AC0249" w:rsidRPr="008B01BE" w:rsidRDefault="007216AC" w:rsidP="008B01BE">
      <w:pPr>
        <w:pStyle w:val="Odstavecseseznamem"/>
        <w:numPr>
          <w:ilvl w:val="0"/>
          <w:numId w:val="3"/>
        </w:numPr>
        <w:spacing w:after="120"/>
        <w:ind w:left="357" w:right="40" w:hanging="357"/>
        <w:rPr>
          <w:rFonts w:asciiTheme="minorHAnsi" w:hAnsiTheme="minorHAnsi" w:cstheme="minorHAnsi"/>
          <w:b/>
          <w:sz w:val="21"/>
          <w:szCs w:val="21"/>
        </w:rPr>
      </w:pPr>
      <w:r w:rsidRPr="008B01BE">
        <w:rPr>
          <w:rFonts w:asciiTheme="minorHAnsi" w:hAnsiTheme="minorHAnsi" w:cstheme="minorHAnsi"/>
          <w:b/>
          <w:sz w:val="21"/>
          <w:szCs w:val="21"/>
        </w:rPr>
        <w:t xml:space="preserve">V červených číslech </w:t>
      </w:r>
      <w:r w:rsidR="00427CBB" w:rsidRPr="008B01BE">
        <w:rPr>
          <w:rFonts w:asciiTheme="minorHAnsi" w:hAnsiTheme="minorHAnsi" w:cstheme="minorHAnsi"/>
          <w:b/>
          <w:sz w:val="21"/>
          <w:szCs w:val="21"/>
        </w:rPr>
        <w:t>skončily také</w:t>
      </w:r>
      <w:r w:rsidR="00F75D78">
        <w:rPr>
          <w:rFonts w:asciiTheme="minorHAnsi" w:hAnsiTheme="minorHAnsi" w:cstheme="minorHAnsi"/>
          <w:b/>
          <w:sz w:val="21"/>
          <w:szCs w:val="21"/>
        </w:rPr>
        <w:t xml:space="preserve"> dluhopisové (</w:t>
      </w:r>
      <w:r w:rsidR="00F75D78" w:rsidRPr="008B01BE">
        <w:rPr>
          <w:rFonts w:asciiTheme="minorHAnsi" w:hAnsiTheme="minorHAnsi" w:cstheme="minorHAnsi"/>
          <w:b/>
          <w:sz w:val="21"/>
          <w:szCs w:val="21"/>
        </w:rPr>
        <w:t>-</w:t>
      </w:r>
      <w:r w:rsidRPr="008B01BE">
        <w:rPr>
          <w:rFonts w:asciiTheme="minorHAnsi" w:hAnsiTheme="minorHAnsi" w:cstheme="minorHAnsi"/>
          <w:b/>
          <w:sz w:val="21"/>
          <w:szCs w:val="21"/>
        </w:rPr>
        <w:t>1,25 procent</w:t>
      </w:r>
      <w:r w:rsidR="00F75D78">
        <w:rPr>
          <w:rFonts w:asciiTheme="minorHAnsi" w:hAnsiTheme="minorHAnsi" w:cstheme="minorHAnsi"/>
          <w:b/>
          <w:sz w:val="21"/>
          <w:szCs w:val="21"/>
        </w:rPr>
        <w:t>a), nemovitostní fondy (</w:t>
      </w:r>
      <w:r w:rsidR="00F75D78" w:rsidRPr="008B01BE">
        <w:rPr>
          <w:rFonts w:asciiTheme="minorHAnsi" w:hAnsiTheme="minorHAnsi" w:cstheme="minorHAnsi"/>
          <w:b/>
          <w:sz w:val="21"/>
          <w:szCs w:val="21"/>
        </w:rPr>
        <w:t>-</w:t>
      </w:r>
      <w:r w:rsidRPr="008B01BE">
        <w:rPr>
          <w:rFonts w:asciiTheme="minorHAnsi" w:hAnsiTheme="minorHAnsi" w:cstheme="minorHAnsi"/>
          <w:b/>
          <w:sz w:val="21"/>
          <w:szCs w:val="21"/>
        </w:rPr>
        <w:t>0,14 procent</w:t>
      </w:r>
      <w:r w:rsidR="00F75D78">
        <w:rPr>
          <w:rFonts w:asciiTheme="minorHAnsi" w:hAnsiTheme="minorHAnsi" w:cstheme="minorHAnsi"/>
          <w:b/>
          <w:sz w:val="21"/>
          <w:szCs w:val="21"/>
        </w:rPr>
        <w:t>a</w:t>
      </w:r>
      <w:r w:rsidRPr="008B01BE">
        <w:rPr>
          <w:rFonts w:asciiTheme="minorHAnsi" w:hAnsiTheme="minorHAnsi" w:cstheme="minorHAnsi"/>
          <w:b/>
          <w:sz w:val="21"/>
          <w:szCs w:val="21"/>
        </w:rPr>
        <w:t>) a fondy peněžního trhu.</w:t>
      </w:r>
    </w:p>
    <w:p w14:paraId="0F98CF24" w14:textId="2725A220" w:rsidR="00BB3C6C" w:rsidRPr="0015577B" w:rsidRDefault="00836812" w:rsidP="00A07F59">
      <w:pPr>
        <w:spacing w:after="120"/>
        <w:rPr>
          <w:rFonts w:asciiTheme="minorHAnsi" w:hAnsiTheme="minorHAnsi" w:cstheme="minorHAnsi"/>
          <w:b/>
        </w:rPr>
      </w:pPr>
      <w:r w:rsidRPr="0015577B">
        <w:rPr>
          <w:rFonts w:asciiTheme="minorHAnsi" w:hAnsiTheme="minorHAnsi" w:cstheme="minorHAnsi"/>
          <w:i/>
        </w:rPr>
        <w:t xml:space="preserve">Praha, </w:t>
      </w:r>
      <w:r w:rsidR="00BA3909">
        <w:rPr>
          <w:rFonts w:asciiTheme="minorHAnsi" w:hAnsiTheme="minorHAnsi" w:cstheme="minorHAnsi"/>
          <w:i/>
        </w:rPr>
        <w:t>20</w:t>
      </w:r>
      <w:bookmarkStart w:id="0" w:name="_GoBack"/>
      <w:bookmarkEnd w:id="0"/>
      <w:r w:rsidR="0023764D" w:rsidRPr="0015577B">
        <w:rPr>
          <w:rFonts w:asciiTheme="minorHAnsi" w:hAnsiTheme="minorHAnsi" w:cstheme="minorHAnsi"/>
          <w:i/>
        </w:rPr>
        <w:t>. září</w:t>
      </w:r>
      <w:r w:rsidR="00B3476A" w:rsidRPr="0015577B">
        <w:rPr>
          <w:rFonts w:asciiTheme="minorHAnsi" w:hAnsiTheme="minorHAnsi" w:cstheme="minorHAnsi"/>
          <w:i/>
        </w:rPr>
        <w:t xml:space="preserve"> </w:t>
      </w:r>
      <w:r w:rsidR="001F6C24" w:rsidRPr="0015577B">
        <w:rPr>
          <w:rFonts w:asciiTheme="minorHAnsi" w:hAnsiTheme="minorHAnsi" w:cstheme="minorHAnsi"/>
          <w:i/>
        </w:rPr>
        <w:t>2023</w:t>
      </w:r>
      <w:r w:rsidR="00197879" w:rsidRPr="0015577B">
        <w:rPr>
          <w:rFonts w:asciiTheme="minorHAnsi" w:hAnsiTheme="minorHAnsi" w:cstheme="minorHAnsi"/>
          <w:i/>
        </w:rPr>
        <w:t xml:space="preserve"> </w:t>
      </w:r>
      <w:r w:rsidR="00197879" w:rsidRPr="0015577B">
        <w:rPr>
          <w:rFonts w:asciiTheme="minorHAnsi" w:hAnsiTheme="minorHAnsi" w:cstheme="minorHAnsi"/>
          <w:b/>
        </w:rPr>
        <w:t>–</w:t>
      </w:r>
      <w:r w:rsidR="00AB5142" w:rsidRPr="0015577B">
        <w:rPr>
          <w:rFonts w:asciiTheme="minorHAnsi" w:hAnsiTheme="minorHAnsi" w:cstheme="minorHAnsi"/>
          <w:b/>
        </w:rPr>
        <w:t xml:space="preserve"> </w:t>
      </w:r>
      <w:r w:rsidR="00175D35" w:rsidRPr="0015577B">
        <w:rPr>
          <w:rFonts w:asciiTheme="minorHAnsi" w:hAnsiTheme="minorHAnsi" w:cstheme="minorHAnsi"/>
          <w:b/>
        </w:rPr>
        <w:t xml:space="preserve">Srpnové výsledky Broker Consulting Indexu zaznamenaly plošný pokles mezi monitorovanými </w:t>
      </w:r>
      <w:r w:rsidR="00BB3C6C" w:rsidRPr="0015577B">
        <w:rPr>
          <w:rFonts w:asciiTheme="minorHAnsi" w:hAnsiTheme="minorHAnsi" w:cstheme="minorHAnsi"/>
          <w:b/>
        </w:rPr>
        <w:t>třídami aktiv</w:t>
      </w:r>
      <w:r w:rsidR="002D343D" w:rsidRPr="0015577B">
        <w:rPr>
          <w:rFonts w:asciiTheme="minorHAnsi" w:hAnsiTheme="minorHAnsi" w:cstheme="minorHAnsi"/>
          <w:b/>
        </w:rPr>
        <w:t>. Nejvíce ztratily</w:t>
      </w:r>
      <w:r w:rsidR="00175D35" w:rsidRPr="0015577B">
        <w:rPr>
          <w:rFonts w:asciiTheme="minorHAnsi" w:hAnsiTheme="minorHAnsi" w:cstheme="minorHAnsi"/>
          <w:b/>
        </w:rPr>
        <w:t xml:space="preserve"> </w:t>
      </w:r>
      <w:r w:rsidR="00165641">
        <w:rPr>
          <w:rFonts w:asciiTheme="minorHAnsi" w:hAnsiTheme="minorHAnsi" w:cstheme="minorHAnsi"/>
          <w:b/>
        </w:rPr>
        <w:t xml:space="preserve">– necelých pět procent </w:t>
      </w:r>
      <w:r w:rsidR="00165641" w:rsidRPr="0015577B">
        <w:rPr>
          <w:rFonts w:asciiTheme="minorHAnsi" w:hAnsiTheme="minorHAnsi" w:cstheme="minorHAnsi"/>
          <w:b/>
        </w:rPr>
        <w:t xml:space="preserve"> – </w:t>
      </w:r>
      <w:r w:rsidR="00175D35" w:rsidRPr="0015577B">
        <w:rPr>
          <w:rFonts w:asciiTheme="minorHAnsi" w:hAnsiTheme="minorHAnsi" w:cstheme="minorHAnsi"/>
          <w:b/>
        </w:rPr>
        <w:t>fondy akciové, a to kvůli snížení</w:t>
      </w:r>
      <w:r w:rsidR="002D343D" w:rsidRPr="0015577B">
        <w:rPr>
          <w:rFonts w:asciiTheme="minorHAnsi" w:hAnsiTheme="minorHAnsi" w:cstheme="minorHAnsi"/>
          <w:b/>
        </w:rPr>
        <w:t xml:space="preserve"> kreditního ratingu </w:t>
      </w:r>
      <w:r w:rsidR="00175D35" w:rsidRPr="0015577B">
        <w:rPr>
          <w:rFonts w:asciiTheme="minorHAnsi" w:hAnsiTheme="minorHAnsi" w:cstheme="minorHAnsi"/>
          <w:b/>
        </w:rPr>
        <w:t>USA a hromadnému přelivu kapitálu d</w:t>
      </w:r>
      <w:r w:rsidR="006C3B51" w:rsidRPr="0015577B">
        <w:rPr>
          <w:rFonts w:asciiTheme="minorHAnsi" w:hAnsiTheme="minorHAnsi" w:cstheme="minorHAnsi"/>
          <w:b/>
        </w:rPr>
        <w:t>o dluhových cenných papírů. Dolů šly ceny</w:t>
      </w:r>
      <w:r w:rsidR="002D343D" w:rsidRPr="0015577B">
        <w:rPr>
          <w:rFonts w:asciiTheme="minorHAnsi" w:hAnsiTheme="minorHAnsi" w:cstheme="minorHAnsi"/>
          <w:b/>
        </w:rPr>
        <w:t xml:space="preserve"> obligací</w:t>
      </w:r>
      <w:r w:rsidR="006C3B51" w:rsidRPr="0015577B">
        <w:rPr>
          <w:rFonts w:asciiTheme="minorHAnsi" w:hAnsiTheme="minorHAnsi" w:cstheme="minorHAnsi"/>
          <w:b/>
        </w:rPr>
        <w:t xml:space="preserve">, což </w:t>
      </w:r>
      <w:r w:rsidR="002D343D" w:rsidRPr="0015577B">
        <w:rPr>
          <w:rFonts w:asciiTheme="minorHAnsi" w:hAnsiTheme="minorHAnsi" w:cstheme="minorHAnsi"/>
          <w:b/>
        </w:rPr>
        <w:t xml:space="preserve">se promítlo v cenách </w:t>
      </w:r>
      <w:r w:rsidR="00BB3C6C" w:rsidRPr="0015577B">
        <w:rPr>
          <w:rFonts w:asciiTheme="minorHAnsi" w:hAnsiTheme="minorHAnsi" w:cstheme="minorHAnsi"/>
          <w:b/>
        </w:rPr>
        <w:t>podílových listů</w:t>
      </w:r>
      <w:r w:rsidR="00555F45">
        <w:rPr>
          <w:rFonts w:asciiTheme="minorHAnsi" w:hAnsiTheme="minorHAnsi" w:cstheme="minorHAnsi"/>
          <w:b/>
        </w:rPr>
        <w:t xml:space="preserve"> a poklesu podílových fondů</w:t>
      </w:r>
      <w:r w:rsidR="001D397C" w:rsidRPr="0015577B">
        <w:rPr>
          <w:rFonts w:asciiTheme="minorHAnsi" w:hAnsiTheme="minorHAnsi" w:cstheme="minorHAnsi"/>
          <w:b/>
        </w:rPr>
        <w:t xml:space="preserve">. </w:t>
      </w:r>
      <w:r w:rsidR="008D26C8" w:rsidRPr="0015577B">
        <w:rPr>
          <w:rFonts w:asciiTheme="minorHAnsi" w:hAnsiTheme="minorHAnsi" w:cstheme="minorHAnsi"/>
          <w:b/>
        </w:rPr>
        <w:t>Komoditní fondy si v srpnu odepsaly minus 3,72 procent</w:t>
      </w:r>
      <w:r w:rsidR="00165641">
        <w:rPr>
          <w:rFonts w:asciiTheme="minorHAnsi" w:hAnsiTheme="minorHAnsi" w:cstheme="minorHAnsi"/>
          <w:b/>
        </w:rPr>
        <w:t>a</w:t>
      </w:r>
      <w:r w:rsidR="008D26C8" w:rsidRPr="0015577B">
        <w:rPr>
          <w:rFonts w:asciiTheme="minorHAnsi" w:hAnsiTheme="minorHAnsi" w:cstheme="minorHAnsi"/>
          <w:b/>
        </w:rPr>
        <w:t xml:space="preserve">. </w:t>
      </w:r>
      <w:r w:rsidR="00555F45">
        <w:rPr>
          <w:rFonts w:asciiTheme="minorHAnsi" w:hAnsiTheme="minorHAnsi" w:cstheme="minorHAnsi"/>
          <w:b/>
        </w:rPr>
        <w:t xml:space="preserve">U nemovitostních fondů eviduje index od začátku roku zisk </w:t>
      </w:r>
      <w:r w:rsidR="008D26C8" w:rsidRPr="0015577B">
        <w:rPr>
          <w:rFonts w:asciiTheme="minorHAnsi" w:hAnsiTheme="minorHAnsi" w:cstheme="minorHAnsi"/>
          <w:b/>
        </w:rPr>
        <w:t>1,42 procenta, a to navzdory zpomalenému nemovitostnímu trhu.</w:t>
      </w:r>
      <w:r w:rsidR="001E044B">
        <w:rPr>
          <w:rFonts w:asciiTheme="minorHAnsi" w:hAnsiTheme="minorHAnsi" w:cstheme="minorHAnsi"/>
          <w:b/>
        </w:rPr>
        <w:t xml:space="preserve"> Poklesy na </w:t>
      </w:r>
      <w:r w:rsidR="00555F45">
        <w:rPr>
          <w:rFonts w:asciiTheme="minorHAnsi" w:hAnsiTheme="minorHAnsi" w:cstheme="minorHAnsi"/>
          <w:b/>
        </w:rPr>
        <w:t xml:space="preserve">trzích jsou dlouhodobými </w:t>
      </w:r>
      <w:r w:rsidR="001E044B">
        <w:rPr>
          <w:rFonts w:asciiTheme="minorHAnsi" w:hAnsiTheme="minorHAnsi" w:cstheme="minorHAnsi"/>
          <w:b/>
        </w:rPr>
        <w:t>investory</w:t>
      </w:r>
      <w:r w:rsidR="00555F45">
        <w:rPr>
          <w:rFonts w:asciiTheme="minorHAnsi" w:hAnsiTheme="minorHAnsi" w:cstheme="minorHAnsi"/>
          <w:b/>
        </w:rPr>
        <w:t xml:space="preserve"> vítáni. Znamenají pro ně</w:t>
      </w:r>
      <w:r w:rsidR="001E044B">
        <w:rPr>
          <w:rFonts w:asciiTheme="minorHAnsi" w:hAnsiTheme="minorHAnsi" w:cstheme="minorHAnsi"/>
          <w:b/>
        </w:rPr>
        <w:t xml:space="preserve"> nové příležitosti</w:t>
      </w:r>
      <w:r w:rsidR="00555F45">
        <w:rPr>
          <w:rFonts w:asciiTheme="minorHAnsi" w:hAnsiTheme="minorHAnsi" w:cstheme="minorHAnsi"/>
          <w:b/>
        </w:rPr>
        <w:t xml:space="preserve"> a obchody</w:t>
      </w:r>
      <w:r w:rsidR="001E044B">
        <w:rPr>
          <w:rFonts w:asciiTheme="minorHAnsi" w:hAnsiTheme="minorHAnsi" w:cstheme="minorHAnsi"/>
          <w:b/>
        </w:rPr>
        <w:t xml:space="preserve">, </w:t>
      </w:r>
      <w:r w:rsidR="00555F45">
        <w:rPr>
          <w:rFonts w:asciiTheme="minorHAnsi" w:hAnsiTheme="minorHAnsi" w:cstheme="minorHAnsi"/>
          <w:b/>
        </w:rPr>
        <w:t>které mohou nakoupit</w:t>
      </w:r>
      <w:r w:rsidR="001E044B">
        <w:rPr>
          <w:rFonts w:asciiTheme="minorHAnsi" w:hAnsiTheme="minorHAnsi" w:cstheme="minorHAnsi"/>
          <w:b/>
        </w:rPr>
        <w:t xml:space="preserve"> levněji.</w:t>
      </w:r>
    </w:p>
    <w:p w14:paraId="7B7C1B82" w14:textId="102EBC19" w:rsidR="0015577B" w:rsidRPr="00A07F59" w:rsidRDefault="0015577B" w:rsidP="00034402">
      <w:pPr>
        <w:spacing w:after="120"/>
        <w:rPr>
          <w:rFonts w:asciiTheme="minorHAnsi" w:hAnsiTheme="minorHAnsi" w:cstheme="minorHAnsi"/>
          <w:b/>
          <w:sz w:val="21"/>
          <w:szCs w:val="21"/>
        </w:rPr>
      </w:pPr>
      <w:r w:rsidRPr="00A07F59">
        <w:rPr>
          <w:rFonts w:asciiTheme="minorHAnsi" w:hAnsiTheme="minorHAnsi" w:cstheme="minorHAnsi"/>
          <w:sz w:val="21"/>
          <w:szCs w:val="21"/>
        </w:rPr>
        <w:t>„</w:t>
      </w:r>
      <w:r w:rsidRPr="00A07F59">
        <w:rPr>
          <w:rFonts w:asciiTheme="minorHAnsi" w:hAnsiTheme="minorHAnsi" w:cstheme="minorHAnsi"/>
          <w:i/>
          <w:sz w:val="21"/>
          <w:szCs w:val="21"/>
        </w:rPr>
        <w:t xml:space="preserve">V minulém měsíci evidujeme největší pokles u akciových a komoditních fondů. V červených číslech se ale </w:t>
      </w:r>
      <w:r w:rsidR="00165641">
        <w:rPr>
          <w:rFonts w:asciiTheme="minorHAnsi" w:hAnsiTheme="minorHAnsi" w:cstheme="minorHAnsi"/>
          <w:i/>
          <w:sz w:val="21"/>
          <w:szCs w:val="21"/>
        </w:rPr>
        <w:t>pohybovala</w:t>
      </w:r>
      <w:r w:rsidRPr="00A07F59">
        <w:rPr>
          <w:rFonts w:asciiTheme="minorHAnsi" w:hAnsiTheme="minorHAnsi" w:cstheme="minorHAnsi"/>
          <w:i/>
          <w:sz w:val="21"/>
          <w:szCs w:val="21"/>
        </w:rPr>
        <w:t xml:space="preserve"> i ostatní sledovaná aktiva</w:t>
      </w:r>
      <w:r w:rsidRPr="00A07F59">
        <w:rPr>
          <w:rFonts w:asciiTheme="minorHAnsi" w:hAnsiTheme="minorHAnsi" w:cstheme="minorHAnsi"/>
          <w:sz w:val="21"/>
          <w:szCs w:val="21"/>
        </w:rPr>
        <w:t xml:space="preserve">,“ shrnuje měsíční výsledky Broker Consulting Indexu podílových fondů </w:t>
      </w:r>
      <w:r w:rsidRPr="00A07F59">
        <w:rPr>
          <w:rFonts w:asciiTheme="minorHAnsi" w:hAnsiTheme="minorHAnsi" w:cstheme="minorHAnsi"/>
          <w:b/>
          <w:sz w:val="21"/>
          <w:szCs w:val="21"/>
        </w:rPr>
        <w:t xml:space="preserve">Martin Novák, hlavní analytik Broker Consulting. </w:t>
      </w:r>
    </w:p>
    <w:p w14:paraId="02822CE3" w14:textId="7C2CCDA8" w:rsidR="009C1AF0" w:rsidRPr="00A07F59" w:rsidRDefault="0015577B" w:rsidP="00034402">
      <w:pPr>
        <w:spacing w:after="120"/>
        <w:rPr>
          <w:rFonts w:asciiTheme="minorHAnsi" w:hAnsiTheme="minorHAnsi" w:cstheme="minorHAnsi"/>
          <w:sz w:val="21"/>
          <w:szCs w:val="21"/>
        </w:rPr>
      </w:pPr>
      <w:r w:rsidRPr="00A07F59">
        <w:rPr>
          <w:rFonts w:asciiTheme="minorHAnsi" w:hAnsiTheme="minorHAnsi" w:cstheme="minorHAnsi"/>
          <w:sz w:val="21"/>
          <w:szCs w:val="21"/>
        </w:rPr>
        <w:t xml:space="preserve">Největší pokles prodělaly akciové fondy. Poklesly </w:t>
      </w:r>
      <w:r w:rsidR="00414D84" w:rsidRPr="00A07F59">
        <w:rPr>
          <w:rFonts w:asciiTheme="minorHAnsi" w:hAnsiTheme="minorHAnsi" w:cstheme="minorHAnsi"/>
          <w:sz w:val="21"/>
          <w:szCs w:val="21"/>
        </w:rPr>
        <w:t xml:space="preserve">o minus 4,94 procenta. Meziměsíčně jde o rozdíl více než devět procentních bodů. Hlavní vliv mělo na události v akciích a akciových podílových fondech především snížení kreditního ratingu USA agenturou </w:t>
      </w:r>
      <w:proofErr w:type="spellStart"/>
      <w:r w:rsidR="00414D84" w:rsidRPr="00A07F59">
        <w:rPr>
          <w:rFonts w:asciiTheme="minorHAnsi" w:hAnsiTheme="minorHAnsi" w:cstheme="minorHAnsi"/>
          <w:sz w:val="21"/>
          <w:szCs w:val="21"/>
        </w:rPr>
        <w:t>Fitch</w:t>
      </w:r>
      <w:proofErr w:type="spellEnd"/>
      <w:r w:rsidR="00414D84" w:rsidRPr="00A07F59">
        <w:rPr>
          <w:rFonts w:asciiTheme="minorHAnsi" w:hAnsiTheme="minorHAnsi" w:cstheme="minorHAnsi"/>
          <w:sz w:val="21"/>
          <w:szCs w:val="21"/>
        </w:rPr>
        <w:t xml:space="preserve"> z AAA </w:t>
      </w:r>
      <w:r w:rsidR="00165641">
        <w:rPr>
          <w:rFonts w:asciiTheme="minorHAnsi" w:hAnsiTheme="minorHAnsi" w:cstheme="minorHAnsi"/>
          <w:sz w:val="21"/>
          <w:szCs w:val="21"/>
        </w:rPr>
        <w:t xml:space="preserve">na AA+. Ta totiž </w:t>
      </w:r>
      <w:r w:rsidR="00414D84" w:rsidRPr="00A07F59">
        <w:rPr>
          <w:rFonts w:asciiTheme="minorHAnsi" w:hAnsiTheme="minorHAnsi" w:cstheme="minorHAnsi"/>
          <w:sz w:val="21"/>
          <w:szCs w:val="21"/>
        </w:rPr>
        <w:t xml:space="preserve">reagovala na rostoucí zadlužení a </w:t>
      </w:r>
      <w:r w:rsidR="00B71B71">
        <w:rPr>
          <w:rFonts w:asciiTheme="minorHAnsi" w:hAnsiTheme="minorHAnsi" w:cstheme="minorHAnsi"/>
          <w:sz w:val="21"/>
          <w:szCs w:val="21"/>
        </w:rPr>
        <w:t>politickou situaci</w:t>
      </w:r>
      <w:r w:rsidR="00414D84" w:rsidRPr="00A07F59">
        <w:rPr>
          <w:rFonts w:asciiTheme="minorHAnsi" w:hAnsiTheme="minorHAnsi" w:cstheme="minorHAnsi"/>
          <w:sz w:val="21"/>
          <w:szCs w:val="21"/>
        </w:rPr>
        <w:t xml:space="preserve"> v zemi.</w:t>
      </w:r>
      <w:r w:rsidR="004835F6">
        <w:rPr>
          <w:rFonts w:asciiTheme="minorHAnsi" w:hAnsiTheme="minorHAnsi" w:cstheme="minorHAnsi"/>
          <w:sz w:val="21"/>
          <w:szCs w:val="21"/>
        </w:rPr>
        <w:t xml:space="preserve"> Trhy ovlivnilo také</w:t>
      </w:r>
      <w:r w:rsidR="00414D84" w:rsidRPr="00A07F59">
        <w:rPr>
          <w:rFonts w:asciiTheme="minorHAnsi" w:hAnsiTheme="minorHAnsi" w:cstheme="minorHAnsi"/>
          <w:sz w:val="21"/>
          <w:szCs w:val="21"/>
        </w:rPr>
        <w:t xml:space="preserve"> razantní zvýšení dluhopisových výnosů, což způsobilo hromadný přesun kapitálu části investorů z akcií do dluhových cenných papírů. </w:t>
      </w:r>
    </w:p>
    <w:p w14:paraId="4BB854FD" w14:textId="5DDAB165" w:rsidR="00193EB7" w:rsidRPr="00A07F59" w:rsidRDefault="00034402" w:rsidP="00034402">
      <w:pPr>
        <w:spacing w:after="120"/>
        <w:rPr>
          <w:rFonts w:asciiTheme="minorHAnsi" w:hAnsiTheme="minorHAnsi" w:cstheme="minorHAnsi"/>
          <w:sz w:val="21"/>
          <w:szCs w:val="21"/>
        </w:rPr>
      </w:pPr>
      <w:r w:rsidRPr="00A07F59">
        <w:rPr>
          <w:rFonts w:asciiTheme="minorHAnsi" w:hAnsiTheme="minorHAnsi" w:cstheme="minorHAnsi"/>
          <w:sz w:val="21"/>
          <w:szCs w:val="21"/>
        </w:rPr>
        <w:t>Minus 3,72 procent</w:t>
      </w:r>
      <w:r w:rsidR="00165641">
        <w:rPr>
          <w:rFonts w:asciiTheme="minorHAnsi" w:hAnsiTheme="minorHAnsi" w:cstheme="minorHAnsi"/>
          <w:sz w:val="21"/>
          <w:szCs w:val="21"/>
        </w:rPr>
        <w:t>a</w:t>
      </w:r>
      <w:r w:rsidRPr="00A07F59">
        <w:rPr>
          <w:rFonts w:asciiTheme="minorHAnsi" w:hAnsiTheme="minorHAnsi" w:cstheme="minorHAnsi"/>
          <w:sz w:val="21"/>
          <w:szCs w:val="21"/>
        </w:rPr>
        <w:t xml:space="preserve">. K takovému výsledku dospěly komoditní fondy, zaznamenaly tedy druhý největší pokles napříč měřenými fondy. </w:t>
      </w:r>
      <w:r w:rsidR="00745160" w:rsidRPr="00A07F59">
        <w:rPr>
          <w:rFonts w:asciiTheme="minorHAnsi" w:hAnsiTheme="minorHAnsi" w:cstheme="minorHAnsi"/>
          <w:sz w:val="21"/>
          <w:szCs w:val="21"/>
        </w:rPr>
        <w:t>„</w:t>
      </w:r>
      <w:r w:rsidR="00745160" w:rsidRPr="00A07F59">
        <w:rPr>
          <w:rFonts w:asciiTheme="minorHAnsi" w:hAnsiTheme="minorHAnsi" w:cstheme="minorHAnsi"/>
          <w:i/>
          <w:sz w:val="21"/>
          <w:szCs w:val="21"/>
        </w:rPr>
        <w:t>Nejvíce ovlivňuje vývoj komoditních indexů cena zlata. To se ale v posledních měsících pohybuje v klesajícím trendu, a to od doby lokálního maxima z první poloviny letošního roku. Přirozeně byly proto komoditní fondy na konci prázdnin v mírném poklesu</w:t>
      </w:r>
      <w:r w:rsidR="00745160" w:rsidRPr="00A07F59">
        <w:rPr>
          <w:rFonts w:asciiTheme="minorHAnsi" w:hAnsiTheme="minorHAnsi" w:cstheme="minorHAnsi"/>
          <w:sz w:val="21"/>
          <w:szCs w:val="21"/>
        </w:rPr>
        <w:t xml:space="preserve">,“ dodává k výsledkům </w:t>
      </w:r>
      <w:r w:rsidR="00745160" w:rsidRPr="00A07F59">
        <w:rPr>
          <w:rFonts w:asciiTheme="minorHAnsi" w:hAnsiTheme="minorHAnsi" w:cstheme="minorHAnsi"/>
          <w:b/>
          <w:sz w:val="21"/>
          <w:szCs w:val="21"/>
        </w:rPr>
        <w:t xml:space="preserve">Tadeáš Chmelíček, investiční analytik z </w:t>
      </w:r>
      <w:proofErr w:type="gramStart"/>
      <w:r w:rsidR="00745160" w:rsidRPr="00A07F59">
        <w:rPr>
          <w:rFonts w:asciiTheme="minorHAnsi" w:hAnsiTheme="minorHAnsi" w:cstheme="minorHAnsi"/>
          <w:b/>
          <w:sz w:val="21"/>
          <w:szCs w:val="21"/>
        </w:rPr>
        <w:t>Broker</w:t>
      </w:r>
      <w:proofErr w:type="gramEnd"/>
      <w:r w:rsidR="00745160" w:rsidRPr="00A07F59">
        <w:rPr>
          <w:rFonts w:asciiTheme="minorHAnsi" w:hAnsiTheme="minorHAnsi" w:cstheme="minorHAnsi"/>
          <w:b/>
          <w:sz w:val="21"/>
          <w:szCs w:val="21"/>
        </w:rPr>
        <w:t xml:space="preserve"> Consulting</w:t>
      </w:r>
      <w:r w:rsidR="00745160" w:rsidRPr="00A07F59">
        <w:rPr>
          <w:rFonts w:asciiTheme="minorHAnsi" w:hAnsiTheme="minorHAnsi" w:cstheme="minorHAnsi"/>
          <w:b/>
          <w:color w:val="4F81BD" w:themeColor="accent1"/>
          <w:sz w:val="21"/>
          <w:szCs w:val="21"/>
        </w:rPr>
        <w:t>.</w:t>
      </w:r>
    </w:p>
    <w:p w14:paraId="413FC50B" w14:textId="3DE31147" w:rsidR="001D124F" w:rsidRPr="00165641" w:rsidRDefault="00193EB7" w:rsidP="00165641">
      <w:pPr>
        <w:spacing w:after="120"/>
        <w:rPr>
          <w:rFonts w:asciiTheme="minorHAnsi" w:hAnsiTheme="minorHAnsi" w:cstheme="minorHAnsi"/>
          <w:sz w:val="21"/>
          <w:szCs w:val="21"/>
        </w:rPr>
      </w:pPr>
      <w:r w:rsidRPr="00A07F59">
        <w:rPr>
          <w:rFonts w:asciiTheme="minorHAnsi" w:hAnsiTheme="minorHAnsi" w:cstheme="minorHAnsi"/>
          <w:sz w:val="21"/>
          <w:szCs w:val="21"/>
        </w:rPr>
        <w:t>Zvýšení dluhopisových výnosů přineslo předpokládaný pokles tržních cen obligací, což se promítlo i v propadu cen u dluhopisových listů. Z toho</w:t>
      </w:r>
      <w:r w:rsidR="00165641">
        <w:rPr>
          <w:rFonts w:asciiTheme="minorHAnsi" w:hAnsiTheme="minorHAnsi" w:cstheme="minorHAnsi"/>
          <w:sz w:val="21"/>
          <w:szCs w:val="21"/>
        </w:rPr>
        <w:t>to důvodu Broker Consulting</w:t>
      </w:r>
      <w:r w:rsidRPr="00A07F59">
        <w:rPr>
          <w:rFonts w:asciiTheme="minorHAnsi" w:hAnsiTheme="minorHAnsi" w:cstheme="minorHAnsi"/>
          <w:sz w:val="21"/>
          <w:szCs w:val="21"/>
        </w:rPr>
        <w:t xml:space="preserve"> Index podílových fondů eviduje v rámci výsledků minulého měsíce mírný pokles</w:t>
      </w:r>
      <w:r w:rsidR="0082762A">
        <w:rPr>
          <w:rFonts w:asciiTheme="minorHAnsi" w:hAnsiTheme="minorHAnsi" w:cstheme="minorHAnsi"/>
          <w:sz w:val="21"/>
          <w:szCs w:val="21"/>
        </w:rPr>
        <w:t xml:space="preserve"> i u</w:t>
      </w:r>
      <w:r w:rsidRPr="00A07F59">
        <w:rPr>
          <w:rFonts w:asciiTheme="minorHAnsi" w:hAnsiTheme="minorHAnsi" w:cstheme="minorHAnsi"/>
          <w:sz w:val="21"/>
          <w:szCs w:val="21"/>
        </w:rPr>
        <w:t xml:space="preserve"> dluhopisových fondů, </w:t>
      </w:r>
      <w:r w:rsidR="0082762A">
        <w:rPr>
          <w:rFonts w:asciiTheme="minorHAnsi" w:hAnsiTheme="minorHAnsi" w:cstheme="minorHAnsi"/>
          <w:sz w:val="21"/>
          <w:szCs w:val="21"/>
        </w:rPr>
        <w:t xml:space="preserve">a to </w:t>
      </w:r>
      <w:r w:rsidRPr="00A07F59">
        <w:rPr>
          <w:rFonts w:asciiTheme="minorHAnsi" w:hAnsiTheme="minorHAnsi" w:cstheme="minorHAnsi"/>
          <w:sz w:val="21"/>
          <w:szCs w:val="21"/>
        </w:rPr>
        <w:t>konkrétně minus 1,25 procenta.</w:t>
      </w:r>
    </w:p>
    <w:p w14:paraId="61FE65B4" w14:textId="01A2F547" w:rsidR="001D124F" w:rsidRPr="009C1AF0" w:rsidRDefault="001D124F" w:rsidP="001D124F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ar-SA"/>
        </w:rPr>
        <w:drawing>
          <wp:inline distT="0" distB="0" distL="0" distR="0" wp14:anchorId="63A854AC" wp14:editId="05550998">
            <wp:extent cx="6635750" cy="25888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C Index podílových fondů_dluhopisové fondy - srpen 202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CC9A" w14:textId="769DE2D2" w:rsidR="009C1AF0" w:rsidRPr="009C1AF0" w:rsidRDefault="009C1AF0" w:rsidP="0015577B">
      <w:pPr>
        <w:rPr>
          <w:rFonts w:asciiTheme="minorHAnsi" w:hAnsiTheme="minorHAnsi" w:cstheme="minorHAnsi"/>
        </w:rPr>
      </w:pPr>
    </w:p>
    <w:p w14:paraId="5E6E94DD" w14:textId="5020D2F4" w:rsidR="000356CB" w:rsidRPr="00A07F59" w:rsidRDefault="000356CB" w:rsidP="009C1AF0">
      <w:pPr>
        <w:jc w:val="both"/>
        <w:rPr>
          <w:rFonts w:asciiTheme="minorHAnsi" w:hAnsiTheme="minorHAnsi" w:cstheme="minorHAnsi"/>
          <w:color w:val="4F81BD" w:themeColor="accent1"/>
          <w:sz w:val="21"/>
          <w:szCs w:val="21"/>
        </w:rPr>
      </w:pPr>
    </w:p>
    <w:p w14:paraId="1649B0E3" w14:textId="2DB88FCB" w:rsidR="009C1AF0" w:rsidRDefault="00165641" w:rsidP="009C1AF0">
      <w:pPr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Nemovitostní fondy zakončily srpen p</w:t>
      </w:r>
      <w:r w:rsidR="0082762A">
        <w:rPr>
          <w:rFonts w:asciiTheme="minorHAnsi" w:hAnsiTheme="minorHAnsi" w:cstheme="minorHAnsi"/>
          <w:sz w:val="21"/>
          <w:szCs w:val="21"/>
        </w:rPr>
        <w:t>ouze s mírným</w:t>
      </w:r>
      <w:r w:rsidR="00E341D6" w:rsidRPr="00A07F59">
        <w:rPr>
          <w:rFonts w:asciiTheme="minorHAnsi" w:hAnsiTheme="minorHAnsi" w:cstheme="minorHAnsi"/>
          <w:sz w:val="21"/>
          <w:szCs w:val="21"/>
        </w:rPr>
        <w:t xml:space="preserve"> poklesem </w:t>
      </w:r>
      <w:r>
        <w:rPr>
          <w:rFonts w:asciiTheme="minorHAnsi" w:hAnsiTheme="minorHAnsi" w:cstheme="minorHAnsi"/>
          <w:sz w:val="21"/>
          <w:szCs w:val="21"/>
        </w:rPr>
        <w:t>(-</w:t>
      </w:r>
      <w:r w:rsidR="00E341D6" w:rsidRPr="00A07F59">
        <w:rPr>
          <w:rFonts w:asciiTheme="minorHAnsi" w:hAnsiTheme="minorHAnsi" w:cstheme="minorHAnsi"/>
          <w:sz w:val="21"/>
          <w:szCs w:val="21"/>
        </w:rPr>
        <w:t>0,14 procent</w:t>
      </w:r>
      <w:r>
        <w:rPr>
          <w:rFonts w:asciiTheme="minorHAnsi" w:hAnsiTheme="minorHAnsi" w:cstheme="minorHAnsi"/>
          <w:sz w:val="21"/>
          <w:szCs w:val="21"/>
        </w:rPr>
        <w:t>a</w:t>
      </w:r>
      <w:r w:rsidR="00E341D6" w:rsidRPr="00A07F59">
        <w:rPr>
          <w:rFonts w:asciiTheme="minorHAnsi" w:hAnsiTheme="minorHAnsi" w:cstheme="minorHAnsi"/>
          <w:sz w:val="21"/>
          <w:szCs w:val="21"/>
        </w:rPr>
        <w:t xml:space="preserve">). </w:t>
      </w:r>
      <w:r>
        <w:rPr>
          <w:rFonts w:asciiTheme="minorHAnsi" w:hAnsiTheme="minorHAnsi" w:cstheme="minorHAnsi"/>
          <w:sz w:val="21"/>
          <w:szCs w:val="21"/>
        </w:rPr>
        <w:t>I</w:t>
      </w:r>
      <w:r w:rsidR="00946F0C">
        <w:rPr>
          <w:rFonts w:asciiTheme="minorHAnsi" w:hAnsiTheme="minorHAnsi" w:cstheme="minorHAnsi"/>
          <w:sz w:val="21"/>
          <w:szCs w:val="21"/>
        </w:rPr>
        <w:t xml:space="preserve"> přes zpomalený nemovitostní trh </w:t>
      </w:r>
      <w:r>
        <w:rPr>
          <w:rFonts w:asciiTheme="minorHAnsi" w:hAnsiTheme="minorHAnsi" w:cstheme="minorHAnsi"/>
          <w:sz w:val="21"/>
          <w:szCs w:val="21"/>
        </w:rPr>
        <w:t xml:space="preserve">vykazují </w:t>
      </w:r>
      <w:r w:rsidR="00946F0C">
        <w:rPr>
          <w:rFonts w:asciiTheme="minorHAnsi" w:hAnsiTheme="minorHAnsi" w:cstheme="minorHAnsi"/>
          <w:sz w:val="21"/>
          <w:szCs w:val="21"/>
        </w:rPr>
        <w:t xml:space="preserve">relativně stabilní výsledky. </w:t>
      </w:r>
      <w:r w:rsidR="00144AFE">
        <w:rPr>
          <w:rFonts w:asciiTheme="minorHAnsi" w:hAnsiTheme="minorHAnsi" w:cstheme="minorHAnsi"/>
          <w:sz w:val="21"/>
          <w:szCs w:val="21"/>
        </w:rPr>
        <w:t>Je tomu tak hlavně díky specifickému zaměření těc</w:t>
      </w:r>
      <w:r>
        <w:rPr>
          <w:rFonts w:asciiTheme="minorHAnsi" w:hAnsiTheme="minorHAnsi" w:cstheme="minorHAnsi"/>
          <w:sz w:val="21"/>
          <w:szCs w:val="21"/>
        </w:rPr>
        <w:t>hto fondů, kdy</w:t>
      </w:r>
      <w:r w:rsidR="00144AFE">
        <w:rPr>
          <w:rFonts w:asciiTheme="minorHAnsi" w:hAnsiTheme="minorHAnsi" w:cstheme="minorHAnsi"/>
          <w:sz w:val="21"/>
          <w:szCs w:val="21"/>
        </w:rPr>
        <w:t xml:space="preserve"> ještě nedošlo k promítnutí do cen podílových listů. Za nízkou volatilitou u těchto fondů stojí</w:t>
      </w:r>
      <w:r w:rsidR="0082762A">
        <w:rPr>
          <w:rFonts w:asciiTheme="minorHAnsi" w:hAnsiTheme="minorHAnsi" w:cstheme="minorHAnsi"/>
          <w:sz w:val="21"/>
          <w:szCs w:val="21"/>
        </w:rPr>
        <w:t xml:space="preserve"> i</w:t>
      </w:r>
      <w:r w:rsidR="00144AFE">
        <w:rPr>
          <w:rFonts w:asciiTheme="minorHAnsi" w:hAnsiTheme="minorHAnsi" w:cstheme="minorHAnsi"/>
          <w:sz w:val="21"/>
          <w:szCs w:val="21"/>
        </w:rPr>
        <w:t xml:space="preserve"> inflační doložky u nájmů, díky kterým skokově vzrostly výnosy. </w:t>
      </w:r>
    </w:p>
    <w:p w14:paraId="6E16EC8D" w14:textId="007DD45D" w:rsidR="00B71B71" w:rsidRDefault="00B71B71" w:rsidP="009C1AF0">
      <w:pPr>
        <w:jc w:val="both"/>
        <w:rPr>
          <w:rFonts w:asciiTheme="minorHAnsi" w:hAnsiTheme="minorHAnsi" w:cstheme="minorHAnsi"/>
          <w:sz w:val="21"/>
          <w:szCs w:val="21"/>
        </w:rPr>
      </w:pPr>
    </w:p>
    <w:p w14:paraId="7648A011" w14:textId="54763636" w:rsidR="00B71B71" w:rsidRPr="00A07F59" w:rsidRDefault="00B70BC3" w:rsidP="009C1AF0">
      <w:pPr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„</w:t>
      </w:r>
      <w:r w:rsidR="007F174D">
        <w:rPr>
          <w:rFonts w:asciiTheme="minorHAnsi" w:hAnsiTheme="minorHAnsi" w:cstheme="minorHAnsi"/>
          <w:i/>
          <w:sz w:val="21"/>
          <w:szCs w:val="21"/>
        </w:rPr>
        <w:t xml:space="preserve">Poklesy na trzích mohou znervóznět pouze krátkodobé investory nebo spekulanty. Dlouhodobými investory jsou korekce na trzích naopak vítané. Investice s dlouhodobým cílem totiž volatilita výrazně neovlivňuje. </w:t>
      </w:r>
      <w:r w:rsidR="004B6D32">
        <w:rPr>
          <w:rFonts w:asciiTheme="minorHAnsi" w:hAnsiTheme="minorHAnsi" w:cstheme="minorHAnsi"/>
          <w:i/>
          <w:sz w:val="21"/>
          <w:szCs w:val="21"/>
        </w:rPr>
        <w:t xml:space="preserve">K tomu se otevírají nové možnosti, při nichž se obchody často odehrávají za </w:t>
      </w:r>
      <w:r w:rsidR="007F174D">
        <w:rPr>
          <w:rFonts w:asciiTheme="minorHAnsi" w:hAnsiTheme="minorHAnsi" w:cstheme="minorHAnsi"/>
          <w:i/>
          <w:sz w:val="21"/>
          <w:szCs w:val="21"/>
        </w:rPr>
        <w:t>nižší</w:t>
      </w:r>
      <w:r w:rsidR="001B726C" w:rsidRPr="001B726C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4B6D32">
        <w:rPr>
          <w:rFonts w:asciiTheme="minorHAnsi" w:hAnsiTheme="minorHAnsi" w:cstheme="minorHAnsi"/>
          <w:i/>
          <w:sz w:val="21"/>
          <w:szCs w:val="21"/>
        </w:rPr>
        <w:t>ceny, a jsou proto investory vyhledávané</w:t>
      </w:r>
      <w:r w:rsidR="001B726C">
        <w:rPr>
          <w:rFonts w:asciiTheme="minorHAnsi" w:hAnsiTheme="minorHAnsi" w:cstheme="minorHAnsi"/>
          <w:sz w:val="21"/>
          <w:szCs w:val="21"/>
        </w:rPr>
        <w:t xml:space="preserve">,“ dodává Martin Novák. </w:t>
      </w:r>
    </w:p>
    <w:p w14:paraId="65C30F29" w14:textId="1C712362" w:rsidR="00D246F8" w:rsidRDefault="00D246F8" w:rsidP="00A46073">
      <w:pPr>
        <w:jc w:val="both"/>
        <w:rPr>
          <w:rFonts w:asciiTheme="minorHAnsi" w:hAnsiTheme="minorHAnsi" w:cstheme="minorHAnsi"/>
          <w:b/>
          <w:color w:val="4F81BD" w:themeColor="accent1"/>
        </w:rPr>
      </w:pPr>
    </w:p>
    <w:tbl>
      <w:tblPr>
        <w:tblW w:w="9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340"/>
        <w:gridCol w:w="1340"/>
        <w:gridCol w:w="1340"/>
        <w:gridCol w:w="1340"/>
        <w:gridCol w:w="1340"/>
      </w:tblGrid>
      <w:tr w:rsidR="00D246F8" w:rsidRPr="00DB1328" w14:paraId="1AB90690" w14:textId="77777777" w:rsidTr="00D246F8">
        <w:trPr>
          <w:trHeight w:val="330"/>
          <w:jc w:val="center"/>
        </w:trPr>
        <w:tc>
          <w:tcPr>
            <w:tcW w:w="91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14:paraId="69D13A5E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DB1328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Broker Consulting Index podílových fondů</w:t>
            </w:r>
          </w:p>
        </w:tc>
      </w:tr>
      <w:tr w:rsidR="00D246F8" w:rsidRPr="00DB1328" w14:paraId="08F97E58" w14:textId="77777777" w:rsidTr="00D246F8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73D70B1" w14:textId="77777777" w:rsidR="00D246F8" w:rsidRPr="00DB1328" w:rsidRDefault="00D246F8" w:rsidP="00DA41B6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Typ fondu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B1920DA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1 měsíc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E0E09E9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YTD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B9F0AC1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12 měsíců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6C8985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36 měsíců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1E49374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60 měsíců </w:t>
            </w:r>
          </w:p>
        </w:tc>
      </w:tr>
      <w:tr w:rsidR="00D246F8" w:rsidRPr="00DB1328" w14:paraId="6F44B198" w14:textId="77777777" w:rsidTr="00D246F8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A818" w14:textId="77777777" w:rsidR="00D246F8" w:rsidRPr="00DB1328" w:rsidRDefault="00D246F8" w:rsidP="00DA41B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Akciové fondy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D8E6B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-4,94%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D4F59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8,43%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9F72E" w14:textId="77777777" w:rsidR="00D246F8" w:rsidRPr="00DB1328" w:rsidRDefault="00D246F8" w:rsidP="00D246F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9,43%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C5E21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14,45%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3D73A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6,22%</w:t>
            </w:r>
          </w:p>
        </w:tc>
      </w:tr>
      <w:tr w:rsidR="00D246F8" w:rsidRPr="00DB1328" w14:paraId="704D1395" w14:textId="77777777" w:rsidTr="00D246F8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E1938" w14:textId="77777777" w:rsidR="00D246F8" w:rsidRPr="00DB1328" w:rsidRDefault="00D246F8" w:rsidP="00DA41B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Dluhopisové fondy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A3CB4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-1,25%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7AA8B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1,60%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67894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0,90%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C96B0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-17,50%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DBE5E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-14,40%</w:t>
            </w:r>
          </w:p>
        </w:tc>
      </w:tr>
      <w:tr w:rsidR="00D246F8" w:rsidRPr="00DB1328" w14:paraId="6A076225" w14:textId="77777777" w:rsidTr="00D246F8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529A6" w14:textId="77777777" w:rsidR="00D246F8" w:rsidRPr="00DB1328" w:rsidRDefault="00D246F8" w:rsidP="00DA41B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Fondy peněžního trhu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B9C25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-0,88%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2254A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3,04%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D4672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5,67%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476F5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-3,44%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44C13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2,17%</w:t>
            </w:r>
          </w:p>
        </w:tc>
      </w:tr>
      <w:tr w:rsidR="00D246F8" w:rsidRPr="00DB1328" w14:paraId="404CB4E5" w14:textId="77777777" w:rsidTr="00D246F8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D1F5A" w14:textId="77777777" w:rsidR="00D246F8" w:rsidRPr="00DB1328" w:rsidRDefault="00D246F8" w:rsidP="00DA41B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Komoditní fondy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8877B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-3,72%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22D9C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-5,03%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C8ECA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-6,78%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ED969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41,40%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77EEA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22,75%</w:t>
            </w:r>
          </w:p>
        </w:tc>
      </w:tr>
      <w:tr w:rsidR="00D246F8" w:rsidRPr="00DB1328" w14:paraId="4D9C200E" w14:textId="77777777" w:rsidTr="00D246F8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47F85" w14:textId="77777777" w:rsidR="00D246F8" w:rsidRPr="00DB1328" w:rsidRDefault="00D246F8" w:rsidP="00DA41B6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Nemovitostní fondy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CF259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-0,14%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A22CA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1,42%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56CC9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4,14%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B26D9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13,74%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E25C8" w14:textId="77777777" w:rsidR="00D246F8" w:rsidRPr="00DB1328" w:rsidRDefault="00D246F8" w:rsidP="00DA41B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B132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23,23%</w:t>
            </w:r>
          </w:p>
        </w:tc>
      </w:tr>
    </w:tbl>
    <w:p w14:paraId="20832F4B" w14:textId="44C86700" w:rsidR="007D4A8D" w:rsidRPr="00E341D6" w:rsidRDefault="001A5E5C" w:rsidP="00A07F59">
      <w:pPr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</w:t>
      </w:r>
    </w:p>
    <w:p w14:paraId="54B92E82" w14:textId="5EDDDD25" w:rsidR="00E341D6" w:rsidRPr="00A07F59" w:rsidRDefault="00CF090B" w:rsidP="00165641">
      <w:pPr>
        <w:spacing w:before="120" w:after="120"/>
        <w:rPr>
          <w:rFonts w:asciiTheme="minorHAnsi" w:eastAsia="Times New Roman" w:hAnsiTheme="minorHAnsi" w:cstheme="minorHAnsi"/>
          <w:sz w:val="21"/>
          <w:szCs w:val="21"/>
        </w:rPr>
      </w:pPr>
      <w:r w:rsidRPr="00A07F59">
        <w:rPr>
          <w:rFonts w:asciiTheme="minorHAnsi" w:eastAsia="Times New Roman" w:hAnsiTheme="minorHAnsi" w:cstheme="minorHAnsi"/>
          <w:b/>
          <w:sz w:val="21"/>
          <w:szCs w:val="21"/>
        </w:rPr>
        <w:t>Index podílových fondů</w:t>
      </w:r>
      <w:r w:rsidRPr="00A07F59">
        <w:rPr>
          <w:rFonts w:asciiTheme="minorHAnsi" w:eastAsia="Times New Roman" w:hAnsiTheme="minorHAnsi" w:cstheme="minorHAnsi"/>
          <w:sz w:val="21"/>
          <w:szCs w:val="21"/>
        </w:rPr>
        <w:t xml:space="preserve"> reprezentuje portfolio převážně českého investora. U akciových fondů nebere v potaz úzké regionální či sektorové zaměření, ale zaměřuje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komodit. U dluhopisových fondů klade index větší důraz na české a evropské dluhopisové fondy, ale ve výkonnosti zohledňuje i dluhopisové fondy investující do státních dluhopisů různých ekonomik a také dluhopisové fondy zaměřující </w:t>
      </w:r>
      <w:r w:rsidR="00165641">
        <w:rPr>
          <w:rFonts w:asciiTheme="minorHAnsi" w:eastAsia="Times New Roman" w:hAnsiTheme="minorHAnsi" w:cstheme="minorHAnsi"/>
          <w:sz w:val="21"/>
          <w:szCs w:val="21"/>
        </w:rPr>
        <w:t xml:space="preserve">se </w:t>
      </w:r>
      <w:r w:rsidRPr="00A07F59">
        <w:rPr>
          <w:rFonts w:asciiTheme="minorHAnsi" w:eastAsia="Times New Roman" w:hAnsiTheme="minorHAnsi" w:cstheme="minorHAnsi"/>
          <w:sz w:val="21"/>
          <w:szCs w:val="21"/>
        </w:rPr>
        <w:t>na rizikovější dluhopisy, ale již s menší vahou. U peněžních fondů a nemovitostních fondů je sledována pouze výkonnost českých podílových fondů.</w:t>
      </w:r>
    </w:p>
    <w:p w14:paraId="1C871B74" w14:textId="1C7287B5" w:rsidR="00CF090B" w:rsidRPr="00A07F59" w:rsidRDefault="00CF090B" w:rsidP="00165641">
      <w:pPr>
        <w:spacing w:before="120" w:after="120"/>
        <w:rPr>
          <w:rFonts w:asciiTheme="minorHAnsi" w:eastAsia="Times New Roman" w:hAnsiTheme="minorHAnsi" w:cstheme="minorHAnsi"/>
          <w:sz w:val="21"/>
          <w:szCs w:val="21"/>
        </w:rPr>
      </w:pPr>
      <w:r w:rsidRPr="00A07F59">
        <w:rPr>
          <w:rFonts w:asciiTheme="minorHAnsi" w:hAnsiTheme="minorHAnsi" w:cstheme="minorHAnsi"/>
          <w:b/>
          <w:sz w:val="21"/>
          <w:szCs w:val="21"/>
        </w:rPr>
        <w:t xml:space="preserve">Proč je dobré tento index sledovat: </w:t>
      </w:r>
      <w:r w:rsidRPr="00A07F59">
        <w:rPr>
          <w:rFonts w:asciiTheme="minorHAnsi" w:hAnsiTheme="minorHAnsi" w:cstheme="minorHAnsi"/>
          <w:sz w:val="21"/>
          <w:szCs w:val="21"/>
        </w:rPr>
        <w:t xml:space="preserve">Čeští investoři mají v podílových fondech zainvestován majetek ve výši zhruba 557 miliard korun. Fondy jsou velmi využívanou platformou pro dlouhodobé investování, zejména při vytváření rezerv pro </w:t>
      </w:r>
      <w:proofErr w:type="spellStart"/>
      <w:r w:rsidR="00165641">
        <w:rPr>
          <w:rFonts w:asciiTheme="minorHAnsi" w:hAnsiTheme="minorHAnsi" w:cstheme="minorHAnsi"/>
          <w:sz w:val="21"/>
          <w:szCs w:val="21"/>
        </w:rPr>
        <w:t>postaktivní</w:t>
      </w:r>
      <w:proofErr w:type="spellEnd"/>
      <w:r w:rsidRPr="00A07F59">
        <w:rPr>
          <w:rFonts w:asciiTheme="minorHAnsi" w:hAnsiTheme="minorHAnsi" w:cstheme="minorHAnsi"/>
          <w:sz w:val="21"/>
          <w:szCs w:val="21"/>
        </w:rPr>
        <w:t xml:space="preserve"> věk (60+). Index ukazuje, jak se vede fondům dle jednotlivých tříd investičních aktiv. Investoři si mohou mimo jiné srovnávat,  jak si jimi vybrané fondy vedou v porovnání s průměrem trhu.</w:t>
      </w:r>
    </w:p>
    <w:p w14:paraId="3680EF94" w14:textId="39AEDB2D" w:rsidR="00CF090B" w:rsidRPr="00A07F59" w:rsidRDefault="00CF090B" w:rsidP="00CF090B">
      <w:pPr>
        <w:pStyle w:val="Zkladntext"/>
        <w:pBdr>
          <w:bottom w:val="single" w:sz="4" w:space="1" w:color="auto"/>
        </w:pBdr>
        <w:spacing w:before="33" w:line="237" w:lineRule="auto"/>
        <w:rPr>
          <w:rFonts w:asciiTheme="minorHAnsi" w:hAnsiTheme="minorHAnsi" w:cstheme="minorHAnsi"/>
          <w:b/>
          <w:sz w:val="21"/>
          <w:szCs w:val="21"/>
        </w:rPr>
      </w:pPr>
    </w:p>
    <w:p w14:paraId="0B73DDFB" w14:textId="74EAC26A" w:rsidR="00CF090B" w:rsidRPr="00A07F59" w:rsidRDefault="00CF090B" w:rsidP="00CF090B">
      <w:pPr>
        <w:spacing w:before="120" w:after="120"/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</w:pPr>
      <w:r w:rsidRPr="00A07F59">
        <w:rPr>
          <w:rFonts w:asciiTheme="minorHAnsi" w:hAnsiTheme="minorHAnsi" w:cstheme="minorHAnsi"/>
          <w:b/>
          <w:sz w:val="21"/>
          <w:szCs w:val="21"/>
        </w:rPr>
        <w:t>Poznámka pro média:</w:t>
      </w:r>
      <w:r w:rsidRPr="00A07F59">
        <w:rPr>
          <w:rFonts w:asciiTheme="minorHAnsi" w:hAnsiTheme="minorHAnsi" w:cstheme="minorHAnsi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Broker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Indexy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je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možné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volně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spacing w:val="2"/>
          <w:w w:val="105"/>
          <w:sz w:val="21"/>
          <w:szCs w:val="21"/>
        </w:rPr>
        <w:t>publikovat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pouze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s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označením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„Broker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Index“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spacing w:val="-3"/>
          <w:w w:val="105"/>
          <w:sz w:val="21"/>
          <w:szCs w:val="21"/>
        </w:rPr>
        <w:t>(</w:t>
      </w:r>
      <w:r w:rsidRPr="00A07F59">
        <w:rPr>
          <w:rFonts w:asciiTheme="minorHAnsi" w:hAnsiTheme="minorHAnsi" w:cstheme="minorHAnsi"/>
          <w:i/>
          <w:color w:val="1D1D1B"/>
          <w:spacing w:val="-3"/>
          <w:w w:val="105"/>
          <w:sz w:val="21"/>
          <w:szCs w:val="21"/>
        </w:rPr>
        <w:t>např.</w:t>
      </w:r>
      <w:r w:rsidRPr="00A07F59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Broker</w:t>
      </w:r>
      <w:r w:rsidRPr="00A07F59">
        <w:rPr>
          <w:rFonts w:asciiTheme="minorHAnsi" w:hAnsiTheme="minorHAnsi" w:cstheme="minorHAnsi"/>
          <w:i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Consulting</w:t>
      </w:r>
      <w:r w:rsidRPr="00A07F59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Index hypotečních úvěrů). Více informací najdete též na webu </w:t>
      </w:r>
      <w:hyperlink r:id="rId23" w:history="1">
        <w:r w:rsidR="00570828" w:rsidRPr="00A07F59">
          <w:rPr>
            <w:rStyle w:val="Hypertextovodkaz"/>
            <w:rFonts w:asciiTheme="minorHAnsi" w:hAnsiTheme="minorHAnsi" w:cstheme="minorHAnsi"/>
            <w:i/>
            <w:w w:val="105"/>
            <w:sz w:val="21"/>
            <w:szCs w:val="21"/>
          </w:rPr>
          <w:t>https://www.bcas.cz/onas/pro-media/</w:t>
        </w:r>
      </w:hyperlink>
      <w:r w:rsidRPr="00A07F59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. </w:t>
      </w:r>
    </w:p>
    <w:p w14:paraId="78EBB8C7" w14:textId="123C905B" w:rsidR="00570828" w:rsidRPr="00A07F59" w:rsidRDefault="00570828" w:rsidP="00570828">
      <w:pPr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</w:pPr>
      <w:r w:rsidRPr="00A07F59">
        <w:rPr>
          <w:rFonts w:asciiTheme="minorHAnsi" w:hAnsiTheme="minorHAnsi" w:cstheme="minorHAnsi"/>
          <w:b/>
          <w:color w:val="FF0000"/>
          <w:w w:val="105"/>
          <w:sz w:val="21"/>
          <w:szCs w:val="21"/>
        </w:rPr>
        <w:t>Broker Consulting Indexy je nyní možné sledovat v interaktivní formě na webu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. Zde lze zároveň exportovat zdrojová data ke grafům. Vice dostupné na odkaze</w:t>
      </w:r>
      <w:r w:rsidRPr="00A07F59"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: </w:t>
      </w:r>
      <w:hyperlink r:id="rId24" w:history="1">
        <w:r w:rsidRPr="00A07F59">
          <w:rPr>
            <w:rStyle w:val="Hypertextovodkaz"/>
            <w:rFonts w:asciiTheme="minorHAnsi" w:hAnsiTheme="minorHAnsi" w:cstheme="minorHAnsi"/>
            <w:b/>
            <w:w w:val="105"/>
            <w:sz w:val="21"/>
            <w:szCs w:val="21"/>
          </w:rPr>
          <w:t>https://www.bcas.cz/o-nas/broker-consulting-index-podilovych-fondu/</w:t>
        </w:r>
      </w:hyperlink>
      <w:r w:rsidRPr="00A07F59"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. </w:t>
      </w:r>
    </w:p>
    <w:p w14:paraId="5F353CA7" w14:textId="60E263C1" w:rsidR="00CF090B" w:rsidRPr="00A07F59" w:rsidRDefault="00CF090B" w:rsidP="00CF090B">
      <w:pPr>
        <w:jc w:val="both"/>
        <w:rPr>
          <w:rFonts w:asciiTheme="minorHAnsi" w:eastAsia="Calibri" w:hAnsiTheme="minorHAnsi" w:cstheme="minorHAnsi"/>
          <w:b/>
          <w:bCs/>
          <w:noProof/>
          <w:sz w:val="21"/>
          <w:szCs w:val="21"/>
        </w:rPr>
      </w:pPr>
    </w:p>
    <w:p w14:paraId="1864B1E8" w14:textId="77777777" w:rsidR="00CF090B" w:rsidRPr="00A07F59" w:rsidRDefault="00CF090B" w:rsidP="00CF090B">
      <w:pPr>
        <w:jc w:val="both"/>
        <w:rPr>
          <w:rFonts w:asciiTheme="minorHAnsi" w:eastAsia="Calibri" w:hAnsiTheme="minorHAnsi" w:cstheme="minorHAnsi"/>
          <w:b/>
          <w:bCs/>
          <w:noProof/>
          <w:sz w:val="21"/>
          <w:szCs w:val="21"/>
        </w:rPr>
      </w:pPr>
      <w:r w:rsidRPr="00A07F59">
        <w:rPr>
          <w:rFonts w:asciiTheme="minorHAnsi" w:eastAsia="Calibri" w:hAnsiTheme="minorHAnsi" w:cstheme="minorHAnsi"/>
          <w:b/>
          <w:bCs/>
          <w:noProof/>
          <w:sz w:val="21"/>
          <w:szCs w:val="21"/>
        </w:rPr>
        <w:t>Kontakt pro média:</w:t>
      </w:r>
    </w:p>
    <w:p w14:paraId="6A09BF96" w14:textId="77777777" w:rsidR="00CF090B" w:rsidRPr="00A07F59" w:rsidRDefault="00CF090B" w:rsidP="00CF090B">
      <w:pPr>
        <w:jc w:val="both"/>
        <w:rPr>
          <w:rFonts w:asciiTheme="minorHAnsi" w:eastAsia="Calibri" w:hAnsiTheme="minorHAnsi" w:cstheme="minorHAnsi"/>
          <w:bCs/>
          <w:noProof/>
          <w:sz w:val="21"/>
          <w:szCs w:val="21"/>
          <w:lang w:bidi="ar-SA"/>
        </w:rPr>
      </w:pPr>
      <w:r w:rsidRPr="00A07F59">
        <w:rPr>
          <w:rFonts w:asciiTheme="minorHAnsi" w:hAnsiTheme="minorHAnsi" w:cstheme="minorHAnsi"/>
          <w:sz w:val="21"/>
          <w:szCs w:val="21"/>
        </w:rPr>
        <w:br/>
      </w:r>
      <w:r w:rsidRPr="00A07F59">
        <w:rPr>
          <w:rFonts w:asciiTheme="minorHAnsi" w:eastAsia="Calibri" w:hAnsiTheme="minorHAnsi" w:cstheme="minorHAnsi"/>
          <w:bCs/>
          <w:noProof/>
          <w:sz w:val="21"/>
          <w:szCs w:val="21"/>
        </w:rPr>
        <w:t>Michaela Sahulová</w:t>
      </w:r>
    </w:p>
    <w:p w14:paraId="1307C113" w14:textId="77777777" w:rsidR="00CF090B" w:rsidRPr="00A07F59" w:rsidRDefault="00CF090B" w:rsidP="00CF090B">
      <w:pPr>
        <w:pStyle w:val="Bezmezer"/>
        <w:rPr>
          <w:rFonts w:eastAsia="Calibri" w:cstheme="minorHAnsi"/>
          <w:bCs/>
          <w:noProof/>
          <w:sz w:val="21"/>
          <w:szCs w:val="21"/>
        </w:rPr>
      </w:pPr>
      <w:r w:rsidRPr="00A07F59">
        <w:rPr>
          <w:rFonts w:eastAsia="Calibri" w:cstheme="minorHAnsi"/>
          <w:noProof/>
          <w:sz w:val="21"/>
          <w:szCs w:val="21"/>
        </w:rPr>
        <w:t xml:space="preserve">specialistka PR a </w:t>
      </w:r>
      <w:r w:rsidRPr="00A07F59">
        <w:rPr>
          <w:rFonts w:eastAsia="Calibri" w:cstheme="minorHAnsi"/>
          <w:bCs/>
          <w:noProof/>
          <w:sz w:val="21"/>
          <w:szCs w:val="21"/>
        </w:rPr>
        <w:t>externí komunikace</w:t>
      </w:r>
    </w:p>
    <w:p w14:paraId="2B86B8BD" w14:textId="77777777" w:rsidR="00CF090B" w:rsidRPr="00A07F59" w:rsidRDefault="00CF090B" w:rsidP="00CF090B">
      <w:pPr>
        <w:pStyle w:val="Bezmezer"/>
        <w:rPr>
          <w:rFonts w:eastAsia="Calibri" w:cstheme="minorHAnsi"/>
          <w:bCs/>
          <w:noProof/>
          <w:sz w:val="21"/>
          <w:szCs w:val="21"/>
        </w:rPr>
      </w:pPr>
      <w:r w:rsidRPr="00A07F59">
        <w:rPr>
          <w:rFonts w:eastAsia="Calibri" w:cstheme="minorHAnsi"/>
          <w:bCs/>
          <w:noProof/>
          <w:sz w:val="21"/>
          <w:szCs w:val="21"/>
        </w:rPr>
        <w:t>mobil: +420</w:t>
      </w:r>
      <w:r w:rsidRPr="00A07F59">
        <w:rPr>
          <w:rFonts w:eastAsia="Calibri" w:cstheme="minorHAnsi"/>
          <w:noProof/>
          <w:sz w:val="21"/>
          <w:szCs w:val="21"/>
        </w:rPr>
        <w:t> 731 538 373</w:t>
      </w:r>
    </w:p>
    <w:p w14:paraId="6A6A0565" w14:textId="77777777" w:rsidR="00CF090B" w:rsidRPr="00A07F59" w:rsidRDefault="00CF090B" w:rsidP="00CF090B">
      <w:pPr>
        <w:pStyle w:val="Bezmezer"/>
        <w:rPr>
          <w:rFonts w:eastAsia="Calibri" w:cstheme="minorHAnsi"/>
          <w:bCs/>
          <w:noProof/>
          <w:sz w:val="21"/>
          <w:szCs w:val="21"/>
        </w:rPr>
      </w:pPr>
      <w:r w:rsidRPr="00A07F59">
        <w:rPr>
          <w:rFonts w:eastAsia="Calibri" w:cstheme="minorHAnsi"/>
          <w:noProof/>
          <w:sz w:val="21"/>
          <w:szCs w:val="21"/>
        </w:rPr>
        <w:t xml:space="preserve">e-mail: </w:t>
      </w:r>
      <w:hyperlink r:id="rId25" w:history="1">
        <w:r w:rsidRPr="00A07F59">
          <w:rPr>
            <w:rStyle w:val="Hypertextovodkaz"/>
            <w:rFonts w:eastAsia="Calibri" w:cstheme="minorHAnsi"/>
            <w:noProof/>
            <w:sz w:val="21"/>
            <w:szCs w:val="21"/>
          </w:rPr>
          <w:t>michaela.sahulova@bcas.cz</w:t>
        </w:r>
      </w:hyperlink>
      <w:r w:rsidRPr="00A07F59">
        <w:rPr>
          <w:rFonts w:eastAsia="Calibri" w:cstheme="minorHAnsi"/>
          <w:noProof/>
          <w:sz w:val="21"/>
          <w:szCs w:val="21"/>
        </w:rPr>
        <w:t xml:space="preserve"> </w:t>
      </w:r>
    </w:p>
    <w:p w14:paraId="025F1B2F" w14:textId="552299C1" w:rsidR="00D60D98" w:rsidRPr="00CF090B" w:rsidRDefault="00D60D98" w:rsidP="000B0291">
      <w:pPr>
        <w:pStyle w:val="Bezmezer"/>
        <w:rPr>
          <w:rFonts w:eastAsia="Calibri" w:cstheme="minorHAnsi"/>
          <w:bCs/>
          <w:noProof/>
        </w:rPr>
      </w:pPr>
    </w:p>
    <w:sectPr w:rsidR="00D60D98" w:rsidRPr="00CF090B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E4F235" w14:textId="77777777" w:rsidR="00E86896" w:rsidRDefault="00E86896">
      <w:r>
        <w:separator/>
      </w:r>
    </w:p>
  </w:endnote>
  <w:endnote w:type="continuationSeparator" w:id="0">
    <w:p w14:paraId="3122DDBD" w14:textId="77777777" w:rsidR="00E86896" w:rsidRDefault="00E86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1EA33" w14:textId="77777777" w:rsidR="00E86896" w:rsidRDefault="00E86896">
      <w:r>
        <w:separator/>
      </w:r>
    </w:p>
  </w:footnote>
  <w:footnote w:type="continuationSeparator" w:id="0">
    <w:p w14:paraId="0858F7CE" w14:textId="77777777" w:rsidR="00E86896" w:rsidRDefault="00E86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D544F0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D544F0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D544F0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44F0">
      <w:rPr>
        <w:rFonts w:asciiTheme="minorHAnsi" w:hAnsiTheme="minorHAnsi" w:cstheme="minorHAnsi"/>
        <w:color w:val="1D1D1B"/>
      </w:rPr>
      <w:t>BROKER CONSULTING</w:t>
    </w:r>
  </w:p>
  <w:p w14:paraId="07739BB1" w14:textId="6D5E6F51" w:rsidR="00D80B6D" w:rsidRPr="00D544F0" w:rsidRDefault="009F59EE" w:rsidP="009F59EE">
    <w:pPr>
      <w:spacing w:before="85"/>
      <w:ind w:left="1440" w:firstLine="720"/>
      <w:rPr>
        <w:rFonts w:asciiTheme="minorHAnsi" w:hAnsiTheme="minorHAnsi" w:cstheme="minorHAnsi"/>
        <w:sz w:val="28"/>
        <w:szCs w:val="28"/>
      </w:rPr>
    </w:pPr>
    <w:r w:rsidRPr="00D544F0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9F2CEE" w:rsidRPr="00D544F0">
      <w:rPr>
        <w:rFonts w:asciiTheme="minorHAnsi" w:hAnsiTheme="minorHAnsi" w:cstheme="minorHAnsi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70857"/>
    <w:multiLevelType w:val="hybridMultilevel"/>
    <w:tmpl w:val="A4AAA53E"/>
    <w:lvl w:ilvl="0" w:tplc="8054A424">
      <w:start w:val="2"/>
      <w:numFmt w:val="bullet"/>
      <w:lvlText w:val="-"/>
      <w:lvlJc w:val="left"/>
      <w:pPr>
        <w:ind w:left="720" w:hanging="360"/>
      </w:pPr>
      <w:rPr>
        <w:rFonts w:ascii="Calibri" w:eastAsia="F015TEELig" w:hAnsi="Calibri" w:cs="Calibri" w:hint="default"/>
        <w:color w:val="auto"/>
        <w:sz w:val="2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2" w15:restartNumberingAfterBreak="0">
    <w:nsid w:val="52792557"/>
    <w:multiLevelType w:val="hybridMultilevel"/>
    <w:tmpl w:val="6F98AE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2221"/>
    <w:rsid w:val="00003FF5"/>
    <w:rsid w:val="000053DF"/>
    <w:rsid w:val="00014E09"/>
    <w:rsid w:val="00020EC7"/>
    <w:rsid w:val="000220E4"/>
    <w:rsid w:val="000239F7"/>
    <w:rsid w:val="00025AB1"/>
    <w:rsid w:val="00026F23"/>
    <w:rsid w:val="000277AC"/>
    <w:rsid w:val="0003028F"/>
    <w:rsid w:val="000313E1"/>
    <w:rsid w:val="000324E2"/>
    <w:rsid w:val="00032D62"/>
    <w:rsid w:val="00032D94"/>
    <w:rsid w:val="00034402"/>
    <w:rsid w:val="00035267"/>
    <w:rsid w:val="000356CB"/>
    <w:rsid w:val="000356FA"/>
    <w:rsid w:val="000374D7"/>
    <w:rsid w:val="00037DAF"/>
    <w:rsid w:val="000400E4"/>
    <w:rsid w:val="000474CD"/>
    <w:rsid w:val="000479F1"/>
    <w:rsid w:val="00051030"/>
    <w:rsid w:val="0005423A"/>
    <w:rsid w:val="00054A18"/>
    <w:rsid w:val="00056D05"/>
    <w:rsid w:val="00057E7F"/>
    <w:rsid w:val="000600DC"/>
    <w:rsid w:val="0006012F"/>
    <w:rsid w:val="000611E3"/>
    <w:rsid w:val="000663B6"/>
    <w:rsid w:val="00070DAC"/>
    <w:rsid w:val="00073AD9"/>
    <w:rsid w:val="00074539"/>
    <w:rsid w:val="0007624D"/>
    <w:rsid w:val="000766E7"/>
    <w:rsid w:val="00080BB8"/>
    <w:rsid w:val="00081616"/>
    <w:rsid w:val="0008288F"/>
    <w:rsid w:val="000853D4"/>
    <w:rsid w:val="00090CF3"/>
    <w:rsid w:val="0009776B"/>
    <w:rsid w:val="000A60B9"/>
    <w:rsid w:val="000A7CEE"/>
    <w:rsid w:val="000B0291"/>
    <w:rsid w:val="000B060E"/>
    <w:rsid w:val="000B6B6D"/>
    <w:rsid w:val="000C45C7"/>
    <w:rsid w:val="000C5411"/>
    <w:rsid w:val="000D14E2"/>
    <w:rsid w:val="000D3E1D"/>
    <w:rsid w:val="000D46D7"/>
    <w:rsid w:val="000E1018"/>
    <w:rsid w:val="000E1085"/>
    <w:rsid w:val="000E1337"/>
    <w:rsid w:val="000E3086"/>
    <w:rsid w:val="000E3D86"/>
    <w:rsid w:val="000E60BE"/>
    <w:rsid w:val="000E672C"/>
    <w:rsid w:val="000E79A9"/>
    <w:rsid w:val="000F0B3D"/>
    <w:rsid w:val="000F265E"/>
    <w:rsid w:val="000F4E1D"/>
    <w:rsid w:val="000F5AB4"/>
    <w:rsid w:val="000F6249"/>
    <w:rsid w:val="000F7333"/>
    <w:rsid w:val="00105D3A"/>
    <w:rsid w:val="001068FC"/>
    <w:rsid w:val="001103A6"/>
    <w:rsid w:val="00110812"/>
    <w:rsid w:val="00111C28"/>
    <w:rsid w:val="0011234F"/>
    <w:rsid w:val="00113A0A"/>
    <w:rsid w:val="00114C29"/>
    <w:rsid w:val="001152A6"/>
    <w:rsid w:val="00117FB4"/>
    <w:rsid w:val="00120F6A"/>
    <w:rsid w:val="00122CD1"/>
    <w:rsid w:val="001253CC"/>
    <w:rsid w:val="0013044E"/>
    <w:rsid w:val="0013130F"/>
    <w:rsid w:val="00131A69"/>
    <w:rsid w:val="00132BF9"/>
    <w:rsid w:val="00132F04"/>
    <w:rsid w:val="00136D8D"/>
    <w:rsid w:val="00137003"/>
    <w:rsid w:val="0013717C"/>
    <w:rsid w:val="00144AFE"/>
    <w:rsid w:val="00145B8B"/>
    <w:rsid w:val="001464F4"/>
    <w:rsid w:val="00154277"/>
    <w:rsid w:val="0015577B"/>
    <w:rsid w:val="00156082"/>
    <w:rsid w:val="00157FA9"/>
    <w:rsid w:val="0016145E"/>
    <w:rsid w:val="00161879"/>
    <w:rsid w:val="00162672"/>
    <w:rsid w:val="00164CE5"/>
    <w:rsid w:val="00165641"/>
    <w:rsid w:val="001665D8"/>
    <w:rsid w:val="00166AB1"/>
    <w:rsid w:val="001675AF"/>
    <w:rsid w:val="00170034"/>
    <w:rsid w:val="0017084B"/>
    <w:rsid w:val="00174F7A"/>
    <w:rsid w:val="00175D35"/>
    <w:rsid w:val="001767A5"/>
    <w:rsid w:val="001809F6"/>
    <w:rsid w:val="00180D72"/>
    <w:rsid w:val="00181EC4"/>
    <w:rsid w:val="00190287"/>
    <w:rsid w:val="00192716"/>
    <w:rsid w:val="001937DD"/>
    <w:rsid w:val="00193EB7"/>
    <w:rsid w:val="0019453C"/>
    <w:rsid w:val="00197879"/>
    <w:rsid w:val="001A0318"/>
    <w:rsid w:val="001A4064"/>
    <w:rsid w:val="001A4EE2"/>
    <w:rsid w:val="001A54DD"/>
    <w:rsid w:val="001A5E5C"/>
    <w:rsid w:val="001A5E76"/>
    <w:rsid w:val="001A607A"/>
    <w:rsid w:val="001A613B"/>
    <w:rsid w:val="001B088B"/>
    <w:rsid w:val="001B21B5"/>
    <w:rsid w:val="001B501B"/>
    <w:rsid w:val="001B530D"/>
    <w:rsid w:val="001B669D"/>
    <w:rsid w:val="001B6EFB"/>
    <w:rsid w:val="001B726C"/>
    <w:rsid w:val="001C4721"/>
    <w:rsid w:val="001C4B7D"/>
    <w:rsid w:val="001C58A4"/>
    <w:rsid w:val="001C603A"/>
    <w:rsid w:val="001C67A7"/>
    <w:rsid w:val="001D015A"/>
    <w:rsid w:val="001D03BA"/>
    <w:rsid w:val="001D124F"/>
    <w:rsid w:val="001D2646"/>
    <w:rsid w:val="001D397C"/>
    <w:rsid w:val="001D3DFC"/>
    <w:rsid w:val="001D5D27"/>
    <w:rsid w:val="001D720F"/>
    <w:rsid w:val="001E044B"/>
    <w:rsid w:val="001E1D9D"/>
    <w:rsid w:val="001E2D49"/>
    <w:rsid w:val="001E4209"/>
    <w:rsid w:val="001E48DE"/>
    <w:rsid w:val="001E54E2"/>
    <w:rsid w:val="001E763B"/>
    <w:rsid w:val="001F032C"/>
    <w:rsid w:val="001F66AD"/>
    <w:rsid w:val="001F6C24"/>
    <w:rsid w:val="001F7194"/>
    <w:rsid w:val="001F71BA"/>
    <w:rsid w:val="00206A37"/>
    <w:rsid w:val="002141AF"/>
    <w:rsid w:val="002150CB"/>
    <w:rsid w:val="002152A7"/>
    <w:rsid w:val="002217AA"/>
    <w:rsid w:val="00221820"/>
    <w:rsid w:val="002225C6"/>
    <w:rsid w:val="00224E8A"/>
    <w:rsid w:val="00235EDC"/>
    <w:rsid w:val="002360AE"/>
    <w:rsid w:val="002368F3"/>
    <w:rsid w:val="002368FB"/>
    <w:rsid w:val="0023764D"/>
    <w:rsid w:val="00241313"/>
    <w:rsid w:val="0025012B"/>
    <w:rsid w:val="0025264B"/>
    <w:rsid w:val="0025428A"/>
    <w:rsid w:val="00257510"/>
    <w:rsid w:val="002601CA"/>
    <w:rsid w:val="00265810"/>
    <w:rsid w:val="0026621E"/>
    <w:rsid w:val="002662AC"/>
    <w:rsid w:val="002674EF"/>
    <w:rsid w:val="00267551"/>
    <w:rsid w:val="00267917"/>
    <w:rsid w:val="00270DB3"/>
    <w:rsid w:val="0027305C"/>
    <w:rsid w:val="002745EF"/>
    <w:rsid w:val="002761EE"/>
    <w:rsid w:val="00276593"/>
    <w:rsid w:val="00276C57"/>
    <w:rsid w:val="002831A1"/>
    <w:rsid w:val="00283D28"/>
    <w:rsid w:val="00292A70"/>
    <w:rsid w:val="00295407"/>
    <w:rsid w:val="002974F0"/>
    <w:rsid w:val="00297CEA"/>
    <w:rsid w:val="002A4750"/>
    <w:rsid w:val="002A4BC3"/>
    <w:rsid w:val="002A5439"/>
    <w:rsid w:val="002A5C74"/>
    <w:rsid w:val="002A7937"/>
    <w:rsid w:val="002B03FE"/>
    <w:rsid w:val="002B2EDF"/>
    <w:rsid w:val="002B43B8"/>
    <w:rsid w:val="002B46FF"/>
    <w:rsid w:val="002B7C0A"/>
    <w:rsid w:val="002C01FF"/>
    <w:rsid w:val="002C35D8"/>
    <w:rsid w:val="002C582E"/>
    <w:rsid w:val="002D2A18"/>
    <w:rsid w:val="002D343D"/>
    <w:rsid w:val="002D3E18"/>
    <w:rsid w:val="002D539D"/>
    <w:rsid w:val="002D6378"/>
    <w:rsid w:val="002D76B4"/>
    <w:rsid w:val="002D7A2E"/>
    <w:rsid w:val="002E0C7C"/>
    <w:rsid w:val="002E2954"/>
    <w:rsid w:val="002E2A85"/>
    <w:rsid w:val="002E4795"/>
    <w:rsid w:val="002E6311"/>
    <w:rsid w:val="002F002B"/>
    <w:rsid w:val="002F2E49"/>
    <w:rsid w:val="002F3074"/>
    <w:rsid w:val="002F485A"/>
    <w:rsid w:val="002F7EC2"/>
    <w:rsid w:val="00301F39"/>
    <w:rsid w:val="0030348B"/>
    <w:rsid w:val="0030505E"/>
    <w:rsid w:val="003071C4"/>
    <w:rsid w:val="00307229"/>
    <w:rsid w:val="00307E95"/>
    <w:rsid w:val="00310DBC"/>
    <w:rsid w:val="003128F8"/>
    <w:rsid w:val="00313082"/>
    <w:rsid w:val="00313891"/>
    <w:rsid w:val="0031770F"/>
    <w:rsid w:val="00321009"/>
    <w:rsid w:val="00322A3F"/>
    <w:rsid w:val="003247B0"/>
    <w:rsid w:val="0032509D"/>
    <w:rsid w:val="003278AC"/>
    <w:rsid w:val="00330918"/>
    <w:rsid w:val="0033197C"/>
    <w:rsid w:val="003326F9"/>
    <w:rsid w:val="00334048"/>
    <w:rsid w:val="0034220D"/>
    <w:rsid w:val="0034220F"/>
    <w:rsid w:val="003426AA"/>
    <w:rsid w:val="00342F85"/>
    <w:rsid w:val="00346375"/>
    <w:rsid w:val="00347557"/>
    <w:rsid w:val="00347D68"/>
    <w:rsid w:val="00352515"/>
    <w:rsid w:val="00355366"/>
    <w:rsid w:val="00355B3D"/>
    <w:rsid w:val="00355D3E"/>
    <w:rsid w:val="003579F4"/>
    <w:rsid w:val="0036040B"/>
    <w:rsid w:val="003606D5"/>
    <w:rsid w:val="003606E0"/>
    <w:rsid w:val="00360D43"/>
    <w:rsid w:val="003629B6"/>
    <w:rsid w:val="00362CEF"/>
    <w:rsid w:val="003655AB"/>
    <w:rsid w:val="00371DD1"/>
    <w:rsid w:val="003721AD"/>
    <w:rsid w:val="003747DC"/>
    <w:rsid w:val="00376855"/>
    <w:rsid w:val="003805E6"/>
    <w:rsid w:val="00383DC5"/>
    <w:rsid w:val="003842CE"/>
    <w:rsid w:val="00385EED"/>
    <w:rsid w:val="00390522"/>
    <w:rsid w:val="00390B58"/>
    <w:rsid w:val="00391240"/>
    <w:rsid w:val="00392438"/>
    <w:rsid w:val="003A4F52"/>
    <w:rsid w:val="003A5757"/>
    <w:rsid w:val="003A6435"/>
    <w:rsid w:val="003A689B"/>
    <w:rsid w:val="003A7953"/>
    <w:rsid w:val="003B02A7"/>
    <w:rsid w:val="003B0E4F"/>
    <w:rsid w:val="003B2168"/>
    <w:rsid w:val="003B46D1"/>
    <w:rsid w:val="003C0CBE"/>
    <w:rsid w:val="003C349B"/>
    <w:rsid w:val="003D10B1"/>
    <w:rsid w:val="003D1987"/>
    <w:rsid w:val="003D2036"/>
    <w:rsid w:val="003D733D"/>
    <w:rsid w:val="003E3311"/>
    <w:rsid w:val="003E64E9"/>
    <w:rsid w:val="003E7356"/>
    <w:rsid w:val="003E77AF"/>
    <w:rsid w:val="003F0400"/>
    <w:rsid w:val="003F1100"/>
    <w:rsid w:val="003F1CE8"/>
    <w:rsid w:val="003F2732"/>
    <w:rsid w:val="003F652F"/>
    <w:rsid w:val="003F79EC"/>
    <w:rsid w:val="00403571"/>
    <w:rsid w:val="00407541"/>
    <w:rsid w:val="0040784A"/>
    <w:rsid w:val="00410B0C"/>
    <w:rsid w:val="00412828"/>
    <w:rsid w:val="0041306B"/>
    <w:rsid w:val="00413BEC"/>
    <w:rsid w:val="00414D84"/>
    <w:rsid w:val="00417787"/>
    <w:rsid w:val="00421847"/>
    <w:rsid w:val="0042193A"/>
    <w:rsid w:val="00421BEC"/>
    <w:rsid w:val="00423383"/>
    <w:rsid w:val="00425687"/>
    <w:rsid w:val="0042653C"/>
    <w:rsid w:val="00427549"/>
    <w:rsid w:val="00427CBB"/>
    <w:rsid w:val="0043067D"/>
    <w:rsid w:val="004313F1"/>
    <w:rsid w:val="00442C87"/>
    <w:rsid w:val="004438D9"/>
    <w:rsid w:val="004440FA"/>
    <w:rsid w:val="004443E3"/>
    <w:rsid w:val="00445D0A"/>
    <w:rsid w:val="004478A0"/>
    <w:rsid w:val="004513DC"/>
    <w:rsid w:val="0045405B"/>
    <w:rsid w:val="00454843"/>
    <w:rsid w:val="004553A8"/>
    <w:rsid w:val="00455445"/>
    <w:rsid w:val="004571C1"/>
    <w:rsid w:val="004627B9"/>
    <w:rsid w:val="004628B4"/>
    <w:rsid w:val="004632E5"/>
    <w:rsid w:val="004707BA"/>
    <w:rsid w:val="004735E9"/>
    <w:rsid w:val="00475191"/>
    <w:rsid w:val="004766EC"/>
    <w:rsid w:val="00476C50"/>
    <w:rsid w:val="004815B1"/>
    <w:rsid w:val="004835F6"/>
    <w:rsid w:val="0048788A"/>
    <w:rsid w:val="004948CC"/>
    <w:rsid w:val="00495C10"/>
    <w:rsid w:val="00497374"/>
    <w:rsid w:val="004A0A3B"/>
    <w:rsid w:val="004A4DE4"/>
    <w:rsid w:val="004B1CE6"/>
    <w:rsid w:val="004B2AFA"/>
    <w:rsid w:val="004B5797"/>
    <w:rsid w:val="004B6D32"/>
    <w:rsid w:val="004C1296"/>
    <w:rsid w:val="004C2E4B"/>
    <w:rsid w:val="004C398C"/>
    <w:rsid w:val="004C3F71"/>
    <w:rsid w:val="004C7DDE"/>
    <w:rsid w:val="004D00AF"/>
    <w:rsid w:val="004D3977"/>
    <w:rsid w:val="004E18FD"/>
    <w:rsid w:val="004E458A"/>
    <w:rsid w:val="004E55FE"/>
    <w:rsid w:val="004E7AEB"/>
    <w:rsid w:val="004E7E0B"/>
    <w:rsid w:val="00500F93"/>
    <w:rsid w:val="00501A9E"/>
    <w:rsid w:val="005031AA"/>
    <w:rsid w:val="00504442"/>
    <w:rsid w:val="005051FB"/>
    <w:rsid w:val="00505697"/>
    <w:rsid w:val="0050659B"/>
    <w:rsid w:val="00507504"/>
    <w:rsid w:val="00512B46"/>
    <w:rsid w:val="00512F01"/>
    <w:rsid w:val="005139C3"/>
    <w:rsid w:val="005140FB"/>
    <w:rsid w:val="005153F7"/>
    <w:rsid w:val="00517A29"/>
    <w:rsid w:val="005218FE"/>
    <w:rsid w:val="005224C1"/>
    <w:rsid w:val="005256D0"/>
    <w:rsid w:val="00526D02"/>
    <w:rsid w:val="0053153F"/>
    <w:rsid w:val="00536954"/>
    <w:rsid w:val="00537697"/>
    <w:rsid w:val="00537FE0"/>
    <w:rsid w:val="00540606"/>
    <w:rsid w:val="00540F3B"/>
    <w:rsid w:val="00541870"/>
    <w:rsid w:val="005436EC"/>
    <w:rsid w:val="00544A37"/>
    <w:rsid w:val="00547867"/>
    <w:rsid w:val="00550064"/>
    <w:rsid w:val="0055263D"/>
    <w:rsid w:val="00554A42"/>
    <w:rsid w:val="00555824"/>
    <w:rsid w:val="00555F45"/>
    <w:rsid w:val="005575DE"/>
    <w:rsid w:val="00560C6D"/>
    <w:rsid w:val="00563745"/>
    <w:rsid w:val="005655BD"/>
    <w:rsid w:val="005663AE"/>
    <w:rsid w:val="00570828"/>
    <w:rsid w:val="00576F53"/>
    <w:rsid w:val="00577D19"/>
    <w:rsid w:val="005809D3"/>
    <w:rsid w:val="0058369A"/>
    <w:rsid w:val="005842ED"/>
    <w:rsid w:val="005966D4"/>
    <w:rsid w:val="005A29CA"/>
    <w:rsid w:val="005A3473"/>
    <w:rsid w:val="005A37E5"/>
    <w:rsid w:val="005A481B"/>
    <w:rsid w:val="005A4F61"/>
    <w:rsid w:val="005A5BBA"/>
    <w:rsid w:val="005A5F08"/>
    <w:rsid w:val="005A7DAD"/>
    <w:rsid w:val="005B0AEF"/>
    <w:rsid w:val="005B16D3"/>
    <w:rsid w:val="005B24EB"/>
    <w:rsid w:val="005B31D7"/>
    <w:rsid w:val="005C009A"/>
    <w:rsid w:val="005C0189"/>
    <w:rsid w:val="005C22F8"/>
    <w:rsid w:val="005C5B9E"/>
    <w:rsid w:val="005D34CC"/>
    <w:rsid w:val="005D57C1"/>
    <w:rsid w:val="005E4D88"/>
    <w:rsid w:val="005E4D9C"/>
    <w:rsid w:val="005E51C5"/>
    <w:rsid w:val="005E6778"/>
    <w:rsid w:val="005E78C4"/>
    <w:rsid w:val="005E7952"/>
    <w:rsid w:val="005F0E46"/>
    <w:rsid w:val="005F1DB3"/>
    <w:rsid w:val="005F2623"/>
    <w:rsid w:val="005F6C1E"/>
    <w:rsid w:val="005F7090"/>
    <w:rsid w:val="00600436"/>
    <w:rsid w:val="00600E58"/>
    <w:rsid w:val="00603538"/>
    <w:rsid w:val="006061BD"/>
    <w:rsid w:val="0061103B"/>
    <w:rsid w:val="00611905"/>
    <w:rsid w:val="006121A8"/>
    <w:rsid w:val="0061253F"/>
    <w:rsid w:val="006135FD"/>
    <w:rsid w:val="00614133"/>
    <w:rsid w:val="006172AA"/>
    <w:rsid w:val="006203C4"/>
    <w:rsid w:val="006232B8"/>
    <w:rsid w:val="0062480B"/>
    <w:rsid w:val="0062747C"/>
    <w:rsid w:val="006307A5"/>
    <w:rsid w:val="00630C84"/>
    <w:rsid w:val="006318CC"/>
    <w:rsid w:val="00631E38"/>
    <w:rsid w:val="00631E80"/>
    <w:rsid w:val="006321D6"/>
    <w:rsid w:val="006337CD"/>
    <w:rsid w:val="00633E13"/>
    <w:rsid w:val="00637BCA"/>
    <w:rsid w:val="0064160C"/>
    <w:rsid w:val="0064286C"/>
    <w:rsid w:val="00645171"/>
    <w:rsid w:val="00650189"/>
    <w:rsid w:val="00650654"/>
    <w:rsid w:val="00650DD6"/>
    <w:rsid w:val="00650DEB"/>
    <w:rsid w:val="00654E3E"/>
    <w:rsid w:val="0065659A"/>
    <w:rsid w:val="00657EE5"/>
    <w:rsid w:val="0066135D"/>
    <w:rsid w:val="00663038"/>
    <w:rsid w:val="00666D21"/>
    <w:rsid w:val="00667012"/>
    <w:rsid w:val="00667776"/>
    <w:rsid w:val="00670237"/>
    <w:rsid w:val="0067176D"/>
    <w:rsid w:val="0067414D"/>
    <w:rsid w:val="00676653"/>
    <w:rsid w:val="00676757"/>
    <w:rsid w:val="006768F0"/>
    <w:rsid w:val="00677078"/>
    <w:rsid w:val="0068195B"/>
    <w:rsid w:val="00681C88"/>
    <w:rsid w:val="006829B7"/>
    <w:rsid w:val="00683626"/>
    <w:rsid w:val="00684D2C"/>
    <w:rsid w:val="0068537C"/>
    <w:rsid w:val="00685FBC"/>
    <w:rsid w:val="0068617E"/>
    <w:rsid w:val="00686364"/>
    <w:rsid w:val="00687F4F"/>
    <w:rsid w:val="006909B5"/>
    <w:rsid w:val="0069177B"/>
    <w:rsid w:val="00692F5F"/>
    <w:rsid w:val="006939E4"/>
    <w:rsid w:val="00694DBB"/>
    <w:rsid w:val="00695452"/>
    <w:rsid w:val="00697EB5"/>
    <w:rsid w:val="006A2F6C"/>
    <w:rsid w:val="006A3BE2"/>
    <w:rsid w:val="006A4030"/>
    <w:rsid w:val="006A48F1"/>
    <w:rsid w:val="006A6681"/>
    <w:rsid w:val="006B4780"/>
    <w:rsid w:val="006B48B2"/>
    <w:rsid w:val="006B57CB"/>
    <w:rsid w:val="006C3B51"/>
    <w:rsid w:val="006C61E8"/>
    <w:rsid w:val="006D192A"/>
    <w:rsid w:val="006D603F"/>
    <w:rsid w:val="006D65EC"/>
    <w:rsid w:val="006D7BF3"/>
    <w:rsid w:val="006E12FE"/>
    <w:rsid w:val="006E26DC"/>
    <w:rsid w:val="006E50C3"/>
    <w:rsid w:val="006E564C"/>
    <w:rsid w:val="006F052D"/>
    <w:rsid w:val="006F07E3"/>
    <w:rsid w:val="006F1124"/>
    <w:rsid w:val="006F2045"/>
    <w:rsid w:val="006F32FB"/>
    <w:rsid w:val="0070141F"/>
    <w:rsid w:val="00705D83"/>
    <w:rsid w:val="00710523"/>
    <w:rsid w:val="0071058C"/>
    <w:rsid w:val="007142D0"/>
    <w:rsid w:val="00717780"/>
    <w:rsid w:val="0072112F"/>
    <w:rsid w:val="0072115C"/>
    <w:rsid w:val="007216AC"/>
    <w:rsid w:val="00732F8D"/>
    <w:rsid w:val="0073328E"/>
    <w:rsid w:val="00734305"/>
    <w:rsid w:val="0073706E"/>
    <w:rsid w:val="007373A6"/>
    <w:rsid w:val="0073790D"/>
    <w:rsid w:val="00737AE3"/>
    <w:rsid w:val="00737D83"/>
    <w:rsid w:val="00740D2F"/>
    <w:rsid w:val="00740E22"/>
    <w:rsid w:val="00740FE3"/>
    <w:rsid w:val="00744343"/>
    <w:rsid w:val="0074449D"/>
    <w:rsid w:val="00745160"/>
    <w:rsid w:val="00745FFD"/>
    <w:rsid w:val="0075099B"/>
    <w:rsid w:val="00750BD4"/>
    <w:rsid w:val="0075368D"/>
    <w:rsid w:val="00754697"/>
    <w:rsid w:val="007556C6"/>
    <w:rsid w:val="00755700"/>
    <w:rsid w:val="00757C4E"/>
    <w:rsid w:val="00757D8B"/>
    <w:rsid w:val="00760B0E"/>
    <w:rsid w:val="00761868"/>
    <w:rsid w:val="00761D9B"/>
    <w:rsid w:val="00762D33"/>
    <w:rsid w:val="007641F7"/>
    <w:rsid w:val="00765FD4"/>
    <w:rsid w:val="00767C3D"/>
    <w:rsid w:val="00771B91"/>
    <w:rsid w:val="00771DFE"/>
    <w:rsid w:val="007733DB"/>
    <w:rsid w:val="0077535C"/>
    <w:rsid w:val="00776CBE"/>
    <w:rsid w:val="007810E6"/>
    <w:rsid w:val="007824F4"/>
    <w:rsid w:val="00782D03"/>
    <w:rsid w:val="00784109"/>
    <w:rsid w:val="007853F8"/>
    <w:rsid w:val="00785FC5"/>
    <w:rsid w:val="0078631B"/>
    <w:rsid w:val="00786BA5"/>
    <w:rsid w:val="007905D5"/>
    <w:rsid w:val="00791A2B"/>
    <w:rsid w:val="00792EE9"/>
    <w:rsid w:val="0079572A"/>
    <w:rsid w:val="00796334"/>
    <w:rsid w:val="007A0849"/>
    <w:rsid w:val="007A1121"/>
    <w:rsid w:val="007A1122"/>
    <w:rsid w:val="007A15A6"/>
    <w:rsid w:val="007A5987"/>
    <w:rsid w:val="007B026B"/>
    <w:rsid w:val="007B048D"/>
    <w:rsid w:val="007B04B4"/>
    <w:rsid w:val="007B1F73"/>
    <w:rsid w:val="007B232E"/>
    <w:rsid w:val="007B358E"/>
    <w:rsid w:val="007B3E55"/>
    <w:rsid w:val="007B435F"/>
    <w:rsid w:val="007B4E88"/>
    <w:rsid w:val="007B6899"/>
    <w:rsid w:val="007B7AF5"/>
    <w:rsid w:val="007B7E44"/>
    <w:rsid w:val="007C0BC2"/>
    <w:rsid w:val="007C32F8"/>
    <w:rsid w:val="007C3AAA"/>
    <w:rsid w:val="007C5CE8"/>
    <w:rsid w:val="007C7073"/>
    <w:rsid w:val="007C7B64"/>
    <w:rsid w:val="007D05B3"/>
    <w:rsid w:val="007D29E5"/>
    <w:rsid w:val="007D3D51"/>
    <w:rsid w:val="007D3E32"/>
    <w:rsid w:val="007D4A8D"/>
    <w:rsid w:val="007E1FBA"/>
    <w:rsid w:val="007E3355"/>
    <w:rsid w:val="007E5614"/>
    <w:rsid w:val="007F048B"/>
    <w:rsid w:val="007F174D"/>
    <w:rsid w:val="007F6797"/>
    <w:rsid w:val="007F7409"/>
    <w:rsid w:val="008005EB"/>
    <w:rsid w:val="00807CDD"/>
    <w:rsid w:val="00812E77"/>
    <w:rsid w:val="00813300"/>
    <w:rsid w:val="0081387C"/>
    <w:rsid w:val="0081466F"/>
    <w:rsid w:val="00821B36"/>
    <w:rsid w:val="008242F9"/>
    <w:rsid w:val="0082762A"/>
    <w:rsid w:val="0083053E"/>
    <w:rsid w:val="00831B5E"/>
    <w:rsid w:val="00833A44"/>
    <w:rsid w:val="00833ECF"/>
    <w:rsid w:val="008348A0"/>
    <w:rsid w:val="00834D4D"/>
    <w:rsid w:val="00835880"/>
    <w:rsid w:val="00836812"/>
    <w:rsid w:val="00840704"/>
    <w:rsid w:val="0084178F"/>
    <w:rsid w:val="00845A18"/>
    <w:rsid w:val="00845A34"/>
    <w:rsid w:val="00846F99"/>
    <w:rsid w:val="00851C45"/>
    <w:rsid w:val="00855897"/>
    <w:rsid w:val="00860290"/>
    <w:rsid w:val="00860837"/>
    <w:rsid w:val="00860EE4"/>
    <w:rsid w:val="00863B54"/>
    <w:rsid w:val="00866600"/>
    <w:rsid w:val="00870F82"/>
    <w:rsid w:val="0088035D"/>
    <w:rsid w:val="0088046D"/>
    <w:rsid w:val="00880547"/>
    <w:rsid w:val="008807C3"/>
    <w:rsid w:val="00882D8E"/>
    <w:rsid w:val="008831E8"/>
    <w:rsid w:val="0088326D"/>
    <w:rsid w:val="00883A3E"/>
    <w:rsid w:val="00883FFA"/>
    <w:rsid w:val="00885B2F"/>
    <w:rsid w:val="00886F0E"/>
    <w:rsid w:val="00890117"/>
    <w:rsid w:val="00891790"/>
    <w:rsid w:val="008926E5"/>
    <w:rsid w:val="008926F3"/>
    <w:rsid w:val="00892C78"/>
    <w:rsid w:val="00893577"/>
    <w:rsid w:val="0089587C"/>
    <w:rsid w:val="00895B78"/>
    <w:rsid w:val="00896B59"/>
    <w:rsid w:val="008A04D3"/>
    <w:rsid w:val="008A14E4"/>
    <w:rsid w:val="008A2132"/>
    <w:rsid w:val="008A476C"/>
    <w:rsid w:val="008A6F1B"/>
    <w:rsid w:val="008B01BE"/>
    <w:rsid w:val="008B37D1"/>
    <w:rsid w:val="008B480A"/>
    <w:rsid w:val="008B60CB"/>
    <w:rsid w:val="008B67CB"/>
    <w:rsid w:val="008C0E53"/>
    <w:rsid w:val="008C1795"/>
    <w:rsid w:val="008C4A0A"/>
    <w:rsid w:val="008C4B0D"/>
    <w:rsid w:val="008C57BA"/>
    <w:rsid w:val="008C5A69"/>
    <w:rsid w:val="008C5E3B"/>
    <w:rsid w:val="008C60E2"/>
    <w:rsid w:val="008C6335"/>
    <w:rsid w:val="008D26C8"/>
    <w:rsid w:val="008D397B"/>
    <w:rsid w:val="008D556E"/>
    <w:rsid w:val="008D767A"/>
    <w:rsid w:val="008E065B"/>
    <w:rsid w:val="008E19F3"/>
    <w:rsid w:val="008E2945"/>
    <w:rsid w:val="008E4894"/>
    <w:rsid w:val="008F1F50"/>
    <w:rsid w:val="008F241C"/>
    <w:rsid w:val="008F36F5"/>
    <w:rsid w:val="008F6AAF"/>
    <w:rsid w:val="00903105"/>
    <w:rsid w:val="00904004"/>
    <w:rsid w:val="009051BB"/>
    <w:rsid w:val="00906176"/>
    <w:rsid w:val="00906C63"/>
    <w:rsid w:val="00906E67"/>
    <w:rsid w:val="00913530"/>
    <w:rsid w:val="00915ADA"/>
    <w:rsid w:val="00915DB2"/>
    <w:rsid w:val="009213DB"/>
    <w:rsid w:val="00921B44"/>
    <w:rsid w:val="009220A7"/>
    <w:rsid w:val="009222C9"/>
    <w:rsid w:val="00924BDE"/>
    <w:rsid w:val="00927B66"/>
    <w:rsid w:val="00927EB8"/>
    <w:rsid w:val="00932625"/>
    <w:rsid w:val="00934023"/>
    <w:rsid w:val="009344C2"/>
    <w:rsid w:val="00935552"/>
    <w:rsid w:val="009356F6"/>
    <w:rsid w:val="00937539"/>
    <w:rsid w:val="00937E11"/>
    <w:rsid w:val="00941A60"/>
    <w:rsid w:val="00941B52"/>
    <w:rsid w:val="009439C3"/>
    <w:rsid w:val="00945078"/>
    <w:rsid w:val="009466CF"/>
    <w:rsid w:val="00946F0C"/>
    <w:rsid w:val="0094705C"/>
    <w:rsid w:val="00947200"/>
    <w:rsid w:val="00947476"/>
    <w:rsid w:val="0095069E"/>
    <w:rsid w:val="00957B41"/>
    <w:rsid w:val="00957DEA"/>
    <w:rsid w:val="00965500"/>
    <w:rsid w:val="00967D7E"/>
    <w:rsid w:val="009727DA"/>
    <w:rsid w:val="00972A6C"/>
    <w:rsid w:val="00977040"/>
    <w:rsid w:val="0098121D"/>
    <w:rsid w:val="00982987"/>
    <w:rsid w:val="0098362A"/>
    <w:rsid w:val="009858E1"/>
    <w:rsid w:val="00986B30"/>
    <w:rsid w:val="0098747F"/>
    <w:rsid w:val="00990864"/>
    <w:rsid w:val="00991554"/>
    <w:rsid w:val="009934A5"/>
    <w:rsid w:val="009954D0"/>
    <w:rsid w:val="009A24E0"/>
    <w:rsid w:val="009A4F6D"/>
    <w:rsid w:val="009A6705"/>
    <w:rsid w:val="009A69B1"/>
    <w:rsid w:val="009A71FE"/>
    <w:rsid w:val="009B043D"/>
    <w:rsid w:val="009B07EF"/>
    <w:rsid w:val="009B608A"/>
    <w:rsid w:val="009B691E"/>
    <w:rsid w:val="009C08B7"/>
    <w:rsid w:val="009C0DA6"/>
    <w:rsid w:val="009C0ECA"/>
    <w:rsid w:val="009C0F81"/>
    <w:rsid w:val="009C17C7"/>
    <w:rsid w:val="009C1AF0"/>
    <w:rsid w:val="009C45BA"/>
    <w:rsid w:val="009C6DD2"/>
    <w:rsid w:val="009D05AD"/>
    <w:rsid w:val="009D2821"/>
    <w:rsid w:val="009D2ECE"/>
    <w:rsid w:val="009D68F9"/>
    <w:rsid w:val="009D6A2C"/>
    <w:rsid w:val="009D6ABF"/>
    <w:rsid w:val="009E0062"/>
    <w:rsid w:val="009E317D"/>
    <w:rsid w:val="009E3B52"/>
    <w:rsid w:val="009E5916"/>
    <w:rsid w:val="009F0267"/>
    <w:rsid w:val="009F2CB2"/>
    <w:rsid w:val="009F2CEE"/>
    <w:rsid w:val="009F4695"/>
    <w:rsid w:val="009F59EE"/>
    <w:rsid w:val="009F5B6E"/>
    <w:rsid w:val="00A00251"/>
    <w:rsid w:val="00A0060A"/>
    <w:rsid w:val="00A02308"/>
    <w:rsid w:val="00A025BA"/>
    <w:rsid w:val="00A035B0"/>
    <w:rsid w:val="00A04189"/>
    <w:rsid w:val="00A069E2"/>
    <w:rsid w:val="00A07F59"/>
    <w:rsid w:val="00A1093F"/>
    <w:rsid w:val="00A11C0F"/>
    <w:rsid w:val="00A11C90"/>
    <w:rsid w:val="00A12A99"/>
    <w:rsid w:val="00A13346"/>
    <w:rsid w:val="00A14661"/>
    <w:rsid w:val="00A15E33"/>
    <w:rsid w:val="00A1653A"/>
    <w:rsid w:val="00A16F18"/>
    <w:rsid w:val="00A2214C"/>
    <w:rsid w:val="00A23DCC"/>
    <w:rsid w:val="00A27AA5"/>
    <w:rsid w:val="00A30D93"/>
    <w:rsid w:val="00A31FAC"/>
    <w:rsid w:val="00A35524"/>
    <w:rsid w:val="00A355AB"/>
    <w:rsid w:val="00A36D79"/>
    <w:rsid w:val="00A36E5B"/>
    <w:rsid w:val="00A37B91"/>
    <w:rsid w:val="00A37D04"/>
    <w:rsid w:val="00A4066D"/>
    <w:rsid w:val="00A40B94"/>
    <w:rsid w:val="00A41715"/>
    <w:rsid w:val="00A41942"/>
    <w:rsid w:val="00A46073"/>
    <w:rsid w:val="00A4618A"/>
    <w:rsid w:val="00A46C7A"/>
    <w:rsid w:val="00A5254F"/>
    <w:rsid w:val="00A541A1"/>
    <w:rsid w:val="00A55879"/>
    <w:rsid w:val="00A55E01"/>
    <w:rsid w:val="00A55E85"/>
    <w:rsid w:val="00A567D6"/>
    <w:rsid w:val="00A56CD6"/>
    <w:rsid w:val="00A574A6"/>
    <w:rsid w:val="00A60772"/>
    <w:rsid w:val="00A61996"/>
    <w:rsid w:val="00A63FF7"/>
    <w:rsid w:val="00A7081D"/>
    <w:rsid w:val="00A726DE"/>
    <w:rsid w:val="00A75776"/>
    <w:rsid w:val="00A77932"/>
    <w:rsid w:val="00A7796E"/>
    <w:rsid w:val="00A77CA3"/>
    <w:rsid w:val="00A80480"/>
    <w:rsid w:val="00A82DA1"/>
    <w:rsid w:val="00A84486"/>
    <w:rsid w:val="00A860EC"/>
    <w:rsid w:val="00A87479"/>
    <w:rsid w:val="00A9461D"/>
    <w:rsid w:val="00AA1259"/>
    <w:rsid w:val="00AA218A"/>
    <w:rsid w:val="00AA35AF"/>
    <w:rsid w:val="00AA6BC7"/>
    <w:rsid w:val="00AB2A70"/>
    <w:rsid w:val="00AB3C16"/>
    <w:rsid w:val="00AB5142"/>
    <w:rsid w:val="00AC0249"/>
    <w:rsid w:val="00AC614D"/>
    <w:rsid w:val="00AC61AF"/>
    <w:rsid w:val="00AC7E34"/>
    <w:rsid w:val="00AD2CA1"/>
    <w:rsid w:val="00AD61C2"/>
    <w:rsid w:val="00AE406C"/>
    <w:rsid w:val="00AE548F"/>
    <w:rsid w:val="00B00BCA"/>
    <w:rsid w:val="00B02A9F"/>
    <w:rsid w:val="00B03575"/>
    <w:rsid w:val="00B05444"/>
    <w:rsid w:val="00B058E3"/>
    <w:rsid w:val="00B0678D"/>
    <w:rsid w:val="00B07144"/>
    <w:rsid w:val="00B11974"/>
    <w:rsid w:val="00B12CF8"/>
    <w:rsid w:val="00B150FD"/>
    <w:rsid w:val="00B15519"/>
    <w:rsid w:val="00B244B9"/>
    <w:rsid w:val="00B2571C"/>
    <w:rsid w:val="00B27178"/>
    <w:rsid w:val="00B27C5B"/>
    <w:rsid w:val="00B3476A"/>
    <w:rsid w:val="00B36BED"/>
    <w:rsid w:val="00B40418"/>
    <w:rsid w:val="00B41CE5"/>
    <w:rsid w:val="00B42E81"/>
    <w:rsid w:val="00B43ABC"/>
    <w:rsid w:val="00B4711F"/>
    <w:rsid w:val="00B47199"/>
    <w:rsid w:val="00B51125"/>
    <w:rsid w:val="00B52CDF"/>
    <w:rsid w:val="00B612E7"/>
    <w:rsid w:val="00B62371"/>
    <w:rsid w:val="00B6412F"/>
    <w:rsid w:val="00B646D6"/>
    <w:rsid w:val="00B6504A"/>
    <w:rsid w:val="00B65A3B"/>
    <w:rsid w:val="00B65FF3"/>
    <w:rsid w:val="00B70BC3"/>
    <w:rsid w:val="00B71B71"/>
    <w:rsid w:val="00B731F5"/>
    <w:rsid w:val="00B75627"/>
    <w:rsid w:val="00B7769E"/>
    <w:rsid w:val="00B80A35"/>
    <w:rsid w:val="00B824E9"/>
    <w:rsid w:val="00B84424"/>
    <w:rsid w:val="00B859AE"/>
    <w:rsid w:val="00B86CEE"/>
    <w:rsid w:val="00B87498"/>
    <w:rsid w:val="00B90112"/>
    <w:rsid w:val="00B90487"/>
    <w:rsid w:val="00B90BE1"/>
    <w:rsid w:val="00B92246"/>
    <w:rsid w:val="00B927D5"/>
    <w:rsid w:val="00B95BB2"/>
    <w:rsid w:val="00B95EBA"/>
    <w:rsid w:val="00B97868"/>
    <w:rsid w:val="00B979B6"/>
    <w:rsid w:val="00BA1FA3"/>
    <w:rsid w:val="00BA23D8"/>
    <w:rsid w:val="00BA3909"/>
    <w:rsid w:val="00BA6317"/>
    <w:rsid w:val="00BA7246"/>
    <w:rsid w:val="00BA7889"/>
    <w:rsid w:val="00BB1CB8"/>
    <w:rsid w:val="00BB23EC"/>
    <w:rsid w:val="00BB3C6C"/>
    <w:rsid w:val="00BB3F93"/>
    <w:rsid w:val="00BB4AC1"/>
    <w:rsid w:val="00BB4D49"/>
    <w:rsid w:val="00BB524F"/>
    <w:rsid w:val="00BB6439"/>
    <w:rsid w:val="00BB675F"/>
    <w:rsid w:val="00BC24F3"/>
    <w:rsid w:val="00BC3FF4"/>
    <w:rsid w:val="00BC66B5"/>
    <w:rsid w:val="00BC671F"/>
    <w:rsid w:val="00BC79B3"/>
    <w:rsid w:val="00BD17B0"/>
    <w:rsid w:val="00BD3970"/>
    <w:rsid w:val="00BD50AA"/>
    <w:rsid w:val="00BD5735"/>
    <w:rsid w:val="00BD5A47"/>
    <w:rsid w:val="00BE1DA6"/>
    <w:rsid w:val="00BE4FDB"/>
    <w:rsid w:val="00BE55F1"/>
    <w:rsid w:val="00BF4A15"/>
    <w:rsid w:val="00BF6A33"/>
    <w:rsid w:val="00BF7A45"/>
    <w:rsid w:val="00C005B5"/>
    <w:rsid w:val="00C005D8"/>
    <w:rsid w:val="00C00BE3"/>
    <w:rsid w:val="00C04E58"/>
    <w:rsid w:val="00C103CC"/>
    <w:rsid w:val="00C15B3C"/>
    <w:rsid w:val="00C16B89"/>
    <w:rsid w:val="00C20A13"/>
    <w:rsid w:val="00C2215A"/>
    <w:rsid w:val="00C22586"/>
    <w:rsid w:val="00C22A46"/>
    <w:rsid w:val="00C23E32"/>
    <w:rsid w:val="00C2463C"/>
    <w:rsid w:val="00C248C1"/>
    <w:rsid w:val="00C24953"/>
    <w:rsid w:val="00C31207"/>
    <w:rsid w:val="00C3171F"/>
    <w:rsid w:val="00C36515"/>
    <w:rsid w:val="00C407C4"/>
    <w:rsid w:val="00C42FAF"/>
    <w:rsid w:val="00C437E1"/>
    <w:rsid w:val="00C45467"/>
    <w:rsid w:val="00C47123"/>
    <w:rsid w:val="00C54507"/>
    <w:rsid w:val="00C54A87"/>
    <w:rsid w:val="00C57D56"/>
    <w:rsid w:val="00C60B08"/>
    <w:rsid w:val="00C64CE4"/>
    <w:rsid w:val="00C67FA7"/>
    <w:rsid w:val="00C8156B"/>
    <w:rsid w:val="00C82309"/>
    <w:rsid w:val="00C864DC"/>
    <w:rsid w:val="00C878E5"/>
    <w:rsid w:val="00CA1041"/>
    <w:rsid w:val="00CA1722"/>
    <w:rsid w:val="00CA27C3"/>
    <w:rsid w:val="00CA4711"/>
    <w:rsid w:val="00CA6621"/>
    <w:rsid w:val="00CA6B02"/>
    <w:rsid w:val="00CA6C68"/>
    <w:rsid w:val="00CB18B1"/>
    <w:rsid w:val="00CB2780"/>
    <w:rsid w:val="00CB38CA"/>
    <w:rsid w:val="00CB6F2B"/>
    <w:rsid w:val="00CC1067"/>
    <w:rsid w:val="00CC12D5"/>
    <w:rsid w:val="00CC580E"/>
    <w:rsid w:val="00CC5BA3"/>
    <w:rsid w:val="00CC727D"/>
    <w:rsid w:val="00CD01FE"/>
    <w:rsid w:val="00CD293E"/>
    <w:rsid w:val="00CD3324"/>
    <w:rsid w:val="00CE1FE8"/>
    <w:rsid w:val="00CE2505"/>
    <w:rsid w:val="00CE27FC"/>
    <w:rsid w:val="00CE2BEB"/>
    <w:rsid w:val="00CE3AD1"/>
    <w:rsid w:val="00CE6480"/>
    <w:rsid w:val="00CE6C6E"/>
    <w:rsid w:val="00CE7090"/>
    <w:rsid w:val="00CF090B"/>
    <w:rsid w:val="00CF2CAF"/>
    <w:rsid w:val="00CF4242"/>
    <w:rsid w:val="00D00379"/>
    <w:rsid w:val="00D00E37"/>
    <w:rsid w:val="00D01832"/>
    <w:rsid w:val="00D04723"/>
    <w:rsid w:val="00D110AD"/>
    <w:rsid w:val="00D118CC"/>
    <w:rsid w:val="00D17042"/>
    <w:rsid w:val="00D21C96"/>
    <w:rsid w:val="00D21E1C"/>
    <w:rsid w:val="00D22A12"/>
    <w:rsid w:val="00D246F8"/>
    <w:rsid w:val="00D2667D"/>
    <w:rsid w:val="00D27558"/>
    <w:rsid w:val="00D2771F"/>
    <w:rsid w:val="00D303DC"/>
    <w:rsid w:val="00D30854"/>
    <w:rsid w:val="00D310CA"/>
    <w:rsid w:val="00D31127"/>
    <w:rsid w:val="00D32EE1"/>
    <w:rsid w:val="00D33258"/>
    <w:rsid w:val="00D40116"/>
    <w:rsid w:val="00D41DF2"/>
    <w:rsid w:val="00D43451"/>
    <w:rsid w:val="00D453BF"/>
    <w:rsid w:val="00D45C7A"/>
    <w:rsid w:val="00D46B40"/>
    <w:rsid w:val="00D46B44"/>
    <w:rsid w:val="00D4735E"/>
    <w:rsid w:val="00D47CC8"/>
    <w:rsid w:val="00D50703"/>
    <w:rsid w:val="00D51372"/>
    <w:rsid w:val="00D544F0"/>
    <w:rsid w:val="00D56BD6"/>
    <w:rsid w:val="00D60628"/>
    <w:rsid w:val="00D60D98"/>
    <w:rsid w:val="00D737C7"/>
    <w:rsid w:val="00D750F3"/>
    <w:rsid w:val="00D759AC"/>
    <w:rsid w:val="00D76AF0"/>
    <w:rsid w:val="00D76C6E"/>
    <w:rsid w:val="00D80B6D"/>
    <w:rsid w:val="00D80FAF"/>
    <w:rsid w:val="00D83938"/>
    <w:rsid w:val="00D8502D"/>
    <w:rsid w:val="00D8513A"/>
    <w:rsid w:val="00D85BBB"/>
    <w:rsid w:val="00D93F1C"/>
    <w:rsid w:val="00D94CEA"/>
    <w:rsid w:val="00D95929"/>
    <w:rsid w:val="00D9690A"/>
    <w:rsid w:val="00DA13A4"/>
    <w:rsid w:val="00DA2DAA"/>
    <w:rsid w:val="00DA7B87"/>
    <w:rsid w:val="00DA7DAC"/>
    <w:rsid w:val="00DB0367"/>
    <w:rsid w:val="00DB37EF"/>
    <w:rsid w:val="00DB5F9C"/>
    <w:rsid w:val="00DB63D9"/>
    <w:rsid w:val="00DB6CC3"/>
    <w:rsid w:val="00DB7E77"/>
    <w:rsid w:val="00DC0784"/>
    <w:rsid w:val="00DC0E36"/>
    <w:rsid w:val="00DC20EE"/>
    <w:rsid w:val="00DC30D0"/>
    <w:rsid w:val="00DC3F71"/>
    <w:rsid w:val="00DC5C33"/>
    <w:rsid w:val="00DC5F84"/>
    <w:rsid w:val="00DD154C"/>
    <w:rsid w:val="00DD205C"/>
    <w:rsid w:val="00DD4BDD"/>
    <w:rsid w:val="00DD52C1"/>
    <w:rsid w:val="00DD6E74"/>
    <w:rsid w:val="00DE1A7D"/>
    <w:rsid w:val="00DE5847"/>
    <w:rsid w:val="00DE69CC"/>
    <w:rsid w:val="00DF04DA"/>
    <w:rsid w:val="00DF1FFF"/>
    <w:rsid w:val="00DF6AE1"/>
    <w:rsid w:val="00DF72D4"/>
    <w:rsid w:val="00DF7A3E"/>
    <w:rsid w:val="00E00DC6"/>
    <w:rsid w:val="00E02292"/>
    <w:rsid w:val="00E02CCE"/>
    <w:rsid w:val="00E02ED1"/>
    <w:rsid w:val="00E02FC7"/>
    <w:rsid w:val="00E044EC"/>
    <w:rsid w:val="00E05471"/>
    <w:rsid w:val="00E05804"/>
    <w:rsid w:val="00E058A3"/>
    <w:rsid w:val="00E1461A"/>
    <w:rsid w:val="00E151F3"/>
    <w:rsid w:val="00E15A82"/>
    <w:rsid w:val="00E17539"/>
    <w:rsid w:val="00E2306C"/>
    <w:rsid w:val="00E32181"/>
    <w:rsid w:val="00E341D6"/>
    <w:rsid w:val="00E35707"/>
    <w:rsid w:val="00E42296"/>
    <w:rsid w:val="00E44495"/>
    <w:rsid w:val="00E52C11"/>
    <w:rsid w:val="00E55827"/>
    <w:rsid w:val="00E57F9B"/>
    <w:rsid w:val="00E6319B"/>
    <w:rsid w:val="00E63BFA"/>
    <w:rsid w:val="00E64D70"/>
    <w:rsid w:val="00E6726D"/>
    <w:rsid w:val="00E67581"/>
    <w:rsid w:val="00E7333B"/>
    <w:rsid w:val="00E744BC"/>
    <w:rsid w:val="00E81433"/>
    <w:rsid w:val="00E81C95"/>
    <w:rsid w:val="00E85297"/>
    <w:rsid w:val="00E852A3"/>
    <w:rsid w:val="00E854FA"/>
    <w:rsid w:val="00E855B1"/>
    <w:rsid w:val="00E85B77"/>
    <w:rsid w:val="00E85C1F"/>
    <w:rsid w:val="00E86896"/>
    <w:rsid w:val="00E909E2"/>
    <w:rsid w:val="00E92A9E"/>
    <w:rsid w:val="00E97A43"/>
    <w:rsid w:val="00EA0C1C"/>
    <w:rsid w:val="00EA23EC"/>
    <w:rsid w:val="00EA2EF1"/>
    <w:rsid w:val="00EA3BA2"/>
    <w:rsid w:val="00EA477A"/>
    <w:rsid w:val="00EB1F74"/>
    <w:rsid w:val="00EB6810"/>
    <w:rsid w:val="00EB7229"/>
    <w:rsid w:val="00EB7AB1"/>
    <w:rsid w:val="00EC039E"/>
    <w:rsid w:val="00EC2121"/>
    <w:rsid w:val="00EC304A"/>
    <w:rsid w:val="00EC36C2"/>
    <w:rsid w:val="00EC3BD3"/>
    <w:rsid w:val="00EC4F4C"/>
    <w:rsid w:val="00EC6133"/>
    <w:rsid w:val="00EC73D3"/>
    <w:rsid w:val="00EC7F0E"/>
    <w:rsid w:val="00ED0273"/>
    <w:rsid w:val="00ED10B9"/>
    <w:rsid w:val="00ED10FD"/>
    <w:rsid w:val="00ED2D1F"/>
    <w:rsid w:val="00ED58E9"/>
    <w:rsid w:val="00ED6B34"/>
    <w:rsid w:val="00ED79D6"/>
    <w:rsid w:val="00EE1831"/>
    <w:rsid w:val="00EE2EA3"/>
    <w:rsid w:val="00EE6DD8"/>
    <w:rsid w:val="00EF213B"/>
    <w:rsid w:val="00EF2F7C"/>
    <w:rsid w:val="00F00576"/>
    <w:rsid w:val="00F01CBF"/>
    <w:rsid w:val="00F03F85"/>
    <w:rsid w:val="00F04C6B"/>
    <w:rsid w:val="00F056CD"/>
    <w:rsid w:val="00F1101A"/>
    <w:rsid w:val="00F1156B"/>
    <w:rsid w:val="00F123DF"/>
    <w:rsid w:val="00F14155"/>
    <w:rsid w:val="00F14982"/>
    <w:rsid w:val="00F14F6A"/>
    <w:rsid w:val="00F17CF8"/>
    <w:rsid w:val="00F21322"/>
    <w:rsid w:val="00F215FE"/>
    <w:rsid w:val="00F225DC"/>
    <w:rsid w:val="00F23006"/>
    <w:rsid w:val="00F24929"/>
    <w:rsid w:val="00F24AA5"/>
    <w:rsid w:val="00F2598D"/>
    <w:rsid w:val="00F27E5C"/>
    <w:rsid w:val="00F336A2"/>
    <w:rsid w:val="00F338C4"/>
    <w:rsid w:val="00F360BC"/>
    <w:rsid w:val="00F42045"/>
    <w:rsid w:val="00F427E2"/>
    <w:rsid w:val="00F4472C"/>
    <w:rsid w:val="00F44AEB"/>
    <w:rsid w:val="00F45620"/>
    <w:rsid w:val="00F50CA6"/>
    <w:rsid w:val="00F50E79"/>
    <w:rsid w:val="00F53DEC"/>
    <w:rsid w:val="00F544B1"/>
    <w:rsid w:val="00F5470D"/>
    <w:rsid w:val="00F55A81"/>
    <w:rsid w:val="00F569B4"/>
    <w:rsid w:val="00F57F9B"/>
    <w:rsid w:val="00F63CCA"/>
    <w:rsid w:val="00F64000"/>
    <w:rsid w:val="00F71092"/>
    <w:rsid w:val="00F7238C"/>
    <w:rsid w:val="00F75D78"/>
    <w:rsid w:val="00F80EE8"/>
    <w:rsid w:val="00F81DA7"/>
    <w:rsid w:val="00F852D9"/>
    <w:rsid w:val="00F87177"/>
    <w:rsid w:val="00F90767"/>
    <w:rsid w:val="00F9173C"/>
    <w:rsid w:val="00F9256E"/>
    <w:rsid w:val="00F9588D"/>
    <w:rsid w:val="00F967A1"/>
    <w:rsid w:val="00F96EED"/>
    <w:rsid w:val="00F97B53"/>
    <w:rsid w:val="00FA0081"/>
    <w:rsid w:val="00FA00DD"/>
    <w:rsid w:val="00FA1F74"/>
    <w:rsid w:val="00FA7D5C"/>
    <w:rsid w:val="00FB062E"/>
    <w:rsid w:val="00FB18D0"/>
    <w:rsid w:val="00FB2ED6"/>
    <w:rsid w:val="00FB3A74"/>
    <w:rsid w:val="00FC00C6"/>
    <w:rsid w:val="00FC02D8"/>
    <w:rsid w:val="00FC0368"/>
    <w:rsid w:val="00FC1486"/>
    <w:rsid w:val="00FC2522"/>
    <w:rsid w:val="00FC31B6"/>
    <w:rsid w:val="00FC4324"/>
    <w:rsid w:val="00FC5B56"/>
    <w:rsid w:val="00FD4B12"/>
    <w:rsid w:val="00FD7D67"/>
    <w:rsid w:val="00FE494C"/>
    <w:rsid w:val="00FF176A"/>
    <w:rsid w:val="00FF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684D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inkedin.com/company/786541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Broker.Consulting/" TargetMode="External"/><Relationship Id="rId17" Type="http://schemas.openxmlformats.org/officeDocument/2006/relationships/header" Target="header2.xml"/><Relationship Id="rId25" Type="http://schemas.openxmlformats.org/officeDocument/2006/relationships/hyperlink" Target="mailto:michaela.sahulova@bcas.cz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alityspolu.cz" TargetMode="External"/><Relationship Id="rId24" Type="http://schemas.openxmlformats.org/officeDocument/2006/relationships/hyperlink" Target="https://www.bcas.cz/o-nas/broker-consulting-index-podilovych-fond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10668151/" TargetMode="External"/><Relationship Id="rId23" Type="http://schemas.openxmlformats.org/officeDocument/2006/relationships/hyperlink" Target="https://www.bcas.cz/onas/pro-media/" TargetMode="External"/><Relationship Id="rId10" Type="http://schemas.openxmlformats.org/officeDocument/2006/relationships/hyperlink" Target="http://www.okpointy.cz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bcas.cz" TargetMode="External"/><Relationship Id="rId14" Type="http://schemas.openxmlformats.org/officeDocument/2006/relationships/hyperlink" Target="https://www.facebook.com/okpointy/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65736-DE95-4F78-B9F3-C9F581904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1134</Words>
  <Characters>6266</Characters>
  <Application>Microsoft Office Word</Application>
  <DocSecurity>0</DocSecurity>
  <Lines>90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6</cp:revision>
  <dcterms:created xsi:type="dcterms:W3CDTF">2023-09-15T11:14:00Z</dcterms:created>
  <dcterms:modified xsi:type="dcterms:W3CDTF">2023-09-20T08:23:00Z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