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53BA188B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="00CD6257"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a na několika desítkách poboček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</w:t>
          </w:r>
          <w:r w:rsidR="004D6BA6">
            <w:rPr>
              <w:rFonts w:asciiTheme="minorHAnsi" w:hAnsiTheme="minorHAnsi" w:cstheme="minorHAnsi"/>
              <w:sz w:val="20"/>
              <w:szCs w:val="20"/>
            </w:rPr>
            <w:t>,</w:t>
          </w:r>
          <w:r w:rsidR="00961519"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proofErr w:type="spellStart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</w:t>
          </w:r>
          <w:proofErr w:type="spellEnd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 xml:space="preserve"> roku 2022</w:t>
          </w:r>
          <w:r w:rsidR="00961519"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od České asociace </w:t>
          </w:r>
          <w:proofErr w:type="spellStart"/>
          <w:r w:rsidR="00961519">
            <w:rPr>
              <w:rFonts w:asciiTheme="minorHAnsi" w:hAnsiTheme="minorHAnsi" w:cstheme="minorHAnsi"/>
              <w:sz w:val="20"/>
              <w:szCs w:val="20"/>
            </w:rPr>
            <w:t>franchisingu</w:t>
          </w:r>
          <w:proofErr w:type="spellEnd"/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okpointy.cz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="001B2C03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OK POINTŮ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2A208F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7B2F240A" w14:textId="3C3B9B9B" w:rsidR="00B32817" w:rsidRPr="00F411C5" w:rsidRDefault="002F06AC" w:rsidP="00B85C55">
      <w:pPr>
        <w:spacing w:after="240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Po mírném červencovém poklesu hypotéky stagnují</w:t>
      </w:r>
    </w:p>
    <w:p w14:paraId="7B88633E" w14:textId="7F09E88D" w:rsidR="00990318" w:rsidRPr="00990318" w:rsidRDefault="005C0D63" w:rsidP="00990318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Broker Consu</w:t>
      </w:r>
      <w:r w:rsidR="0099031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lting I</w:t>
      </w:r>
      <w:r w:rsidR="00AA0737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ndex hypotečních úvěrů činil</w:t>
      </w:r>
      <w:r w:rsidR="0099031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za letošní srpen 5,59 procent</w:t>
      </w:r>
      <w:r w:rsidR="00AA0737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a</w:t>
      </w:r>
      <w:r w:rsidR="007F36AF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.</w:t>
      </w:r>
    </w:p>
    <w:p w14:paraId="711A9D9D" w14:textId="3A2B6155" w:rsidR="00B85C55" w:rsidRDefault="009955B3" w:rsidP="00CA78F9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 w:rsidRPr="00CA78F9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P</w:t>
      </w:r>
      <w:r w:rsidR="00990318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ředstihový ukazatel na září predikuje hodnotu 5,95 </w:t>
      </w:r>
      <w:r w:rsidRPr="00CA78F9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procent</w:t>
      </w:r>
      <w:r w:rsidR="007F36AF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a</w:t>
      </w:r>
      <w:r w:rsidRPr="00CA78F9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</w:t>
      </w:r>
      <w:r w:rsidR="008E6712" w:rsidRPr="00CA78F9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pro hypotéky s pětiletou fixací</w:t>
      </w:r>
      <w:r w:rsidR="007F36AF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.</w:t>
      </w:r>
    </w:p>
    <w:p w14:paraId="382ADD34" w14:textId="2D41DA50" w:rsidR="00CA78F9" w:rsidRPr="00CA78F9" w:rsidRDefault="00990318" w:rsidP="00CA78F9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Experti </w:t>
      </w:r>
      <w:r w:rsidR="00B07D3B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očekávají</w:t>
      </w:r>
      <w:r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stagnaci sazeb a postupné oživování poptávky</w:t>
      </w:r>
      <w:r w:rsidR="00CD7A9C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po hypotečních</w:t>
      </w:r>
      <w:r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úvěrech</w:t>
      </w:r>
      <w:r w:rsidR="007F36AF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.</w:t>
      </w:r>
    </w:p>
    <w:p w14:paraId="0D3486B6" w14:textId="2F185087" w:rsidR="00990318" w:rsidRPr="00D8120C" w:rsidRDefault="00F747EC" w:rsidP="008B1531">
      <w:pPr>
        <w:spacing w:before="200" w:after="200"/>
        <w:rPr>
          <w:rFonts w:asciiTheme="minorHAnsi" w:hAnsiTheme="minorHAnsi" w:cstheme="minorHAnsi"/>
          <w:b/>
          <w:sz w:val="21"/>
          <w:szCs w:val="21"/>
        </w:rPr>
      </w:pPr>
      <w:r>
        <w:rPr>
          <w:rFonts w:asciiTheme="minorHAnsi" w:hAnsiTheme="minorHAnsi" w:cstheme="minorHAnsi"/>
          <w:b/>
          <w:i/>
          <w:sz w:val="21"/>
          <w:szCs w:val="21"/>
        </w:rPr>
        <w:t>Praha, 6</w:t>
      </w:r>
      <w:r w:rsidR="00990318" w:rsidRPr="00D8120C">
        <w:rPr>
          <w:rFonts w:asciiTheme="minorHAnsi" w:hAnsiTheme="minorHAnsi" w:cstheme="minorHAnsi"/>
          <w:b/>
          <w:i/>
          <w:sz w:val="21"/>
          <w:szCs w:val="21"/>
        </w:rPr>
        <w:t>. září</w:t>
      </w:r>
      <w:r w:rsidR="001F2399" w:rsidRPr="00D8120C">
        <w:rPr>
          <w:rFonts w:asciiTheme="minorHAnsi" w:hAnsiTheme="minorHAnsi" w:cstheme="minorHAnsi"/>
          <w:b/>
          <w:i/>
          <w:sz w:val="21"/>
          <w:szCs w:val="21"/>
        </w:rPr>
        <w:t xml:space="preserve"> </w:t>
      </w:r>
      <w:r w:rsidR="006110E7" w:rsidRPr="00D8120C">
        <w:rPr>
          <w:rFonts w:asciiTheme="minorHAnsi" w:hAnsiTheme="minorHAnsi" w:cstheme="minorHAnsi"/>
          <w:b/>
          <w:i/>
          <w:sz w:val="21"/>
          <w:szCs w:val="21"/>
        </w:rPr>
        <w:t>2023</w:t>
      </w:r>
      <w:r w:rsidR="00CD6257" w:rsidRPr="00D8120C">
        <w:rPr>
          <w:rFonts w:asciiTheme="minorHAnsi" w:hAnsiTheme="minorHAnsi" w:cstheme="minorHAnsi"/>
          <w:b/>
          <w:sz w:val="21"/>
          <w:szCs w:val="21"/>
        </w:rPr>
        <w:t xml:space="preserve"> –</w:t>
      </w:r>
      <w:r w:rsidR="004D14C1" w:rsidRPr="00D8120C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BF4CD9" w:rsidRPr="00D8120C">
        <w:rPr>
          <w:rFonts w:asciiTheme="minorHAnsi" w:hAnsiTheme="minorHAnsi" w:cstheme="minorHAnsi"/>
          <w:b/>
          <w:sz w:val="21"/>
          <w:szCs w:val="21"/>
        </w:rPr>
        <w:t>Srpnové výsledky Broker Consulting I</w:t>
      </w:r>
      <w:r w:rsidR="008C79A2" w:rsidRPr="00D8120C">
        <w:rPr>
          <w:rFonts w:asciiTheme="minorHAnsi" w:hAnsiTheme="minorHAnsi" w:cstheme="minorHAnsi"/>
          <w:b/>
          <w:sz w:val="21"/>
          <w:szCs w:val="21"/>
        </w:rPr>
        <w:t xml:space="preserve">ndexu hypotečních úvěrů pokračovaly s hodnotou 5,59 procenta ve stagnaci úrokových sazeb. Po mírném poklesu v červenci se situace příliš nemění, meziměsíčně došlo k poklesu o pouhý jeden bazický bod. </w:t>
      </w:r>
      <w:r w:rsidR="00FC3C77" w:rsidRPr="00D8120C">
        <w:rPr>
          <w:rFonts w:asciiTheme="minorHAnsi" w:hAnsiTheme="minorHAnsi" w:cstheme="minorHAnsi"/>
          <w:b/>
          <w:sz w:val="21"/>
          <w:szCs w:val="21"/>
        </w:rPr>
        <w:t xml:space="preserve">Za stabilizací stojí konzistentní politika České národní banky a dlouhodobé nastavení základních sazeb na sedmi procentech. Ty byly naposledy změněny před více než rokem. </w:t>
      </w:r>
      <w:r w:rsidR="007F36AF">
        <w:rPr>
          <w:rFonts w:asciiTheme="minorHAnsi" w:hAnsiTheme="minorHAnsi" w:cstheme="minorHAnsi"/>
          <w:b/>
          <w:sz w:val="21"/>
          <w:szCs w:val="21"/>
        </w:rPr>
        <w:t xml:space="preserve">Na klienty, kteří </w:t>
      </w:r>
      <w:r w:rsidR="00C24B73" w:rsidRPr="00D8120C">
        <w:rPr>
          <w:rFonts w:asciiTheme="minorHAnsi" w:hAnsiTheme="minorHAnsi" w:cstheme="minorHAnsi"/>
          <w:b/>
          <w:sz w:val="21"/>
          <w:szCs w:val="21"/>
        </w:rPr>
        <w:t>u hypoték akceptují vyšší sazby, odborníci z </w:t>
      </w:r>
      <w:proofErr w:type="gramStart"/>
      <w:r w:rsidR="00C24B73" w:rsidRPr="00D8120C">
        <w:rPr>
          <w:rFonts w:asciiTheme="minorHAnsi" w:hAnsiTheme="minorHAnsi" w:cstheme="minorHAnsi"/>
          <w:b/>
          <w:sz w:val="21"/>
          <w:szCs w:val="21"/>
        </w:rPr>
        <w:t>Broker</w:t>
      </w:r>
      <w:proofErr w:type="gramEnd"/>
      <w:r w:rsidR="00C24B73" w:rsidRPr="00D8120C">
        <w:rPr>
          <w:rFonts w:asciiTheme="minorHAnsi" w:hAnsiTheme="minorHAnsi" w:cstheme="minorHAnsi"/>
          <w:b/>
          <w:sz w:val="21"/>
          <w:szCs w:val="21"/>
        </w:rPr>
        <w:t xml:space="preserve"> Consulting apelují: pečlivě </w:t>
      </w:r>
      <w:r w:rsidR="00DE5007" w:rsidRPr="00D8120C">
        <w:rPr>
          <w:rFonts w:asciiTheme="minorHAnsi" w:hAnsiTheme="minorHAnsi" w:cstheme="minorHAnsi"/>
          <w:b/>
          <w:sz w:val="21"/>
          <w:szCs w:val="21"/>
        </w:rPr>
        <w:t>úvěr i majetek pojis</w:t>
      </w:r>
      <w:r w:rsidR="000F6EBE" w:rsidRPr="00D8120C">
        <w:rPr>
          <w:rFonts w:asciiTheme="minorHAnsi" w:hAnsiTheme="minorHAnsi" w:cstheme="minorHAnsi"/>
          <w:b/>
          <w:sz w:val="21"/>
          <w:szCs w:val="21"/>
        </w:rPr>
        <w:t>těte</w:t>
      </w:r>
      <w:r w:rsidR="00C24B73" w:rsidRPr="00D8120C">
        <w:rPr>
          <w:rFonts w:asciiTheme="minorHAnsi" w:hAnsiTheme="minorHAnsi" w:cstheme="minorHAnsi"/>
          <w:b/>
          <w:sz w:val="21"/>
          <w:szCs w:val="21"/>
        </w:rPr>
        <w:t xml:space="preserve"> a naspořte si </w:t>
      </w:r>
      <w:r w:rsidR="008B64C9" w:rsidRPr="00D8120C">
        <w:rPr>
          <w:rFonts w:asciiTheme="minorHAnsi" w:hAnsiTheme="minorHAnsi" w:cstheme="minorHAnsi"/>
          <w:b/>
          <w:sz w:val="21"/>
          <w:szCs w:val="21"/>
        </w:rPr>
        <w:t xml:space="preserve">provozní </w:t>
      </w:r>
      <w:r w:rsidR="00C24B73" w:rsidRPr="00D8120C">
        <w:rPr>
          <w:rFonts w:asciiTheme="minorHAnsi" w:hAnsiTheme="minorHAnsi" w:cstheme="minorHAnsi"/>
          <w:b/>
          <w:sz w:val="21"/>
          <w:szCs w:val="21"/>
        </w:rPr>
        <w:t xml:space="preserve">rezervu. </w:t>
      </w:r>
    </w:p>
    <w:p w14:paraId="42C1EC17" w14:textId="136F1B66" w:rsidR="00F14346" w:rsidRPr="00D8120C" w:rsidRDefault="00D84F78" w:rsidP="00105248">
      <w:pPr>
        <w:spacing w:before="200" w:after="20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sz w:val="21"/>
          <w:szCs w:val="21"/>
        </w:rPr>
        <w:t>V srpnu se monitorované hodnoty Broker Consulting Indexu vrátily u hypotečních</w:t>
      </w:r>
      <w:r w:rsidR="009F097B" w:rsidRPr="00D8120C">
        <w:rPr>
          <w:rFonts w:asciiTheme="minorHAnsi" w:hAnsiTheme="minorHAnsi" w:cstheme="minorHAnsi"/>
          <w:sz w:val="21"/>
          <w:szCs w:val="21"/>
        </w:rPr>
        <w:t xml:space="preserve"> ú</w:t>
      </w:r>
      <w:r w:rsidR="009F3A56" w:rsidRPr="00D8120C">
        <w:rPr>
          <w:rFonts w:asciiTheme="minorHAnsi" w:hAnsiTheme="minorHAnsi" w:cstheme="minorHAnsi"/>
          <w:sz w:val="21"/>
          <w:szCs w:val="21"/>
        </w:rPr>
        <w:t>věrů na úroveň loňského léta. Z</w:t>
      </w:r>
      <w:r w:rsidR="009F097B" w:rsidRPr="00D8120C">
        <w:rPr>
          <w:rFonts w:asciiTheme="minorHAnsi" w:hAnsiTheme="minorHAnsi" w:cstheme="minorHAnsi"/>
          <w:sz w:val="21"/>
          <w:szCs w:val="21"/>
        </w:rPr>
        <w:t>ároveň naznačily stagnaci sazeb</w:t>
      </w:r>
      <w:r w:rsidR="009F3A56" w:rsidRPr="00D8120C">
        <w:rPr>
          <w:rFonts w:asciiTheme="minorHAnsi" w:hAnsiTheme="minorHAnsi" w:cstheme="minorHAnsi"/>
          <w:sz w:val="21"/>
          <w:szCs w:val="21"/>
        </w:rPr>
        <w:t xml:space="preserve"> pod hranicí šesti procent</w:t>
      </w:r>
      <w:r w:rsidR="0078345F" w:rsidRPr="00D8120C">
        <w:rPr>
          <w:rFonts w:asciiTheme="minorHAnsi" w:hAnsiTheme="minorHAnsi" w:cstheme="minorHAnsi"/>
          <w:sz w:val="21"/>
          <w:szCs w:val="21"/>
        </w:rPr>
        <w:t xml:space="preserve">, se kterou analytici počítají i </w:t>
      </w:r>
      <w:r w:rsidR="000E1C76" w:rsidRPr="00D8120C">
        <w:rPr>
          <w:rFonts w:asciiTheme="minorHAnsi" w:hAnsiTheme="minorHAnsi" w:cstheme="minorHAnsi"/>
          <w:sz w:val="21"/>
          <w:szCs w:val="21"/>
        </w:rPr>
        <w:t>v nejbližších měsících</w:t>
      </w:r>
      <w:r w:rsidR="009F097B" w:rsidRPr="00D8120C">
        <w:rPr>
          <w:rFonts w:asciiTheme="minorHAnsi" w:hAnsiTheme="minorHAnsi" w:cstheme="minorHAnsi"/>
          <w:sz w:val="21"/>
          <w:szCs w:val="21"/>
        </w:rPr>
        <w:t xml:space="preserve">. </w:t>
      </w:r>
      <w:r w:rsidR="0078345F" w:rsidRPr="00D8120C">
        <w:rPr>
          <w:rFonts w:asciiTheme="minorHAnsi" w:hAnsiTheme="minorHAnsi" w:cstheme="minorHAnsi"/>
          <w:sz w:val="21"/>
          <w:szCs w:val="21"/>
        </w:rPr>
        <w:t>„</w:t>
      </w:r>
      <w:r w:rsidR="000E1C76" w:rsidRPr="00D8120C">
        <w:rPr>
          <w:rFonts w:asciiTheme="minorHAnsi" w:hAnsiTheme="minorHAnsi" w:cstheme="minorHAnsi"/>
          <w:i/>
          <w:sz w:val="21"/>
          <w:szCs w:val="21"/>
        </w:rPr>
        <w:t>Situace u hypoték je stabilní a počítáme, že bude i do konce roku</w:t>
      </w:r>
      <w:r w:rsidR="000E1C76" w:rsidRPr="00D8120C">
        <w:rPr>
          <w:rFonts w:asciiTheme="minorHAnsi" w:hAnsiTheme="minorHAnsi" w:cstheme="minorHAnsi"/>
          <w:sz w:val="21"/>
          <w:szCs w:val="21"/>
        </w:rPr>
        <w:t xml:space="preserve">,“ říká </w:t>
      </w:r>
      <w:r w:rsidR="000E1C76" w:rsidRPr="00D8120C">
        <w:rPr>
          <w:rFonts w:asciiTheme="minorHAnsi" w:hAnsiTheme="minorHAnsi" w:cs="Arial"/>
          <w:b/>
          <w:color w:val="000000"/>
          <w:sz w:val="21"/>
          <w:szCs w:val="21"/>
        </w:rPr>
        <w:t>Michaela Pudilová, analytička hypotečních a spotřebitelských úvěrů ze společnosti Broker Consulting.</w:t>
      </w:r>
      <w:r w:rsidR="000E1C76" w:rsidRPr="00D8120C">
        <w:rPr>
          <w:rFonts w:asciiTheme="minorHAnsi" w:hAnsiTheme="minorHAnsi" w:cstheme="minorHAnsi"/>
          <w:sz w:val="21"/>
          <w:szCs w:val="21"/>
        </w:rPr>
        <w:t xml:space="preserve"> </w:t>
      </w:r>
      <w:r w:rsidR="009F097B" w:rsidRPr="00D8120C">
        <w:rPr>
          <w:rFonts w:asciiTheme="minorHAnsi" w:hAnsiTheme="minorHAnsi" w:cstheme="minorHAnsi"/>
          <w:sz w:val="21"/>
          <w:szCs w:val="21"/>
        </w:rPr>
        <w:t xml:space="preserve">Po červencovém mírném poklesu </w:t>
      </w:r>
      <w:r w:rsidR="007E1865" w:rsidRPr="00D8120C">
        <w:rPr>
          <w:rFonts w:asciiTheme="minorHAnsi" w:hAnsiTheme="minorHAnsi" w:cstheme="minorHAnsi"/>
          <w:sz w:val="21"/>
          <w:szCs w:val="21"/>
        </w:rPr>
        <w:t>skončil index</w:t>
      </w:r>
      <w:r w:rsidR="007F36AF">
        <w:rPr>
          <w:rFonts w:asciiTheme="minorHAnsi" w:hAnsiTheme="minorHAnsi" w:cstheme="minorHAnsi"/>
          <w:sz w:val="21"/>
          <w:szCs w:val="21"/>
        </w:rPr>
        <w:t xml:space="preserve"> za srpen na 5,59 procenta</w:t>
      </w:r>
      <w:r w:rsidR="009F3A56" w:rsidRPr="00D8120C">
        <w:rPr>
          <w:rFonts w:asciiTheme="minorHAnsi" w:hAnsiTheme="minorHAnsi" w:cstheme="minorHAnsi"/>
          <w:sz w:val="21"/>
          <w:szCs w:val="21"/>
        </w:rPr>
        <w:t xml:space="preserve">, což je o pouhou setinu procentního bodu méně než při minulém měření. Ačkoli není </w:t>
      </w:r>
      <w:r w:rsidR="000E1C76" w:rsidRPr="00D8120C">
        <w:rPr>
          <w:rFonts w:asciiTheme="minorHAnsi" w:hAnsiTheme="minorHAnsi" w:cstheme="minorHAnsi"/>
          <w:sz w:val="21"/>
          <w:szCs w:val="21"/>
        </w:rPr>
        <w:t>stále</w:t>
      </w:r>
      <w:r w:rsidR="009F3A56" w:rsidRPr="00D8120C">
        <w:rPr>
          <w:rFonts w:asciiTheme="minorHAnsi" w:hAnsiTheme="minorHAnsi" w:cstheme="minorHAnsi"/>
          <w:sz w:val="21"/>
          <w:szCs w:val="21"/>
        </w:rPr>
        <w:t xml:space="preserve"> stoprocentní, že </w:t>
      </w:r>
      <w:r w:rsidR="007F36AF">
        <w:rPr>
          <w:rFonts w:asciiTheme="minorHAnsi" w:hAnsiTheme="minorHAnsi" w:cstheme="minorHAnsi"/>
          <w:sz w:val="21"/>
          <w:szCs w:val="21"/>
        </w:rPr>
        <w:t xml:space="preserve">už </w:t>
      </w:r>
      <w:r w:rsidR="009F3A56" w:rsidRPr="00D8120C">
        <w:rPr>
          <w:rFonts w:asciiTheme="minorHAnsi" w:hAnsiTheme="minorHAnsi" w:cstheme="minorHAnsi"/>
          <w:sz w:val="21"/>
          <w:szCs w:val="21"/>
        </w:rPr>
        <w:t>sazby</w:t>
      </w:r>
      <w:r w:rsidR="000E1C76" w:rsidRPr="00D8120C">
        <w:rPr>
          <w:rFonts w:asciiTheme="minorHAnsi" w:hAnsiTheme="minorHAnsi" w:cstheme="minorHAnsi"/>
          <w:sz w:val="21"/>
          <w:szCs w:val="21"/>
        </w:rPr>
        <w:t xml:space="preserve"> </w:t>
      </w:r>
      <w:r w:rsidR="009F3A56" w:rsidRPr="00D8120C">
        <w:rPr>
          <w:rFonts w:asciiTheme="minorHAnsi" w:hAnsiTheme="minorHAnsi" w:cstheme="minorHAnsi"/>
          <w:sz w:val="21"/>
          <w:szCs w:val="21"/>
        </w:rPr>
        <w:t xml:space="preserve">dosáhly vrcholu, </w:t>
      </w:r>
      <w:r w:rsidR="000E1C76" w:rsidRPr="00D8120C">
        <w:rPr>
          <w:rFonts w:asciiTheme="minorHAnsi" w:hAnsiTheme="minorHAnsi" w:cstheme="minorHAnsi"/>
          <w:sz w:val="21"/>
          <w:szCs w:val="21"/>
        </w:rPr>
        <w:t>experti</w:t>
      </w:r>
      <w:r w:rsidR="009F3A56" w:rsidRPr="00D8120C">
        <w:rPr>
          <w:rFonts w:asciiTheme="minorHAnsi" w:hAnsiTheme="minorHAnsi" w:cstheme="minorHAnsi"/>
          <w:sz w:val="21"/>
          <w:szCs w:val="21"/>
        </w:rPr>
        <w:t xml:space="preserve"> s dalším růstem spíš</w:t>
      </w:r>
      <w:r w:rsidR="001516CA" w:rsidRPr="00D8120C">
        <w:rPr>
          <w:rFonts w:asciiTheme="minorHAnsi" w:hAnsiTheme="minorHAnsi" w:cstheme="minorHAnsi"/>
          <w:sz w:val="21"/>
          <w:szCs w:val="21"/>
        </w:rPr>
        <w:t>e</w:t>
      </w:r>
      <w:r w:rsidR="009F3A56" w:rsidRPr="00D8120C">
        <w:rPr>
          <w:rFonts w:asciiTheme="minorHAnsi" w:hAnsiTheme="minorHAnsi" w:cstheme="minorHAnsi"/>
          <w:sz w:val="21"/>
          <w:szCs w:val="21"/>
        </w:rPr>
        <w:t xml:space="preserve"> nepočítají. Vyhlížený pokles se podle nich dostaví nakonec až v příštím r</w:t>
      </w:r>
      <w:r w:rsidR="00AF05BB">
        <w:rPr>
          <w:rFonts w:asciiTheme="minorHAnsi" w:hAnsiTheme="minorHAnsi" w:cstheme="minorHAnsi"/>
          <w:sz w:val="21"/>
          <w:szCs w:val="21"/>
        </w:rPr>
        <w:t>oce</w:t>
      </w:r>
      <w:r w:rsidR="00F13496">
        <w:rPr>
          <w:rFonts w:asciiTheme="minorHAnsi" w:hAnsiTheme="minorHAnsi" w:cstheme="minorHAnsi"/>
          <w:sz w:val="21"/>
          <w:szCs w:val="21"/>
        </w:rPr>
        <w:t>,</w:t>
      </w:r>
      <w:r w:rsidR="00AF05BB">
        <w:rPr>
          <w:rFonts w:asciiTheme="minorHAnsi" w:hAnsiTheme="minorHAnsi" w:cstheme="minorHAnsi"/>
          <w:sz w:val="21"/>
          <w:szCs w:val="21"/>
        </w:rPr>
        <w:t xml:space="preserve"> a to pravděpodobně ruku v ruce s</w:t>
      </w:r>
      <w:r w:rsidR="0029566F">
        <w:rPr>
          <w:rFonts w:asciiTheme="minorHAnsi" w:hAnsiTheme="minorHAnsi" w:cstheme="minorHAnsi"/>
          <w:sz w:val="21"/>
          <w:szCs w:val="21"/>
        </w:rPr>
        <w:t xml:space="preserve"> větším</w:t>
      </w:r>
      <w:r w:rsidR="00AF05BB">
        <w:rPr>
          <w:rFonts w:asciiTheme="minorHAnsi" w:hAnsiTheme="minorHAnsi" w:cstheme="minorHAnsi"/>
          <w:sz w:val="21"/>
          <w:szCs w:val="21"/>
        </w:rPr>
        <w:t> poklesem inflace</w:t>
      </w:r>
      <w:r w:rsidR="009F3A56" w:rsidRPr="00D8120C">
        <w:rPr>
          <w:rFonts w:asciiTheme="minorHAnsi" w:hAnsiTheme="minorHAnsi" w:cstheme="minorHAnsi"/>
          <w:sz w:val="21"/>
          <w:szCs w:val="21"/>
        </w:rPr>
        <w:t>.</w:t>
      </w:r>
    </w:p>
    <w:p w14:paraId="7A2467DA" w14:textId="6283034E" w:rsidR="00DF4D81" w:rsidRPr="00D8120C" w:rsidRDefault="00DF4D81" w:rsidP="00D8120C">
      <w:pPr>
        <w:spacing w:before="200" w:after="20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sz w:val="21"/>
          <w:szCs w:val="21"/>
        </w:rPr>
        <w:t>O tom, že v září bude situace obdobná, hovoří předstihový ukazatel Broker Consulting In</w:t>
      </w:r>
      <w:r w:rsidR="003B7BDD" w:rsidRPr="00D8120C">
        <w:rPr>
          <w:rFonts w:asciiTheme="minorHAnsi" w:hAnsiTheme="minorHAnsi" w:cstheme="minorHAnsi"/>
          <w:sz w:val="21"/>
          <w:szCs w:val="21"/>
        </w:rPr>
        <w:t>dexu hypotečních úvěrů</w:t>
      </w:r>
      <w:r w:rsidRPr="00D8120C">
        <w:rPr>
          <w:rFonts w:asciiTheme="minorHAnsi" w:hAnsiTheme="minorHAnsi" w:cstheme="minorHAnsi"/>
          <w:sz w:val="21"/>
          <w:szCs w:val="21"/>
        </w:rPr>
        <w:t>. Ten pro devátý měsíc v roce predikuje hodnotu 5,95 procent</w:t>
      </w:r>
      <w:r w:rsidR="00BF36AE">
        <w:rPr>
          <w:rFonts w:asciiTheme="minorHAnsi" w:hAnsiTheme="minorHAnsi" w:cstheme="minorHAnsi"/>
          <w:sz w:val="21"/>
          <w:szCs w:val="21"/>
        </w:rPr>
        <w:t>a</w:t>
      </w:r>
      <w:r w:rsidRPr="00D8120C">
        <w:rPr>
          <w:rFonts w:asciiTheme="minorHAnsi" w:hAnsiTheme="minorHAnsi" w:cstheme="minorHAnsi"/>
          <w:sz w:val="21"/>
          <w:szCs w:val="21"/>
        </w:rPr>
        <w:t xml:space="preserve"> pro</w:t>
      </w:r>
      <w:r w:rsidR="003B7BDD" w:rsidRPr="00D8120C">
        <w:rPr>
          <w:rFonts w:asciiTheme="minorHAnsi" w:hAnsiTheme="minorHAnsi" w:cstheme="minorHAnsi"/>
          <w:sz w:val="21"/>
          <w:szCs w:val="21"/>
        </w:rPr>
        <w:t xml:space="preserve"> pětiletou fixaci </w:t>
      </w:r>
      <w:r w:rsidRPr="00D8120C">
        <w:rPr>
          <w:rFonts w:asciiTheme="minorHAnsi" w:hAnsiTheme="minorHAnsi" w:cstheme="minorHAnsi"/>
          <w:sz w:val="21"/>
          <w:szCs w:val="21"/>
        </w:rPr>
        <w:t>u nových hypotečních úvěrů</w:t>
      </w:r>
      <w:r w:rsidR="003B7BDD" w:rsidRPr="00D8120C">
        <w:rPr>
          <w:rFonts w:asciiTheme="minorHAnsi" w:hAnsiTheme="minorHAnsi" w:cstheme="minorHAnsi"/>
          <w:sz w:val="21"/>
          <w:szCs w:val="21"/>
        </w:rPr>
        <w:t xml:space="preserve">. </w:t>
      </w:r>
      <w:r w:rsidR="001516CA" w:rsidRPr="00D8120C">
        <w:rPr>
          <w:rFonts w:asciiTheme="minorHAnsi" w:hAnsiTheme="minorHAnsi" w:cstheme="minorHAnsi"/>
          <w:sz w:val="21"/>
          <w:szCs w:val="21"/>
        </w:rPr>
        <w:t>Stagnaci</w:t>
      </w:r>
      <w:r w:rsidR="003B7BDD" w:rsidRPr="00D8120C">
        <w:rPr>
          <w:rFonts w:asciiTheme="minorHAnsi" w:hAnsiTheme="minorHAnsi" w:cstheme="minorHAnsi"/>
          <w:sz w:val="21"/>
          <w:szCs w:val="21"/>
        </w:rPr>
        <w:t xml:space="preserve"> </w:t>
      </w:r>
      <w:r w:rsidR="007737E3">
        <w:rPr>
          <w:rFonts w:asciiTheme="minorHAnsi" w:hAnsiTheme="minorHAnsi" w:cstheme="minorHAnsi"/>
          <w:sz w:val="21"/>
          <w:szCs w:val="21"/>
        </w:rPr>
        <w:t xml:space="preserve">a </w:t>
      </w:r>
      <w:r w:rsidR="001516CA" w:rsidRPr="00D8120C">
        <w:rPr>
          <w:rFonts w:asciiTheme="minorHAnsi" w:hAnsiTheme="minorHAnsi" w:cstheme="minorHAnsi"/>
          <w:sz w:val="21"/>
          <w:szCs w:val="21"/>
        </w:rPr>
        <w:t>stabilizaci</w:t>
      </w:r>
      <w:r w:rsidR="003B7BDD" w:rsidRPr="00D8120C">
        <w:rPr>
          <w:rFonts w:asciiTheme="minorHAnsi" w:hAnsiTheme="minorHAnsi" w:cstheme="minorHAnsi"/>
          <w:sz w:val="21"/>
          <w:szCs w:val="21"/>
        </w:rPr>
        <w:t xml:space="preserve"> na hypotečním trhu </w:t>
      </w:r>
      <w:r w:rsidR="001516CA" w:rsidRPr="00D8120C">
        <w:rPr>
          <w:rFonts w:asciiTheme="minorHAnsi" w:hAnsiTheme="minorHAnsi" w:cstheme="minorHAnsi"/>
          <w:sz w:val="21"/>
          <w:szCs w:val="21"/>
        </w:rPr>
        <w:t xml:space="preserve">odpovídá i vývoj </w:t>
      </w:r>
      <w:r w:rsidR="00843016" w:rsidRPr="00D8120C">
        <w:rPr>
          <w:rFonts w:asciiTheme="minorHAnsi" w:hAnsiTheme="minorHAnsi" w:cstheme="minorHAnsi"/>
          <w:sz w:val="21"/>
          <w:szCs w:val="21"/>
        </w:rPr>
        <w:t xml:space="preserve">křivky </w:t>
      </w:r>
      <w:r w:rsidR="001516CA" w:rsidRPr="00D8120C">
        <w:rPr>
          <w:rFonts w:asciiTheme="minorHAnsi" w:hAnsiTheme="minorHAnsi" w:cstheme="minorHAnsi"/>
          <w:sz w:val="21"/>
          <w:szCs w:val="21"/>
        </w:rPr>
        <w:t>na grafu.</w:t>
      </w:r>
    </w:p>
    <w:p w14:paraId="3BF70925" w14:textId="70D7320F" w:rsidR="007D05D4" w:rsidRPr="00D8120C" w:rsidRDefault="007D05D4" w:rsidP="00E6550B">
      <w:pPr>
        <w:rPr>
          <w:rFonts w:ascii="Arial" w:hAnsi="Arial" w:cs="Arial"/>
          <w:sz w:val="21"/>
          <w:szCs w:val="21"/>
        </w:rPr>
      </w:pPr>
    </w:p>
    <w:p w14:paraId="176C6DB6" w14:textId="6E7FDAC7" w:rsidR="002676E8" w:rsidRPr="00D8120C" w:rsidRDefault="00650A3C" w:rsidP="00650A3C">
      <w:pPr>
        <w:jc w:val="center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noProof/>
          <w:sz w:val="21"/>
          <w:szCs w:val="21"/>
          <w:lang w:bidi="ar-SA"/>
        </w:rPr>
        <w:drawing>
          <wp:inline distT="0" distB="0" distL="0" distR="0" wp14:anchorId="39F9047F" wp14:editId="601C6395">
            <wp:extent cx="6635750" cy="29660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 BC Index hypotečních úvěrů - srpen 202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5AB7" w14:textId="741A3802" w:rsidR="00103109" w:rsidRPr="00D8120C" w:rsidRDefault="00103109" w:rsidP="007B1851">
      <w:pPr>
        <w:rPr>
          <w:rFonts w:ascii="Arial" w:hAnsi="Arial" w:cs="Arial"/>
          <w:sz w:val="21"/>
          <w:szCs w:val="21"/>
        </w:rPr>
      </w:pPr>
    </w:p>
    <w:p w14:paraId="74B8B694" w14:textId="0AA859C5" w:rsidR="005A7A64" w:rsidRPr="00D8120C" w:rsidRDefault="005A7A64" w:rsidP="007B1851">
      <w:pPr>
        <w:pBdr>
          <w:bottom w:val="single" w:sz="4" w:space="1" w:color="auto"/>
        </w:pBdr>
        <w:rPr>
          <w:rFonts w:ascii="Arial" w:hAnsi="Arial" w:cs="Arial"/>
          <w:sz w:val="21"/>
          <w:szCs w:val="21"/>
        </w:rPr>
      </w:pPr>
    </w:p>
    <w:p w14:paraId="682756D2" w14:textId="77777777" w:rsidR="00D61D5F" w:rsidRDefault="00D61D5F" w:rsidP="00D8120C">
      <w:pPr>
        <w:rPr>
          <w:rFonts w:asciiTheme="minorHAnsi" w:hAnsiTheme="minorHAnsi" w:cs="Arial"/>
          <w:sz w:val="21"/>
          <w:szCs w:val="21"/>
        </w:rPr>
      </w:pPr>
    </w:p>
    <w:p w14:paraId="39BAC2EB" w14:textId="52D60BC8" w:rsidR="00D8120C" w:rsidRDefault="00D8120C" w:rsidP="00D8120C">
      <w:pPr>
        <w:rPr>
          <w:rFonts w:asciiTheme="minorHAnsi" w:hAnsiTheme="minorHAnsi" w:cs="Arial"/>
          <w:sz w:val="21"/>
          <w:szCs w:val="21"/>
        </w:rPr>
      </w:pPr>
      <w:r w:rsidRPr="00D8120C">
        <w:rPr>
          <w:rFonts w:asciiTheme="minorHAnsi" w:hAnsiTheme="minorHAnsi" w:cs="Arial"/>
          <w:sz w:val="21"/>
          <w:szCs w:val="21"/>
        </w:rPr>
        <w:t>Momentálně stojí hypotéka klienty více, než kolik bylo ještě donedávna běžné. I přesto, že je možné počáteční úroky po čase měnit, v rámci období fixace musí klient splácet tolik, kolik se zavázal. Odborníci proto aktuálně doporučují sjednávat si kratší dobu</w:t>
      </w:r>
      <w:r w:rsidR="00D61D5F">
        <w:rPr>
          <w:rFonts w:asciiTheme="minorHAnsi" w:hAnsiTheme="minorHAnsi" w:cs="Arial"/>
          <w:sz w:val="21"/>
          <w:szCs w:val="21"/>
        </w:rPr>
        <w:t xml:space="preserve"> fixace a</w:t>
      </w:r>
      <w:r w:rsidRPr="00D8120C">
        <w:rPr>
          <w:rFonts w:asciiTheme="minorHAnsi" w:hAnsiTheme="minorHAnsi" w:cs="Arial"/>
          <w:sz w:val="21"/>
          <w:szCs w:val="21"/>
        </w:rPr>
        <w:t xml:space="preserve"> zaměřit </w:t>
      </w:r>
      <w:r w:rsidR="00D61D5F">
        <w:rPr>
          <w:rFonts w:asciiTheme="minorHAnsi" w:hAnsiTheme="minorHAnsi" w:cs="Arial"/>
          <w:sz w:val="21"/>
          <w:szCs w:val="21"/>
        </w:rPr>
        <w:t xml:space="preserve">se více </w:t>
      </w:r>
      <w:r w:rsidRPr="00D8120C">
        <w:rPr>
          <w:rFonts w:asciiTheme="minorHAnsi" w:hAnsiTheme="minorHAnsi" w:cs="Arial"/>
          <w:sz w:val="21"/>
          <w:szCs w:val="21"/>
        </w:rPr>
        <w:t xml:space="preserve">na své příjmy a výdaje. </w:t>
      </w:r>
      <w:r w:rsidR="00EB083E">
        <w:rPr>
          <w:rFonts w:asciiTheme="minorHAnsi" w:hAnsiTheme="minorHAnsi" w:cs="Arial"/>
          <w:sz w:val="21"/>
          <w:szCs w:val="21"/>
        </w:rPr>
        <w:t>Navzdory tomu už</w:t>
      </w:r>
      <w:r w:rsidRPr="00D8120C">
        <w:rPr>
          <w:rFonts w:asciiTheme="minorHAnsi" w:hAnsiTheme="minorHAnsi" w:cs="Arial"/>
          <w:sz w:val="21"/>
          <w:szCs w:val="21"/>
        </w:rPr>
        <w:t xml:space="preserve"> poptávka</w:t>
      </w:r>
      <w:r w:rsidR="00D61D5F">
        <w:rPr>
          <w:rFonts w:asciiTheme="minorHAnsi" w:hAnsiTheme="minorHAnsi" w:cs="Arial"/>
          <w:sz w:val="21"/>
          <w:szCs w:val="21"/>
        </w:rPr>
        <w:t xml:space="preserve"> po hypotékách mírně roste a hovoří se</w:t>
      </w:r>
      <w:r w:rsidRPr="00D8120C">
        <w:rPr>
          <w:rFonts w:asciiTheme="minorHAnsi" w:hAnsiTheme="minorHAnsi" w:cs="Arial"/>
          <w:sz w:val="21"/>
          <w:szCs w:val="21"/>
        </w:rPr>
        <w:t xml:space="preserve"> o oživení zájmu </w:t>
      </w:r>
      <w:r w:rsidR="00D61D5F">
        <w:rPr>
          <w:rFonts w:asciiTheme="minorHAnsi" w:hAnsiTheme="minorHAnsi" w:cs="Arial"/>
          <w:sz w:val="21"/>
          <w:szCs w:val="21"/>
        </w:rPr>
        <w:t xml:space="preserve">v blízkém budoucnu. </w:t>
      </w:r>
    </w:p>
    <w:p w14:paraId="524C0AD5" w14:textId="77777777" w:rsidR="00D61D5F" w:rsidRPr="00D8120C" w:rsidRDefault="00D61D5F" w:rsidP="00D8120C">
      <w:pPr>
        <w:rPr>
          <w:rFonts w:asciiTheme="minorHAnsi" w:hAnsiTheme="minorHAnsi" w:cs="Arial"/>
          <w:sz w:val="21"/>
          <w:szCs w:val="21"/>
        </w:rPr>
      </w:pPr>
    </w:p>
    <w:p w14:paraId="4CD476C1" w14:textId="5F03F1DA" w:rsidR="00D8120C" w:rsidRPr="00D8120C" w:rsidRDefault="0089080A" w:rsidP="00D8120C">
      <w:pPr>
        <w:rPr>
          <w:rFonts w:asciiTheme="minorHAnsi" w:hAnsiTheme="minorHAnsi" w:cs="Arial"/>
          <w:sz w:val="21"/>
          <w:szCs w:val="21"/>
        </w:rPr>
      </w:pPr>
      <w:r>
        <w:rPr>
          <w:rFonts w:asciiTheme="minorHAnsi" w:hAnsiTheme="minorHAnsi" w:cs="Arial"/>
          <w:sz w:val="21"/>
          <w:szCs w:val="21"/>
        </w:rPr>
        <w:t xml:space="preserve">Vzhledem k poměru hypotečních úvěrů na </w:t>
      </w:r>
      <w:r w:rsidR="00D8120C" w:rsidRPr="00D8120C">
        <w:rPr>
          <w:rFonts w:asciiTheme="minorHAnsi" w:hAnsiTheme="minorHAnsi" w:cs="Arial"/>
          <w:sz w:val="21"/>
          <w:szCs w:val="21"/>
        </w:rPr>
        <w:t>celkových výdajích</w:t>
      </w:r>
      <w:r>
        <w:rPr>
          <w:rFonts w:asciiTheme="minorHAnsi" w:hAnsiTheme="minorHAnsi" w:cs="Arial"/>
          <w:sz w:val="21"/>
          <w:szCs w:val="21"/>
        </w:rPr>
        <w:t xml:space="preserve"> v rodinných rozpočtech </w:t>
      </w:r>
      <w:r w:rsidR="00D8120C" w:rsidRPr="00D8120C">
        <w:rPr>
          <w:rFonts w:asciiTheme="minorHAnsi" w:hAnsiTheme="minorHAnsi" w:cs="Arial"/>
          <w:sz w:val="21"/>
          <w:szCs w:val="21"/>
        </w:rPr>
        <w:t xml:space="preserve">doporučují </w:t>
      </w:r>
      <w:r>
        <w:rPr>
          <w:rFonts w:asciiTheme="minorHAnsi" w:hAnsiTheme="minorHAnsi" w:cs="Arial"/>
          <w:sz w:val="21"/>
          <w:szCs w:val="21"/>
        </w:rPr>
        <w:t xml:space="preserve">odborníci </w:t>
      </w:r>
      <w:r w:rsidR="00D8120C" w:rsidRPr="00D8120C">
        <w:rPr>
          <w:rFonts w:asciiTheme="minorHAnsi" w:hAnsiTheme="minorHAnsi" w:cs="Arial"/>
          <w:sz w:val="21"/>
          <w:szCs w:val="21"/>
        </w:rPr>
        <w:t>nepodceňovat pojištění a nečekané finanční potíže. Na ty by se měl každý raději připravit dopředu, a to prostřednictvím dostatečné</w:t>
      </w:r>
      <w:r w:rsidR="00242669">
        <w:rPr>
          <w:rFonts w:asciiTheme="minorHAnsi" w:hAnsiTheme="minorHAnsi" w:cs="Arial"/>
          <w:sz w:val="21"/>
          <w:szCs w:val="21"/>
        </w:rPr>
        <w:t xml:space="preserve"> rezervy, kterou může případně</w:t>
      </w:r>
      <w:r w:rsidR="00D8120C" w:rsidRPr="00D8120C">
        <w:rPr>
          <w:rFonts w:asciiTheme="minorHAnsi" w:hAnsiTheme="minorHAnsi" w:cs="Arial"/>
          <w:sz w:val="21"/>
          <w:szCs w:val="21"/>
        </w:rPr>
        <w:t xml:space="preserve"> obratem použít. „</w:t>
      </w:r>
      <w:r w:rsidR="00D8120C" w:rsidRPr="00D8120C">
        <w:rPr>
          <w:rFonts w:asciiTheme="minorHAnsi" w:hAnsiTheme="minorHAnsi" w:cs="Arial"/>
          <w:i/>
          <w:sz w:val="21"/>
          <w:szCs w:val="21"/>
        </w:rPr>
        <w:t xml:space="preserve">I na klienty, kteří mají běžný příjem a vydělávají méně než je aktuální mzdový průměr, apelujeme, aby si pravidelným odkládáním menších částek budovali své krátkodobé i dlouhodobé </w:t>
      </w:r>
      <w:r w:rsidR="00CF177F">
        <w:rPr>
          <w:rFonts w:asciiTheme="minorHAnsi" w:hAnsiTheme="minorHAnsi" w:cs="Arial"/>
          <w:i/>
          <w:sz w:val="21"/>
          <w:szCs w:val="21"/>
        </w:rPr>
        <w:t xml:space="preserve">rezervy. </w:t>
      </w:r>
      <w:r w:rsidR="00CF177F">
        <w:rPr>
          <w:rFonts w:asciiTheme="minorHAnsi" w:hAnsiTheme="minorHAnsi" w:cs="Arial"/>
          <w:i/>
          <w:sz w:val="21"/>
          <w:szCs w:val="21"/>
        </w:rPr>
        <w:lastRenderedPageBreak/>
        <w:t xml:space="preserve">Bez nich jsou bohužel  – </w:t>
      </w:r>
      <w:r w:rsidR="00D8120C" w:rsidRPr="00D8120C">
        <w:rPr>
          <w:rFonts w:asciiTheme="minorHAnsi" w:hAnsiTheme="minorHAnsi" w:cs="Arial"/>
          <w:i/>
          <w:sz w:val="21"/>
          <w:szCs w:val="21"/>
        </w:rPr>
        <w:t>obzvlášť v nečekaných životních situacích a při splácení hypotéky – sami proti sobě</w:t>
      </w:r>
      <w:r w:rsidR="00D8120C" w:rsidRPr="00D8120C">
        <w:rPr>
          <w:rFonts w:asciiTheme="minorHAnsi" w:hAnsiTheme="minorHAnsi" w:cs="Arial"/>
          <w:sz w:val="21"/>
          <w:szCs w:val="21"/>
        </w:rPr>
        <w:t>,“ dodává Michaela Pudilová.</w:t>
      </w:r>
    </w:p>
    <w:p w14:paraId="778898D4" w14:textId="65AFCC1F" w:rsidR="00D8120C" w:rsidRPr="00D8120C" w:rsidRDefault="00D8120C" w:rsidP="007B1851">
      <w:pPr>
        <w:pBdr>
          <w:bottom w:val="single" w:sz="4" w:space="1" w:color="auto"/>
        </w:pBdr>
        <w:rPr>
          <w:rFonts w:ascii="Arial" w:hAnsi="Arial" w:cs="Arial"/>
          <w:sz w:val="21"/>
          <w:szCs w:val="21"/>
        </w:rPr>
      </w:pPr>
    </w:p>
    <w:p w14:paraId="06153168" w14:textId="3B6E7B9A" w:rsidR="00236A37" w:rsidRPr="00D8120C" w:rsidRDefault="00C42CA5" w:rsidP="007B1851">
      <w:pPr>
        <w:spacing w:before="240"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sz w:val="21"/>
          <w:szCs w:val="21"/>
        </w:rPr>
        <w:t>Broker Consulting Index hypotečních úvěrů je analytický nástroj</w:t>
      </w:r>
      <w:r w:rsidR="00113603" w:rsidRPr="00D8120C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D8120C">
        <w:rPr>
          <w:rFonts w:asciiTheme="minorHAnsi" w:hAnsiTheme="minorHAnsi" w:cstheme="minorHAnsi"/>
          <w:sz w:val="21"/>
          <w:szCs w:val="21"/>
        </w:rPr>
        <w:t xml:space="preserve"> průměrnou úrokovou sazbu u hypotečních úvěrů, </w:t>
      </w:r>
      <w:r w:rsidR="00113603" w:rsidRPr="00D8120C">
        <w:rPr>
          <w:rFonts w:asciiTheme="minorHAnsi" w:hAnsiTheme="minorHAnsi" w:cstheme="minorHAnsi"/>
          <w:sz w:val="21"/>
          <w:szCs w:val="21"/>
        </w:rPr>
        <w:t>které</w:t>
      </w:r>
      <w:r w:rsidRPr="00D8120C">
        <w:rPr>
          <w:rFonts w:asciiTheme="minorHAnsi" w:hAnsiTheme="minorHAnsi" w:cstheme="minorHAnsi"/>
          <w:sz w:val="21"/>
          <w:szCs w:val="21"/>
        </w:rPr>
        <w:t xml:space="preserve"> zprostředkovali konzultanti Broker Consulting a pobočky OK POINT u kteréhokoli poskytovatele hypotečních úvěrů. Jedná se o vážený aritmetický průměr, kdy hlavní vahou je objem úvěru. Tedy čím vyšší úvěr, tím jeho sazba </w:t>
      </w:r>
      <w:r w:rsidR="00113603" w:rsidRPr="00D8120C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D8120C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D8120C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D8120C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D8120C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D8120C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D8120C" w:rsidRDefault="00C42CA5" w:rsidP="007B185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D8120C">
        <w:rPr>
          <w:rFonts w:asciiTheme="minorHAnsi" w:hAnsiTheme="minorHAnsi" w:cstheme="minorHAnsi"/>
          <w:sz w:val="21"/>
          <w:szCs w:val="21"/>
        </w:rPr>
        <w:t>,</w:t>
      </w:r>
      <w:r w:rsidRPr="00D8120C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D8120C">
        <w:rPr>
          <w:rFonts w:asciiTheme="minorHAnsi" w:hAnsiTheme="minorHAnsi" w:cstheme="minorHAnsi"/>
          <w:sz w:val="21"/>
          <w:szCs w:val="21"/>
        </w:rPr>
        <w:t>a</w:t>
      </w:r>
      <w:r w:rsidRPr="00D8120C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6B1DF12D" w14:textId="18A0CCB4" w:rsidR="009345C9" w:rsidRPr="00D8120C" w:rsidRDefault="002E6DB6" w:rsidP="007B185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D8120C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D8120C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D8120C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D8120C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D8120C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D8120C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D8120C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691D3A33" w14:textId="77777777" w:rsidR="00C42CA5" w:rsidRPr="00D8120C" w:rsidRDefault="00C42CA5" w:rsidP="007B1851">
      <w:pPr>
        <w:pBdr>
          <w:bottom w:val="single" w:sz="4" w:space="1" w:color="auto"/>
        </w:pBdr>
        <w:rPr>
          <w:rFonts w:asciiTheme="minorHAnsi" w:hAnsiTheme="minorHAnsi" w:cstheme="minorHAnsi"/>
          <w:sz w:val="21"/>
          <w:szCs w:val="21"/>
        </w:rPr>
      </w:pPr>
    </w:p>
    <w:p w14:paraId="4A4E372E" w14:textId="214E9ADC" w:rsidR="00CA1806" w:rsidRPr="000C6D26" w:rsidRDefault="00CA1806" w:rsidP="007B1851">
      <w:pPr>
        <w:rPr>
          <w:rFonts w:asciiTheme="minorHAnsi" w:hAnsiTheme="minorHAnsi" w:cstheme="minorHAnsi"/>
          <w:b/>
          <w:sz w:val="21"/>
          <w:szCs w:val="21"/>
        </w:rPr>
      </w:pPr>
    </w:p>
    <w:p w14:paraId="5FCF3C96" w14:textId="79E57602" w:rsidR="00B01F39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</w:pPr>
      <w:r w:rsidRPr="000C6D26">
        <w:rPr>
          <w:rFonts w:asciiTheme="minorHAnsi" w:hAnsiTheme="minorHAnsi" w:cstheme="minorHAnsi"/>
          <w:b/>
          <w:sz w:val="21"/>
          <w:szCs w:val="21"/>
        </w:rPr>
        <w:t>P</w:t>
      </w:r>
      <w:r w:rsidR="00B37F41" w:rsidRPr="000C6D26">
        <w:rPr>
          <w:rFonts w:asciiTheme="minorHAnsi" w:hAnsiTheme="minorHAnsi" w:cstheme="minorHAnsi"/>
          <w:b/>
          <w:sz w:val="21"/>
          <w:szCs w:val="21"/>
        </w:rPr>
        <w:t>oznámka pro média:</w:t>
      </w:r>
      <w:r w:rsidR="00B37F41" w:rsidRPr="000C6D26">
        <w:rPr>
          <w:rFonts w:asciiTheme="minorHAnsi" w:hAnsiTheme="minorHAnsi" w:cstheme="minorHAnsi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Broker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Indexy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je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možné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volně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spacing w:val="2"/>
          <w:w w:val="105"/>
          <w:sz w:val="21"/>
          <w:szCs w:val="21"/>
        </w:rPr>
        <w:t>publikovat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pouze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s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označením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„Broker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Index“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spacing w:val="-3"/>
          <w:w w:val="105"/>
          <w:sz w:val="21"/>
          <w:szCs w:val="21"/>
        </w:rPr>
        <w:t>(</w:t>
      </w:r>
      <w:r w:rsidR="00B37F41" w:rsidRPr="000C6D26">
        <w:rPr>
          <w:rFonts w:asciiTheme="minorHAnsi" w:hAnsiTheme="minorHAnsi" w:cstheme="minorHAnsi"/>
          <w:i/>
          <w:color w:val="1D1D1B"/>
          <w:spacing w:val="-3"/>
          <w:w w:val="105"/>
          <w:sz w:val="21"/>
          <w:szCs w:val="21"/>
        </w:rPr>
        <w:t>např.</w:t>
      </w:r>
      <w:r w:rsidR="00B37F41"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Broker</w:t>
      </w:r>
      <w:r w:rsidR="00B37F41" w:rsidRPr="000C6D26">
        <w:rPr>
          <w:rFonts w:asciiTheme="minorHAnsi" w:hAnsiTheme="minorHAnsi" w:cstheme="minorHAnsi"/>
          <w:i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index hypot</w:t>
      </w:r>
      <w:r w:rsidR="00830CE8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e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čních úvěrů). Více informací najdete též na webu </w:t>
      </w:r>
      <w:r w:rsidR="00B37F41" w:rsidRPr="000C6D26">
        <w:rPr>
          <w:rStyle w:val="Hypertextovodkaz"/>
          <w:rFonts w:asciiTheme="minorHAnsi" w:hAnsiTheme="minorHAnsi" w:cstheme="minorHAnsi"/>
          <w:i/>
          <w:w w:val="105"/>
          <w:sz w:val="21"/>
          <w:szCs w:val="21"/>
        </w:rPr>
        <w:t>https://www.bcas.cz/onas/pro-media/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. </w:t>
      </w:r>
    </w:p>
    <w:p w14:paraId="0BBC87EC" w14:textId="77777777" w:rsidR="001C22FE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</w:pPr>
    </w:p>
    <w:p w14:paraId="0D95153B" w14:textId="121E185D" w:rsidR="001C22FE" w:rsidRPr="0049280D" w:rsidRDefault="001C22FE" w:rsidP="001C22FE">
      <w:pP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</w:pPr>
      <w:r w:rsidRPr="0049280D"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  <w:t>Broker Consulting Indexy je nyní možné sledovat v interaktivní formě na webu</w:t>
      </w:r>
      <w:r w:rsidRPr="0049280D">
        <w:rPr>
          <w:rFonts w:asciiTheme="minorHAnsi" w:hAnsiTheme="minorHAnsi" w:cstheme="minorHAnsi"/>
          <w:color w:val="1D1D1B"/>
          <w:w w:val="105"/>
          <w:sz w:val="21"/>
          <w:szCs w:val="21"/>
        </w:rPr>
        <w:t>. Zde lze zároveň exportovat zdrojová data ke grafům. Vice dostupné na odkaze</w:t>
      </w:r>
      <w:r w:rsidRPr="0049280D"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: </w:t>
      </w:r>
      <w:hyperlink r:id="rId26" w:history="1">
        <w:r w:rsidRPr="00BB397E">
          <w:rPr>
            <w:rStyle w:val="Hypertextovodkaz"/>
            <w:rFonts w:asciiTheme="minorHAnsi" w:hAnsiTheme="minorHAnsi" w:cstheme="minorHAnsi"/>
            <w:b/>
            <w:w w:val="105"/>
            <w:sz w:val="21"/>
            <w:szCs w:val="21"/>
          </w:rPr>
          <w:t>https://www.bcas.cz/o-nas/broker-consulting-index-hypotecnich-uveru/</w:t>
        </w:r>
      </w:hyperlink>
      <w: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. </w:t>
      </w:r>
      <w:bookmarkStart w:id="0" w:name="_GoBack"/>
      <w:bookmarkEnd w:id="0"/>
    </w:p>
    <w:p w14:paraId="72ED1D97" w14:textId="77777777" w:rsidR="001C22FE" w:rsidRPr="000C6D26" w:rsidRDefault="001C22FE" w:rsidP="007B1851">
      <w:pPr>
        <w:rPr>
          <w:rFonts w:asciiTheme="minorHAnsi" w:hAnsiTheme="minorHAnsi" w:cstheme="minorHAnsi"/>
          <w:sz w:val="21"/>
          <w:szCs w:val="21"/>
        </w:rPr>
      </w:pPr>
    </w:p>
    <w:p w14:paraId="7DE80F01" w14:textId="5F0A8380" w:rsidR="00CA1806" w:rsidRPr="002F5550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</w:rPr>
      </w:pPr>
    </w:p>
    <w:p w14:paraId="7C1907C0" w14:textId="1D2EC938" w:rsidR="00D60D98" w:rsidRPr="000C6D26" w:rsidRDefault="00D60D98" w:rsidP="00D60D98">
      <w:pPr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  <w:r w:rsidRPr="000C6D26">
        <w:rPr>
          <w:rFonts w:asciiTheme="minorHAnsi" w:eastAsia="Calibri" w:hAnsiTheme="minorHAnsi" w:cstheme="minorHAnsi"/>
          <w:b/>
          <w:bCs/>
          <w:noProof/>
          <w:sz w:val="21"/>
          <w:szCs w:val="21"/>
        </w:rPr>
        <w:t>Kontakt pro média:</w:t>
      </w:r>
    </w:p>
    <w:p w14:paraId="090F1F41" w14:textId="2F88DEFA" w:rsidR="00B37F41" w:rsidRPr="000C6D26" w:rsidRDefault="00B37F41" w:rsidP="00D60D98">
      <w:pPr>
        <w:rPr>
          <w:rFonts w:asciiTheme="minorHAnsi" w:eastAsia="Calibri" w:hAnsiTheme="minorHAnsi" w:cstheme="minorHAnsi"/>
          <w:bCs/>
          <w:noProof/>
          <w:sz w:val="21"/>
          <w:szCs w:val="21"/>
        </w:rPr>
      </w:pPr>
    </w:p>
    <w:p w14:paraId="459105C8" w14:textId="3415D3B2" w:rsidR="00692610" w:rsidRPr="000C6D26" w:rsidRDefault="003529EF" w:rsidP="007748DA">
      <w:pPr>
        <w:spacing w:after="60"/>
        <w:rPr>
          <w:rFonts w:asciiTheme="minorHAnsi" w:eastAsia="Calibri" w:hAnsiTheme="minorHAnsi" w:cstheme="minorHAnsi"/>
          <w:bCs/>
          <w:noProof/>
          <w:sz w:val="21"/>
          <w:szCs w:val="21"/>
          <w:lang w:bidi="ar-SA"/>
        </w:rPr>
      </w:pPr>
      <w:r w:rsidRPr="000C6D26">
        <w:rPr>
          <w:rFonts w:asciiTheme="minorHAnsi" w:eastAsia="Calibri" w:hAnsiTheme="minorHAnsi" w:cstheme="minorHAnsi"/>
          <w:bCs/>
          <w:noProof/>
          <w:sz w:val="21"/>
          <w:szCs w:val="21"/>
        </w:rPr>
        <w:t>Michaela Sahulová</w:t>
      </w:r>
    </w:p>
    <w:p w14:paraId="3D378A07" w14:textId="7DB23AAC" w:rsidR="00692610" w:rsidRPr="000C6D26" w:rsidRDefault="00692610" w:rsidP="00692610">
      <w:pPr>
        <w:pStyle w:val="Bezmezer"/>
        <w:rPr>
          <w:rFonts w:eastAsia="Calibri" w:cstheme="minorHAnsi"/>
          <w:noProof/>
          <w:sz w:val="21"/>
          <w:szCs w:val="21"/>
        </w:rPr>
      </w:pPr>
      <w:r w:rsidRPr="000C6D26">
        <w:rPr>
          <w:rFonts w:eastAsia="Calibri" w:cstheme="minorHAnsi"/>
          <w:noProof/>
          <w:sz w:val="21"/>
          <w:szCs w:val="21"/>
        </w:rPr>
        <w:t>Specialistka PR a externí komunikace</w:t>
      </w:r>
    </w:p>
    <w:p w14:paraId="5B3D6899" w14:textId="334A3B70" w:rsidR="004928CB" w:rsidRPr="000C6D26" w:rsidRDefault="004928CB" w:rsidP="004928CB">
      <w:pPr>
        <w:rPr>
          <w:rFonts w:asciiTheme="minorHAnsi" w:eastAsiaTheme="minorEastAsia" w:hAnsiTheme="minorHAnsi" w:cstheme="minorHAnsi"/>
          <w:noProof/>
          <w:color w:val="000000" w:themeColor="text1"/>
          <w:sz w:val="21"/>
          <w:szCs w:val="21"/>
          <w:lang w:bidi="ar-SA"/>
        </w:rPr>
      </w:pPr>
      <w:r w:rsidRPr="000C6D26">
        <w:rPr>
          <w:rFonts w:asciiTheme="minorHAnsi" w:eastAsiaTheme="minorEastAsia" w:hAnsiTheme="minorHAnsi" w:cstheme="minorHAnsi"/>
          <w:noProof/>
          <w:color w:val="000000" w:themeColor="text1"/>
          <w:sz w:val="21"/>
          <w:szCs w:val="21"/>
        </w:rPr>
        <w:t>tel.: +420 731 538 373</w:t>
      </w:r>
    </w:p>
    <w:p w14:paraId="16B705EA" w14:textId="41D7186C" w:rsidR="00692610" w:rsidRPr="000C6D26" w:rsidRDefault="00692610" w:rsidP="00692610">
      <w:pPr>
        <w:rPr>
          <w:rFonts w:asciiTheme="minorHAnsi" w:eastAsia="Calibri" w:hAnsiTheme="minorHAnsi" w:cstheme="minorHAnsi"/>
          <w:noProof/>
          <w:sz w:val="21"/>
          <w:szCs w:val="21"/>
        </w:rPr>
      </w:pPr>
      <w:r w:rsidRPr="000C6D26">
        <w:rPr>
          <w:rFonts w:asciiTheme="minorHAnsi" w:eastAsia="Calibri" w:hAnsiTheme="minorHAnsi" w:cstheme="minorHAnsi"/>
          <w:noProof/>
          <w:sz w:val="21"/>
          <w:szCs w:val="21"/>
        </w:rPr>
        <w:t xml:space="preserve">E-mail: </w:t>
      </w:r>
      <w:hyperlink r:id="rId27" w:history="1">
        <w:r w:rsidR="003529EF" w:rsidRPr="000C6D26">
          <w:rPr>
            <w:rStyle w:val="Hypertextovodkaz"/>
            <w:rFonts w:asciiTheme="minorHAnsi" w:eastAsia="Calibri" w:hAnsiTheme="minorHAnsi" w:cstheme="minorHAnsi"/>
            <w:noProof/>
            <w:sz w:val="21"/>
            <w:szCs w:val="21"/>
          </w:rPr>
          <w:t>michaela.sahulova@bcas.cz</w:t>
        </w:r>
      </w:hyperlink>
      <w:r w:rsidRPr="000C6D26">
        <w:rPr>
          <w:rFonts w:asciiTheme="minorHAnsi" w:eastAsia="Calibri" w:hAnsiTheme="minorHAnsi" w:cstheme="minorHAnsi"/>
          <w:noProof/>
          <w:sz w:val="21"/>
          <w:szCs w:val="21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7C75CD" w14:textId="77777777" w:rsidR="002A208F" w:rsidRDefault="002A208F">
      <w:r>
        <w:separator/>
      </w:r>
    </w:p>
  </w:endnote>
  <w:endnote w:type="continuationSeparator" w:id="0">
    <w:p w14:paraId="0B5DAB73" w14:textId="77777777" w:rsidR="002A208F" w:rsidRDefault="002A2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2A208F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0A6CF9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2A208F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0A6CF9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2A208F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0A6CF9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60072B" w14:textId="77777777" w:rsidR="002A208F" w:rsidRDefault="002A208F">
      <w:r>
        <w:separator/>
      </w:r>
    </w:p>
  </w:footnote>
  <w:footnote w:type="continuationSeparator" w:id="0">
    <w:p w14:paraId="1999ECA3" w14:textId="77777777" w:rsidR="002A208F" w:rsidRDefault="002A2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27C83"/>
    <w:rsid w:val="0003028F"/>
    <w:rsid w:val="00030E97"/>
    <w:rsid w:val="00032D94"/>
    <w:rsid w:val="0003332D"/>
    <w:rsid w:val="00033FD7"/>
    <w:rsid w:val="000374D7"/>
    <w:rsid w:val="00037DAF"/>
    <w:rsid w:val="000400E4"/>
    <w:rsid w:val="000412FA"/>
    <w:rsid w:val="0004477D"/>
    <w:rsid w:val="00044EC5"/>
    <w:rsid w:val="00045D86"/>
    <w:rsid w:val="00046AF6"/>
    <w:rsid w:val="0004776E"/>
    <w:rsid w:val="0005423A"/>
    <w:rsid w:val="00057F54"/>
    <w:rsid w:val="000611E3"/>
    <w:rsid w:val="00061BF6"/>
    <w:rsid w:val="00070652"/>
    <w:rsid w:val="000766E7"/>
    <w:rsid w:val="00080E7A"/>
    <w:rsid w:val="00081616"/>
    <w:rsid w:val="000823D3"/>
    <w:rsid w:val="00082D29"/>
    <w:rsid w:val="0008331F"/>
    <w:rsid w:val="000845CA"/>
    <w:rsid w:val="000851AC"/>
    <w:rsid w:val="000853D4"/>
    <w:rsid w:val="00087894"/>
    <w:rsid w:val="00092AEE"/>
    <w:rsid w:val="00092BB7"/>
    <w:rsid w:val="00092C6B"/>
    <w:rsid w:val="00094C16"/>
    <w:rsid w:val="00096425"/>
    <w:rsid w:val="0009776B"/>
    <w:rsid w:val="000A080B"/>
    <w:rsid w:val="000A6CF9"/>
    <w:rsid w:val="000B187C"/>
    <w:rsid w:val="000B6DD9"/>
    <w:rsid w:val="000C181E"/>
    <w:rsid w:val="000C2DA6"/>
    <w:rsid w:val="000C5541"/>
    <w:rsid w:val="000C6D26"/>
    <w:rsid w:val="000C7564"/>
    <w:rsid w:val="000D14E2"/>
    <w:rsid w:val="000D2CFC"/>
    <w:rsid w:val="000D4AFB"/>
    <w:rsid w:val="000D7158"/>
    <w:rsid w:val="000E01C2"/>
    <w:rsid w:val="000E19B2"/>
    <w:rsid w:val="000E1C76"/>
    <w:rsid w:val="000E3D86"/>
    <w:rsid w:val="000E568C"/>
    <w:rsid w:val="000E5D32"/>
    <w:rsid w:val="000E6E14"/>
    <w:rsid w:val="000F4B6C"/>
    <w:rsid w:val="000F50BC"/>
    <w:rsid w:val="000F6249"/>
    <w:rsid w:val="000F6EBE"/>
    <w:rsid w:val="00101CEC"/>
    <w:rsid w:val="00103109"/>
    <w:rsid w:val="00105248"/>
    <w:rsid w:val="00106E26"/>
    <w:rsid w:val="001117DE"/>
    <w:rsid w:val="00111C28"/>
    <w:rsid w:val="00113603"/>
    <w:rsid w:val="001153E3"/>
    <w:rsid w:val="00117AE4"/>
    <w:rsid w:val="00120113"/>
    <w:rsid w:val="001214E7"/>
    <w:rsid w:val="00122CEB"/>
    <w:rsid w:val="0012361F"/>
    <w:rsid w:val="00125B97"/>
    <w:rsid w:val="0012657A"/>
    <w:rsid w:val="00126BEC"/>
    <w:rsid w:val="00127234"/>
    <w:rsid w:val="0013044E"/>
    <w:rsid w:val="00131A69"/>
    <w:rsid w:val="001327CE"/>
    <w:rsid w:val="00136D8D"/>
    <w:rsid w:val="00137003"/>
    <w:rsid w:val="0013717C"/>
    <w:rsid w:val="00140987"/>
    <w:rsid w:val="00145622"/>
    <w:rsid w:val="001516CA"/>
    <w:rsid w:val="001524FB"/>
    <w:rsid w:val="00154308"/>
    <w:rsid w:val="00154AC2"/>
    <w:rsid w:val="00156082"/>
    <w:rsid w:val="00160686"/>
    <w:rsid w:val="00160E1C"/>
    <w:rsid w:val="00161352"/>
    <w:rsid w:val="00161830"/>
    <w:rsid w:val="001620E3"/>
    <w:rsid w:val="00162D8E"/>
    <w:rsid w:val="0016482C"/>
    <w:rsid w:val="001675AF"/>
    <w:rsid w:val="0016771F"/>
    <w:rsid w:val="00174317"/>
    <w:rsid w:val="00175545"/>
    <w:rsid w:val="001767A5"/>
    <w:rsid w:val="00177C18"/>
    <w:rsid w:val="00182A92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7936"/>
    <w:rsid w:val="001C22FE"/>
    <w:rsid w:val="001D015A"/>
    <w:rsid w:val="001D30C7"/>
    <w:rsid w:val="001D33FA"/>
    <w:rsid w:val="001D36F0"/>
    <w:rsid w:val="001D3DFC"/>
    <w:rsid w:val="001D45F5"/>
    <w:rsid w:val="001D5EFC"/>
    <w:rsid w:val="001E02C2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BD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AF1"/>
    <w:rsid w:val="00224E6E"/>
    <w:rsid w:val="00225CEC"/>
    <w:rsid w:val="00225D70"/>
    <w:rsid w:val="00232B0D"/>
    <w:rsid w:val="00233BF3"/>
    <w:rsid w:val="002368F3"/>
    <w:rsid w:val="00236A37"/>
    <w:rsid w:val="00241313"/>
    <w:rsid w:val="00241AA2"/>
    <w:rsid w:val="0024212A"/>
    <w:rsid w:val="00242669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676E8"/>
    <w:rsid w:val="00270B59"/>
    <w:rsid w:val="00270DB3"/>
    <w:rsid w:val="002717C9"/>
    <w:rsid w:val="0027235F"/>
    <w:rsid w:val="0027691A"/>
    <w:rsid w:val="00277D20"/>
    <w:rsid w:val="00280730"/>
    <w:rsid w:val="0028081F"/>
    <w:rsid w:val="00281C61"/>
    <w:rsid w:val="00285767"/>
    <w:rsid w:val="0028607C"/>
    <w:rsid w:val="002863CE"/>
    <w:rsid w:val="0029566F"/>
    <w:rsid w:val="002961B5"/>
    <w:rsid w:val="00296B24"/>
    <w:rsid w:val="002A1185"/>
    <w:rsid w:val="002A208F"/>
    <w:rsid w:val="002A498A"/>
    <w:rsid w:val="002A61B7"/>
    <w:rsid w:val="002B01AF"/>
    <w:rsid w:val="002B094E"/>
    <w:rsid w:val="002B1E20"/>
    <w:rsid w:val="002B2A94"/>
    <w:rsid w:val="002B3C6D"/>
    <w:rsid w:val="002B4919"/>
    <w:rsid w:val="002B4B98"/>
    <w:rsid w:val="002B6F4E"/>
    <w:rsid w:val="002B7650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06AC"/>
    <w:rsid w:val="002F46B0"/>
    <w:rsid w:val="002F485A"/>
    <w:rsid w:val="002F5550"/>
    <w:rsid w:val="002F62C4"/>
    <w:rsid w:val="002F7818"/>
    <w:rsid w:val="002F7EC2"/>
    <w:rsid w:val="003015E0"/>
    <w:rsid w:val="0030207B"/>
    <w:rsid w:val="00303778"/>
    <w:rsid w:val="00303A6E"/>
    <w:rsid w:val="0030751A"/>
    <w:rsid w:val="00307CF8"/>
    <w:rsid w:val="00307E95"/>
    <w:rsid w:val="00307FEB"/>
    <w:rsid w:val="003128F8"/>
    <w:rsid w:val="00313D42"/>
    <w:rsid w:val="00322E5E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64C11"/>
    <w:rsid w:val="00371225"/>
    <w:rsid w:val="003721AD"/>
    <w:rsid w:val="00376086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291C"/>
    <w:rsid w:val="003A3DE2"/>
    <w:rsid w:val="003A4860"/>
    <w:rsid w:val="003A4D47"/>
    <w:rsid w:val="003A6435"/>
    <w:rsid w:val="003A7D32"/>
    <w:rsid w:val="003B0E4F"/>
    <w:rsid w:val="003B1966"/>
    <w:rsid w:val="003B5B25"/>
    <w:rsid w:val="003B60CA"/>
    <w:rsid w:val="003B7BDD"/>
    <w:rsid w:val="003C0CBE"/>
    <w:rsid w:val="003C1344"/>
    <w:rsid w:val="003C3421"/>
    <w:rsid w:val="003C5D0A"/>
    <w:rsid w:val="003D1987"/>
    <w:rsid w:val="003D3AE8"/>
    <w:rsid w:val="003D69A7"/>
    <w:rsid w:val="003E1308"/>
    <w:rsid w:val="003F07E8"/>
    <w:rsid w:val="003F79EC"/>
    <w:rsid w:val="00400129"/>
    <w:rsid w:val="00400A5A"/>
    <w:rsid w:val="00407AE9"/>
    <w:rsid w:val="004120C7"/>
    <w:rsid w:val="0041257F"/>
    <w:rsid w:val="0042193A"/>
    <w:rsid w:val="004267DE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1B7B"/>
    <w:rsid w:val="004540ED"/>
    <w:rsid w:val="00454843"/>
    <w:rsid w:val="004564BC"/>
    <w:rsid w:val="004565C7"/>
    <w:rsid w:val="004627B9"/>
    <w:rsid w:val="00465E53"/>
    <w:rsid w:val="00466329"/>
    <w:rsid w:val="00473219"/>
    <w:rsid w:val="00477DCC"/>
    <w:rsid w:val="00477FFA"/>
    <w:rsid w:val="00481D66"/>
    <w:rsid w:val="00487B6B"/>
    <w:rsid w:val="004919CC"/>
    <w:rsid w:val="004928CB"/>
    <w:rsid w:val="00492941"/>
    <w:rsid w:val="00495AFF"/>
    <w:rsid w:val="00495E14"/>
    <w:rsid w:val="004A3439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3F71"/>
    <w:rsid w:val="004C61F5"/>
    <w:rsid w:val="004D14C1"/>
    <w:rsid w:val="004D2C46"/>
    <w:rsid w:val="004D3578"/>
    <w:rsid w:val="004D4D9F"/>
    <w:rsid w:val="004D6BA6"/>
    <w:rsid w:val="004E2983"/>
    <w:rsid w:val="004E3BA4"/>
    <w:rsid w:val="004E4E81"/>
    <w:rsid w:val="004E4E9F"/>
    <w:rsid w:val="004E67DB"/>
    <w:rsid w:val="004F1934"/>
    <w:rsid w:val="004F1E84"/>
    <w:rsid w:val="005042D1"/>
    <w:rsid w:val="00506098"/>
    <w:rsid w:val="00506161"/>
    <w:rsid w:val="0050659B"/>
    <w:rsid w:val="00506889"/>
    <w:rsid w:val="00512D6B"/>
    <w:rsid w:val="00512FF6"/>
    <w:rsid w:val="005153F7"/>
    <w:rsid w:val="0052216B"/>
    <w:rsid w:val="005224C1"/>
    <w:rsid w:val="0052338B"/>
    <w:rsid w:val="00523D4C"/>
    <w:rsid w:val="005275F9"/>
    <w:rsid w:val="0053153F"/>
    <w:rsid w:val="005339D0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2E2B"/>
    <w:rsid w:val="0055303C"/>
    <w:rsid w:val="00553369"/>
    <w:rsid w:val="00554574"/>
    <w:rsid w:val="0055553F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452A"/>
    <w:rsid w:val="005956E9"/>
    <w:rsid w:val="005A0ABD"/>
    <w:rsid w:val="005A2637"/>
    <w:rsid w:val="005A37E5"/>
    <w:rsid w:val="005A4497"/>
    <w:rsid w:val="005A5BBA"/>
    <w:rsid w:val="005A5F08"/>
    <w:rsid w:val="005A60B4"/>
    <w:rsid w:val="005A7A64"/>
    <w:rsid w:val="005B0E8E"/>
    <w:rsid w:val="005B31D7"/>
    <w:rsid w:val="005B4E77"/>
    <w:rsid w:val="005B5427"/>
    <w:rsid w:val="005B5CA8"/>
    <w:rsid w:val="005B6889"/>
    <w:rsid w:val="005B68FA"/>
    <w:rsid w:val="005B7E46"/>
    <w:rsid w:val="005C0D63"/>
    <w:rsid w:val="005C41F6"/>
    <w:rsid w:val="005C48C1"/>
    <w:rsid w:val="005C7059"/>
    <w:rsid w:val="005D189A"/>
    <w:rsid w:val="005D6963"/>
    <w:rsid w:val="005E45D8"/>
    <w:rsid w:val="005E4855"/>
    <w:rsid w:val="005F18D4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212F9"/>
    <w:rsid w:val="00622494"/>
    <w:rsid w:val="00624A82"/>
    <w:rsid w:val="0062747C"/>
    <w:rsid w:val="00633136"/>
    <w:rsid w:val="00636E70"/>
    <w:rsid w:val="0064020E"/>
    <w:rsid w:val="0064160C"/>
    <w:rsid w:val="0064209A"/>
    <w:rsid w:val="00645BA9"/>
    <w:rsid w:val="006501CB"/>
    <w:rsid w:val="00650A3C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076"/>
    <w:rsid w:val="006C4193"/>
    <w:rsid w:val="006C61E8"/>
    <w:rsid w:val="006D01AF"/>
    <w:rsid w:val="006D1884"/>
    <w:rsid w:val="006D65EC"/>
    <w:rsid w:val="006E074A"/>
    <w:rsid w:val="006E26DC"/>
    <w:rsid w:val="006E52B8"/>
    <w:rsid w:val="006E68CA"/>
    <w:rsid w:val="006F32FB"/>
    <w:rsid w:val="00700FD6"/>
    <w:rsid w:val="00705D83"/>
    <w:rsid w:val="0071201C"/>
    <w:rsid w:val="00713CD7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62254"/>
    <w:rsid w:val="00764BFF"/>
    <w:rsid w:val="00767284"/>
    <w:rsid w:val="00771B91"/>
    <w:rsid w:val="007737E3"/>
    <w:rsid w:val="007748DA"/>
    <w:rsid w:val="0077685A"/>
    <w:rsid w:val="007824F4"/>
    <w:rsid w:val="0078345F"/>
    <w:rsid w:val="00783AB1"/>
    <w:rsid w:val="00784109"/>
    <w:rsid w:val="00785FC5"/>
    <w:rsid w:val="0078631B"/>
    <w:rsid w:val="00791A2B"/>
    <w:rsid w:val="00792EE9"/>
    <w:rsid w:val="00795445"/>
    <w:rsid w:val="0079572A"/>
    <w:rsid w:val="00795D79"/>
    <w:rsid w:val="0079732B"/>
    <w:rsid w:val="007A1121"/>
    <w:rsid w:val="007A1122"/>
    <w:rsid w:val="007A15A6"/>
    <w:rsid w:val="007A278E"/>
    <w:rsid w:val="007B11F2"/>
    <w:rsid w:val="007B1851"/>
    <w:rsid w:val="007B232E"/>
    <w:rsid w:val="007B358E"/>
    <w:rsid w:val="007C37DF"/>
    <w:rsid w:val="007C6288"/>
    <w:rsid w:val="007D05D4"/>
    <w:rsid w:val="007D06A5"/>
    <w:rsid w:val="007D085C"/>
    <w:rsid w:val="007D1100"/>
    <w:rsid w:val="007D2280"/>
    <w:rsid w:val="007D3EF7"/>
    <w:rsid w:val="007E1111"/>
    <w:rsid w:val="007E1865"/>
    <w:rsid w:val="007E5614"/>
    <w:rsid w:val="007F0754"/>
    <w:rsid w:val="007F3198"/>
    <w:rsid w:val="007F36AF"/>
    <w:rsid w:val="007F515C"/>
    <w:rsid w:val="008009B8"/>
    <w:rsid w:val="00800CEA"/>
    <w:rsid w:val="00807AD4"/>
    <w:rsid w:val="008104E0"/>
    <w:rsid w:val="0081387C"/>
    <w:rsid w:val="00817512"/>
    <w:rsid w:val="00822194"/>
    <w:rsid w:val="00822D26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3016"/>
    <w:rsid w:val="00844420"/>
    <w:rsid w:val="00845A34"/>
    <w:rsid w:val="00846E1E"/>
    <w:rsid w:val="00850445"/>
    <w:rsid w:val="0085594F"/>
    <w:rsid w:val="00866791"/>
    <w:rsid w:val="00874FE0"/>
    <w:rsid w:val="008769D5"/>
    <w:rsid w:val="00882EE9"/>
    <w:rsid w:val="00883131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663F"/>
    <w:rsid w:val="008B05F2"/>
    <w:rsid w:val="008B0636"/>
    <w:rsid w:val="008B1531"/>
    <w:rsid w:val="008B2EE5"/>
    <w:rsid w:val="008B3C82"/>
    <w:rsid w:val="008B5C5C"/>
    <w:rsid w:val="008B64C9"/>
    <w:rsid w:val="008C1795"/>
    <w:rsid w:val="008C4B0D"/>
    <w:rsid w:val="008C75D3"/>
    <w:rsid w:val="008C79A2"/>
    <w:rsid w:val="008D1E94"/>
    <w:rsid w:val="008D373A"/>
    <w:rsid w:val="008D484C"/>
    <w:rsid w:val="008D68A5"/>
    <w:rsid w:val="008E19F3"/>
    <w:rsid w:val="008E3B44"/>
    <w:rsid w:val="008E58ED"/>
    <w:rsid w:val="008E6712"/>
    <w:rsid w:val="008F2226"/>
    <w:rsid w:val="008F4980"/>
    <w:rsid w:val="008F6707"/>
    <w:rsid w:val="008F6AAF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7F21"/>
    <w:rsid w:val="009213AE"/>
    <w:rsid w:val="009222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2F66"/>
    <w:rsid w:val="00957B41"/>
    <w:rsid w:val="00961519"/>
    <w:rsid w:val="00962FD2"/>
    <w:rsid w:val="009644A2"/>
    <w:rsid w:val="00967162"/>
    <w:rsid w:val="00971DE7"/>
    <w:rsid w:val="00973C62"/>
    <w:rsid w:val="0097419E"/>
    <w:rsid w:val="00974A97"/>
    <w:rsid w:val="00977B41"/>
    <w:rsid w:val="00982987"/>
    <w:rsid w:val="00990318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CA9"/>
    <w:rsid w:val="009B301F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833"/>
    <w:rsid w:val="009E317D"/>
    <w:rsid w:val="009E3B52"/>
    <w:rsid w:val="009E3D89"/>
    <w:rsid w:val="009E5B43"/>
    <w:rsid w:val="009E6B59"/>
    <w:rsid w:val="009F097B"/>
    <w:rsid w:val="009F2CB2"/>
    <w:rsid w:val="009F2CEE"/>
    <w:rsid w:val="009F3A56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14FC9"/>
    <w:rsid w:val="00A2066F"/>
    <w:rsid w:val="00A23C45"/>
    <w:rsid w:val="00A25B10"/>
    <w:rsid w:val="00A36D79"/>
    <w:rsid w:val="00A37A20"/>
    <w:rsid w:val="00A37AD0"/>
    <w:rsid w:val="00A4618A"/>
    <w:rsid w:val="00A53205"/>
    <w:rsid w:val="00A5429B"/>
    <w:rsid w:val="00A553A9"/>
    <w:rsid w:val="00A61F80"/>
    <w:rsid w:val="00A62566"/>
    <w:rsid w:val="00A62CCA"/>
    <w:rsid w:val="00A641DB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6656"/>
    <w:rsid w:val="00A87B14"/>
    <w:rsid w:val="00A93638"/>
    <w:rsid w:val="00A97D07"/>
    <w:rsid w:val="00AA0737"/>
    <w:rsid w:val="00AA218A"/>
    <w:rsid w:val="00AA48E7"/>
    <w:rsid w:val="00AB3D30"/>
    <w:rsid w:val="00AB4794"/>
    <w:rsid w:val="00AB4842"/>
    <w:rsid w:val="00AB7CCF"/>
    <w:rsid w:val="00AC614D"/>
    <w:rsid w:val="00AC7F1C"/>
    <w:rsid w:val="00AD0F3F"/>
    <w:rsid w:val="00AD4EA3"/>
    <w:rsid w:val="00AE05ED"/>
    <w:rsid w:val="00AE44CB"/>
    <w:rsid w:val="00AE55D4"/>
    <w:rsid w:val="00AE72D7"/>
    <w:rsid w:val="00AF05BB"/>
    <w:rsid w:val="00AF1038"/>
    <w:rsid w:val="00AF2633"/>
    <w:rsid w:val="00AF74AF"/>
    <w:rsid w:val="00B01F39"/>
    <w:rsid w:val="00B05862"/>
    <w:rsid w:val="00B07D3B"/>
    <w:rsid w:val="00B11974"/>
    <w:rsid w:val="00B1264B"/>
    <w:rsid w:val="00B12CF8"/>
    <w:rsid w:val="00B15519"/>
    <w:rsid w:val="00B15922"/>
    <w:rsid w:val="00B244B9"/>
    <w:rsid w:val="00B27178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66DE0"/>
    <w:rsid w:val="00B72652"/>
    <w:rsid w:val="00B8133C"/>
    <w:rsid w:val="00B815A3"/>
    <w:rsid w:val="00B85C55"/>
    <w:rsid w:val="00B90B23"/>
    <w:rsid w:val="00B91CEE"/>
    <w:rsid w:val="00B94777"/>
    <w:rsid w:val="00B95BB2"/>
    <w:rsid w:val="00B95EBA"/>
    <w:rsid w:val="00BA0BC1"/>
    <w:rsid w:val="00BA1D82"/>
    <w:rsid w:val="00BA1FA3"/>
    <w:rsid w:val="00BA23D8"/>
    <w:rsid w:val="00BA27DA"/>
    <w:rsid w:val="00BA4230"/>
    <w:rsid w:val="00BA45FD"/>
    <w:rsid w:val="00BA5B9C"/>
    <w:rsid w:val="00BA7722"/>
    <w:rsid w:val="00BB4512"/>
    <w:rsid w:val="00BB4D49"/>
    <w:rsid w:val="00BB51F4"/>
    <w:rsid w:val="00BB58F0"/>
    <w:rsid w:val="00BB6439"/>
    <w:rsid w:val="00BB675F"/>
    <w:rsid w:val="00BC133F"/>
    <w:rsid w:val="00BC1D75"/>
    <w:rsid w:val="00BD05E4"/>
    <w:rsid w:val="00BD0936"/>
    <w:rsid w:val="00BD17B0"/>
    <w:rsid w:val="00BD3715"/>
    <w:rsid w:val="00BD4630"/>
    <w:rsid w:val="00BD4EBD"/>
    <w:rsid w:val="00BD5A47"/>
    <w:rsid w:val="00BD6E76"/>
    <w:rsid w:val="00BE6717"/>
    <w:rsid w:val="00BF36AE"/>
    <w:rsid w:val="00BF4092"/>
    <w:rsid w:val="00BF44F1"/>
    <w:rsid w:val="00BF4CD9"/>
    <w:rsid w:val="00C02E39"/>
    <w:rsid w:val="00C0301A"/>
    <w:rsid w:val="00C04F1A"/>
    <w:rsid w:val="00C05CCC"/>
    <w:rsid w:val="00C07F35"/>
    <w:rsid w:val="00C15993"/>
    <w:rsid w:val="00C17C49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4086A"/>
    <w:rsid w:val="00C42CA5"/>
    <w:rsid w:val="00C42FAF"/>
    <w:rsid w:val="00C456DD"/>
    <w:rsid w:val="00C47E7D"/>
    <w:rsid w:val="00C52DA0"/>
    <w:rsid w:val="00C53031"/>
    <w:rsid w:val="00C56AD1"/>
    <w:rsid w:val="00C60BBC"/>
    <w:rsid w:val="00C6644B"/>
    <w:rsid w:val="00C668FF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5F04"/>
    <w:rsid w:val="00C97E6F"/>
    <w:rsid w:val="00CA079E"/>
    <w:rsid w:val="00CA135D"/>
    <w:rsid w:val="00CA1722"/>
    <w:rsid w:val="00CA1806"/>
    <w:rsid w:val="00CA5872"/>
    <w:rsid w:val="00CA78F9"/>
    <w:rsid w:val="00CA7CAF"/>
    <w:rsid w:val="00CB06F8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12BC"/>
    <w:rsid w:val="00CD3324"/>
    <w:rsid w:val="00CD46EA"/>
    <w:rsid w:val="00CD4A18"/>
    <w:rsid w:val="00CD575C"/>
    <w:rsid w:val="00CD6257"/>
    <w:rsid w:val="00CD6E1E"/>
    <w:rsid w:val="00CD7A9C"/>
    <w:rsid w:val="00CE0770"/>
    <w:rsid w:val="00CE6C6E"/>
    <w:rsid w:val="00CE76FD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E81"/>
    <w:rsid w:val="00D0526B"/>
    <w:rsid w:val="00D07AA2"/>
    <w:rsid w:val="00D1081A"/>
    <w:rsid w:val="00D1556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7B55"/>
    <w:rsid w:val="00D47B8A"/>
    <w:rsid w:val="00D50703"/>
    <w:rsid w:val="00D531E4"/>
    <w:rsid w:val="00D53C47"/>
    <w:rsid w:val="00D53E59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1F5E"/>
    <w:rsid w:val="00DD2DD1"/>
    <w:rsid w:val="00DD639C"/>
    <w:rsid w:val="00DD67DA"/>
    <w:rsid w:val="00DD7940"/>
    <w:rsid w:val="00DE1840"/>
    <w:rsid w:val="00DE1B89"/>
    <w:rsid w:val="00DE476A"/>
    <w:rsid w:val="00DE5007"/>
    <w:rsid w:val="00DE59C6"/>
    <w:rsid w:val="00DF2E5A"/>
    <w:rsid w:val="00DF3A69"/>
    <w:rsid w:val="00DF4305"/>
    <w:rsid w:val="00DF4D81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2995"/>
    <w:rsid w:val="00E32C50"/>
    <w:rsid w:val="00E3404F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7F9B"/>
    <w:rsid w:val="00E60634"/>
    <w:rsid w:val="00E6319B"/>
    <w:rsid w:val="00E6550B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CA0"/>
    <w:rsid w:val="00EA5D92"/>
    <w:rsid w:val="00EB083E"/>
    <w:rsid w:val="00EB307B"/>
    <w:rsid w:val="00EB5354"/>
    <w:rsid w:val="00EC3779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2CED"/>
    <w:rsid w:val="00F12DCE"/>
    <w:rsid w:val="00F13496"/>
    <w:rsid w:val="00F14346"/>
    <w:rsid w:val="00F14982"/>
    <w:rsid w:val="00F22A26"/>
    <w:rsid w:val="00F23C0F"/>
    <w:rsid w:val="00F2598D"/>
    <w:rsid w:val="00F26166"/>
    <w:rsid w:val="00F32739"/>
    <w:rsid w:val="00F32845"/>
    <w:rsid w:val="00F336A2"/>
    <w:rsid w:val="00F36BA0"/>
    <w:rsid w:val="00F411C5"/>
    <w:rsid w:val="00F44AEB"/>
    <w:rsid w:val="00F45620"/>
    <w:rsid w:val="00F5304D"/>
    <w:rsid w:val="00F532E2"/>
    <w:rsid w:val="00F5470D"/>
    <w:rsid w:val="00F5638B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829B7"/>
    <w:rsid w:val="00F82DF0"/>
    <w:rsid w:val="00F84A4F"/>
    <w:rsid w:val="00F84ACE"/>
    <w:rsid w:val="00F8617B"/>
    <w:rsid w:val="00F863D7"/>
    <w:rsid w:val="00F9173C"/>
    <w:rsid w:val="00F975AD"/>
    <w:rsid w:val="00FA2D1E"/>
    <w:rsid w:val="00FA35EB"/>
    <w:rsid w:val="00FB18D0"/>
    <w:rsid w:val="00FB2241"/>
    <w:rsid w:val="00FB2315"/>
    <w:rsid w:val="00FB2ED6"/>
    <w:rsid w:val="00FB412B"/>
    <w:rsid w:val="00FB42E5"/>
    <w:rsid w:val="00FB59EE"/>
    <w:rsid w:val="00FB6B8F"/>
    <w:rsid w:val="00FC2522"/>
    <w:rsid w:val="00FC3C77"/>
    <w:rsid w:val="00FC5B56"/>
    <w:rsid w:val="00FD4B12"/>
    <w:rsid w:val="00FD5009"/>
    <w:rsid w:val="00FD55C9"/>
    <w:rsid w:val="00FD62DC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bcas.cz/o-nas/broker-consulting-index-hypotecnich-uve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yperlink" Target="mailto:michaela.sahulova@bcas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9A237-4D34-4289-BA26-186DDE8C1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4086</TotalTime>
  <Pages>3</Pages>
  <Words>1002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51</cp:revision>
  <cp:lastPrinted>2023-03-06T11:31:00Z</cp:lastPrinted>
  <dcterms:created xsi:type="dcterms:W3CDTF">2023-09-01T15:38:00Z</dcterms:created>
  <dcterms:modified xsi:type="dcterms:W3CDTF">2023-09-06T08:47:00Z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