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BC331D" w:rsidRDefault="00D80B6D" w:rsidP="00D80B6D">
          <w:pPr>
            <w:spacing w:before="230"/>
            <w:ind w:left="165"/>
            <w:jc w:val="center"/>
            <w:rPr>
              <w:rFonts w:asciiTheme="minorHAnsi" w:hAnsiTheme="minorHAnsi" w:cstheme="minorHAnsi"/>
              <w:color w:val="CD1719"/>
              <w:sz w:val="24"/>
            </w:rPr>
          </w:pPr>
          <w:r w:rsidRPr="00BC331D">
            <w:rPr>
              <w:rFonts w:asciiTheme="minorHAnsi" w:hAnsiTheme="minorHAnsi" w:cstheme="minorHAnsi"/>
              <w:color w:val="1D1D1B"/>
              <w:sz w:val="24"/>
            </w:rPr>
            <w:t xml:space="preserve">INDEX HYPOTEČNÍCH ÚVĚRŮ </w:t>
          </w:r>
          <w:r w:rsidRPr="00BC331D">
            <w:rPr>
              <w:rFonts w:asciiTheme="minorHAnsi" w:hAnsiTheme="minorHAnsi" w:cstheme="minorHAnsi"/>
              <w:color w:val="CD1719"/>
              <w:sz w:val="24"/>
            </w:rPr>
            <w:t xml:space="preserve">| </w:t>
          </w:r>
          <w:r w:rsidRPr="00BC331D">
            <w:rPr>
              <w:rFonts w:asciiTheme="minorHAnsi" w:hAnsiTheme="minorHAnsi" w:cstheme="minorHAnsi"/>
              <w:color w:val="1D1D1B"/>
              <w:sz w:val="24"/>
            </w:rPr>
            <w:t xml:space="preserve">FIXINDEX </w:t>
          </w:r>
        </w:p>
        <w:p w14:paraId="6D3B5ACD" w14:textId="14F47C98" w:rsidR="00BC331D" w:rsidRPr="00BC331D" w:rsidRDefault="00BC331D" w:rsidP="00D80B6D">
          <w:pPr>
            <w:spacing w:before="230"/>
            <w:ind w:left="165"/>
            <w:jc w:val="center"/>
            <w:rPr>
              <w:rFonts w:asciiTheme="minorHAnsi" w:hAnsiTheme="minorHAnsi" w:cstheme="minorHAnsi"/>
              <w:color w:val="1D1D1B"/>
              <w:sz w:val="24"/>
            </w:rPr>
          </w:pPr>
          <w:r w:rsidRPr="00BC331D">
            <w:rPr>
              <w:rFonts w:asciiTheme="minorHAnsi" w:hAnsiTheme="minorHAnsi" w:cstheme="minorHAnsi"/>
              <w:color w:val="1D1D1B"/>
              <w:sz w:val="24"/>
            </w:rPr>
            <w:t>REALINDEX</w:t>
          </w:r>
        </w:p>
        <w:p w14:paraId="32900BCE" w14:textId="16FEEC9E" w:rsidR="00D80B6D" w:rsidRPr="00BC331D" w:rsidRDefault="00A252BA" w:rsidP="00D80B6D">
          <w:pPr>
            <w:spacing w:before="230"/>
            <w:ind w:left="165"/>
            <w:jc w:val="center"/>
            <w:rPr>
              <w:rFonts w:asciiTheme="minorHAnsi" w:hAnsiTheme="minorHAnsi" w:cstheme="minorHAnsi"/>
              <w:color w:val="1D1D1B"/>
              <w:sz w:val="24"/>
            </w:rPr>
          </w:pPr>
          <w:r w:rsidRPr="00BC331D">
            <w:rPr>
              <w:rFonts w:asciiTheme="minorHAnsi" w:hAnsiTheme="minorHAnsi" w:cstheme="minorHAnsi"/>
              <w:color w:val="1D1D1B"/>
              <w:sz w:val="24"/>
            </w:rPr>
            <w:t>POV</w:t>
          </w:r>
          <w:r w:rsidR="00D80B6D" w:rsidRPr="00BC331D">
            <w:rPr>
              <w:rFonts w:asciiTheme="minorHAnsi" w:hAnsiTheme="minorHAnsi" w:cstheme="minorHAnsi"/>
              <w:color w:val="1D1D1B"/>
              <w:sz w:val="24"/>
            </w:rPr>
            <w:t xml:space="preserve">INDEX </w:t>
          </w:r>
        </w:p>
        <w:p w14:paraId="35B1FBE8" w14:textId="77777777" w:rsidR="00BC331D" w:rsidRPr="00BC331D" w:rsidRDefault="00BC331D" w:rsidP="00BC331D">
          <w:pPr>
            <w:spacing w:before="240" w:line="288" w:lineRule="exact"/>
            <w:ind w:left="162"/>
            <w:jc w:val="center"/>
            <w:rPr>
              <w:rFonts w:asciiTheme="minorHAnsi" w:hAnsiTheme="minorHAnsi" w:cstheme="minorHAnsi"/>
              <w:color w:val="1D1D1B"/>
              <w:sz w:val="24"/>
            </w:rPr>
          </w:pPr>
          <w:r w:rsidRPr="00BC331D">
            <w:rPr>
              <w:rFonts w:asciiTheme="minorHAnsi" w:hAnsiTheme="minorHAnsi" w:cstheme="minorHAnsi"/>
              <w:color w:val="1D1D1B"/>
              <w:sz w:val="24"/>
            </w:rPr>
            <w:t>INDEX PODÍLOVÝCH FONDŮ</w:t>
          </w:r>
        </w:p>
        <w:p w14:paraId="5B21B8A6" w14:textId="616329FC" w:rsidR="00D80B6D" w:rsidRPr="00BC331D" w:rsidRDefault="00D80B6D" w:rsidP="00BC331D">
          <w:pPr>
            <w:spacing w:before="230"/>
            <w:jc w:val="center"/>
            <w:rPr>
              <w:rFonts w:asciiTheme="minorHAnsi" w:hAnsiTheme="minorHAnsi" w:cstheme="minorHAnsi"/>
              <w:b/>
              <w:color w:val="CD1719"/>
              <w:sz w:val="24"/>
            </w:rPr>
          </w:pPr>
          <w:r w:rsidRPr="00BC331D">
            <w:rPr>
              <w:rFonts w:asciiTheme="minorHAnsi" w:hAnsiTheme="minorHAnsi" w:cstheme="minorHAnsi"/>
              <w:b/>
              <w:color w:val="1D1D1B"/>
              <w:sz w:val="24"/>
            </w:rPr>
            <w:t>INDEX SPOTŘEBITELSKÝCH ÚVĚRŮ</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BC331D" w:rsidRDefault="0068617E" w:rsidP="00D80B6D">
          <w:pPr>
            <w:pStyle w:val="Zkladntext"/>
            <w:jc w:val="both"/>
            <w:rPr>
              <w:rFonts w:asciiTheme="minorHAnsi" w:hAnsiTheme="minorHAnsi" w:cstheme="minorHAnsi"/>
              <w:b/>
              <w:sz w:val="20"/>
              <w:highlight w:val="yellow"/>
            </w:rPr>
          </w:pPr>
        </w:p>
        <w:p w14:paraId="11132A3F" w14:textId="53DE594E" w:rsidR="00D80B6D" w:rsidRPr="00BC331D" w:rsidRDefault="00D80B6D" w:rsidP="00D80B6D">
          <w:pPr>
            <w:pStyle w:val="Zkladntext"/>
            <w:jc w:val="both"/>
            <w:rPr>
              <w:rFonts w:asciiTheme="minorHAnsi" w:hAnsiTheme="minorHAnsi" w:cstheme="minorHAnsi"/>
              <w:b/>
              <w:sz w:val="20"/>
            </w:rPr>
          </w:pPr>
          <w:r w:rsidRPr="00BC331D">
            <w:rPr>
              <w:rFonts w:asciiTheme="minorHAnsi" w:hAnsiTheme="minorHAnsi" w:cstheme="minorHAnsi"/>
              <w:b/>
              <w:sz w:val="20"/>
            </w:rPr>
            <w:t>O společnosti Broker Consulting</w:t>
          </w:r>
        </w:p>
        <w:p w14:paraId="27485CC6" w14:textId="77777777" w:rsidR="00D80B6D" w:rsidRPr="00BC331D" w:rsidRDefault="00D80B6D" w:rsidP="00D80B6D">
          <w:pPr>
            <w:jc w:val="both"/>
            <w:rPr>
              <w:rFonts w:asciiTheme="minorHAnsi" w:hAnsiTheme="minorHAnsi" w:cstheme="minorHAnsi"/>
              <w:sz w:val="20"/>
            </w:rPr>
          </w:pPr>
        </w:p>
        <w:p w14:paraId="08070DCC" w14:textId="4A7C741F" w:rsidR="00792EE9" w:rsidRPr="00BC331D" w:rsidRDefault="00792EE9" w:rsidP="00792EE9">
          <w:pPr>
            <w:jc w:val="both"/>
            <w:rPr>
              <w:rStyle w:val="dn"/>
              <w:rFonts w:asciiTheme="minorHAnsi" w:hAnsiTheme="minorHAnsi" w:cstheme="minorHAnsi"/>
              <w:sz w:val="20"/>
              <w:szCs w:val="20"/>
            </w:rPr>
          </w:pPr>
          <w:r w:rsidRPr="00BC331D">
            <w:rPr>
              <w:rFonts w:asciiTheme="minorHAnsi" w:hAnsiTheme="minorHAnsi" w:cstheme="minorHAnsi"/>
              <w:sz w:val="20"/>
              <w:szCs w:val="20"/>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C41741" w:rsidRPr="00BC331D">
            <w:rPr>
              <w:rFonts w:asciiTheme="minorHAnsi" w:hAnsiTheme="minorHAnsi" w:cstheme="minorHAnsi"/>
              <w:sz w:val="20"/>
              <w:szCs w:val="20"/>
            </w:rPr>
            <w:t xml:space="preserve">přes </w:t>
          </w:r>
          <w:r w:rsidR="002141AF" w:rsidRPr="00BC331D">
            <w:rPr>
              <w:rFonts w:asciiTheme="minorHAnsi" w:hAnsiTheme="minorHAnsi" w:cstheme="minorHAnsi"/>
              <w:sz w:val="20"/>
              <w:szCs w:val="20"/>
            </w:rPr>
            <w:t>4</w:t>
          </w:r>
          <w:r w:rsidR="00C41741" w:rsidRPr="00BC331D">
            <w:rPr>
              <w:rFonts w:asciiTheme="minorHAnsi" w:hAnsiTheme="minorHAnsi" w:cstheme="minorHAnsi"/>
              <w:sz w:val="20"/>
              <w:szCs w:val="20"/>
            </w:rPr>
            <w:t>0</w:t>
          </w:r>
          <w:r w:rsidRPr="00BC331D">
            <w:rPr>
              <w:rFonts w:asciiTheme="minorHAnsi" w:hAnsiTheme="minorHAnsi" w:cstheme="minorHAnsi"/>
              <w:sz w:val="20"/>
              <w:szCs w:val="20"/>
            </w:rPr>
            <w:t xml:space="preserve"> franšízových </w:t>
          </w:r>
          <w:proofErr w:type="spellStart"/>
          <w:r w:rsidRPr="00BC331D">
            <w:rPr>
              <w:rFonts w:asciiTheme="minorHAnsi" w:hAnsiTheme="minorHAnsi" w:cstheme="minorHAnsi"/>
              <w:sz w:val="20"/>
              <w:szCs w:val="20"/>
            </w:rPr>
            <w:t>poboč</w:t>
          </w:r>
          <w:r w:rsidR="00C41741" w:rsidRPr="00BC331D">
            <w:rPr>
              <w:rFonts w:asciiTheme="minorHAnsi" w:hAnsiTheme="minorHAnsi" w:cstheme="minorHAnsi"/>
              <w:sz w:val="20"/>
              <w:szCs w:val="20"/>
            </w:rPr>
            <w:t>eká</w:t>
          </w:r>
          <w:proofErr w:type="spellEnd"/>
          <w:r w:rsidRPr="00BC331D">
            <w:rPr>
              <w:rFonts w:asciiTheme="minorHAnsi" w:hAnsiTheme="minorHAnsi" w:cstheme="minorHAnsi"/>
              <w:sz w:val="20"/>
              <w:szCs w:val="20"/>
            </w:rPr>
            <w:t xml:space="preserve">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w:t>
          </w:r>
          <w:r w:rsidR="00243C49" w:rsidRPr="00BC331D">
            <w:rPr>
              <w:rFonts w:asciiTheme="minorHAnsi" w:hAnsiTheme="minorHAnsi" w:cstheme="minorHAnsi"/>
              <w:sz w:val="20"/>
              <w:szCs w:val="20"/>
            </w:rPr>
            <w:t xml:space="preserve"> Broker Consulting</w:t>
          </w:r>
          <w:r w:rsidRPr="00BC331D">
            <w:rPr>
              <w:rFonts w:asciiTheme="minorHAnsi" w:hAnsiTheme="minorHAnsi" w:cstheme="minorHAnsi"/>
              <w:sz w:val="20"/>
              <w:szCs w:val="20"/>
            </w:rPr>
            <w:t xml:space="preserve">. </w:t>
          </w:r>
          <w:r w:rsidRPr="00BC331D">
            <w:rPr>
              <w:rStyle w:val="dn"/>
              <w:rFonts w:asciiTheme="minorHAnsi" w:hAnsiTheme="minorHAnsi" w:cstheme="minorHAnsi"/>
              <w:sz w:val="20"/>
              <w:szCs w:val="20"/>
            </w:rPr>
            <w:t xml:space="preserve">Více na </w:t>
          </w:r>
          <w:hyperlink r:id="rId9" w:history="1">
            <w:r w:rsidRPr="00BC331D">
              <w:rPr>
                <w:rStyle w:val="Hypertextovodkaz"/>
                <w:rFonts w:asciiTheme="minorHAnsi" w:hAnsiTheme="minorHAnsi" w:cstheme="minorHAnsi"/>
                <w:color w:val="FF0000"/>
                <w:sz w:val="20"/>
                <w:szCs w:val="20"/>
              </w:rPr>
              <w:t>www.bcas.cz</w:t>
            </w:r>
          </w:hyperlink>
          <w:r w:rsidRPr="00BC331D">
            <w:rPr>
              <w:rStyle w:val="Hypertextovodkaz"/>
              <w:rFonts w:asciiTheme="minorHAnsi" w:hAnsiTheme="minorHAnsi" w:cstheme="minorHAnsi"/>
              <w:sz w:val="20"/>
              <w:szCs w:val="20"/>
            </w:rPr>
            <w:t xml:space="preserve">, </w:t>
          </w:r>
          <w:hyperlink r:id="rId10" w:history="1">
            <w:r w:rsidRPr="00BC331D">
              <w:rPr>
                <w:rStyle w:val="Hypertextovodkaz"/>
                <w:rFonts w:asciiTheme="minorHAnsi" w:hAnsiTheme="minorHAnsi" w:cstheme="minorHAnsi"/>
                <w:color w:val="FF0000"/>
                <w:sz w:val="20"/>
                <w:szCs w:val="20"/>
              </w:rPr>
              <w:t>www.okpointy.cz</w:t>
            </w:r>
          </w:hyperlink>
          <w:r w:rsidR="004F6195" w:rsidRPr="00BC331D">
            <w:rPr>
              <w:rStyle w:val="Hypertextovodkaz"/>
              <w:rFonts w:asciiTheme="minorHAnsi" w:hAnsiTheme="minorHAnsi" w:cstheme="minorHAnsi"/>
              <w:color w:val="FF0000"/>
              <w:sz w:val="20"/>
              <w:szCs w:val="20"/>
            </w:rPr>
            <w:t>, www.okpoint.tv</w:t>
          </w:r>
          <w:r w:rsidRPr="00BC331D">
            <w:rPr>
              <w:rStyle w:val="dn"/>
              <w:rFonts w:asciiTheme="minorHAnsi" w:hAnsiTheme="minorHAnsi" w:cstheme="minorHAnsi"/>
              <w:sz w:val="20"/>
              <w:szCs w:val="20"/>
            </w:rPr>
            <w:t xml:space="preserve"> a na </w:t>
          </w:r>
          <w:hyperlink r:id="rId11" w:history="1">
            <w:r w:rsidRPr="00BC331D">
              <w:rPr>
                <w:rStyle w:val="Hypertextovodkaz"/>
                <w:rFonts w:asciiTheme="minorHAnsi" w:hAnsiTheme="minorHAnsi" w:cstheme="minorHAnsi"/>
                <w:color w:val="FF0000"/>
                <w:sz w:val="20"/>
                <w:szCs w:val="20"/>
              </w:rPr>
              <w:t>www.realityspolu.cz</w:t>
            </w:r>
          </w:hyperlink>
          <w:r w:rsidRPr="00BC331D">
            <w:rPr>
              <w:rStyle w:val="dn"/>
              <w:rFonts w:asciiTheme="minorHAnsi" w:hAnsiTheme="minorHAnsi" w:cstheme="minorHAnsi"/>
              <w:sz w:val="20"/>
              <w:szCs w:val="20"/>
            </w:rPr>
            <w:t xml:space="preserve">. Navštivte také náš </w:t>
          </w:r>
          <w:hyperlink r:id="rId12" w:history="1">
            <w:r w:rsidRPr="00BC331D">
              <w:rPr>
                <w:rStyle w:val="Hypertextovodkaz"/>
                <w:rFonts w:asciiTheme="minorHAnsi" w:hAnsiTheme="minorHAnsi" w:cstheme="minorHAnsi"/>
                <w:color w:val="FF0000"/>
                <w:sz w:val="20"/>
                <w:szCs w:val="20"/>
              </w:rPr>
              <w:t>Facebook</w:t>
            </w:r>
          </w:hyperlink>
          <w:r w:rsidRPr="00BC331D">
            <w:rPr>
              <w:rStyle w:val="dn"/>
              <w:rFonts w:asciiTheme="minorHAnsi" w:hAnsiTheme="minorHAnsi" w:cstheme="minorHAnsi"/>
              <w:color w:val="FF0000"/>
              <w:sz w:val="20"/>
              <w:szCs w:val="20"/>
            </w:rPr>
            <w:t xml:space="preserve"> </w:t>
          </w:r>
          <w:r w:rsidRPr="00BC331D">
            <w:rPr>
              <w:rStyle w:val="dn"/>
              <w:rFonts w:asciiTheme="minorHAnsi" w:hAnsiTheme="minorHAnsi" w:cstheme="minorHAnsi"/>
              <w:sz w:val="20"/>
              <w:szCs w:val="20"/>
            </w:rPr>
            <w:t xml:space="preserve">a </w:t>
          </w:r>
          <w:hyperlink r:id="rId13" w:history="1">
            <w:r w:rsidRPr="00BC331D">
              <w:rPr>
                <w:rStyle w:val="Hypertextovodkaz"/>
                <w:rFonts w:asciiTheme="minorHAnsi" w:hAnsiTheme="minorHAnsi" w:cstheme="minorHAnsi"/>
                <w:color w:val="FF0000"/>
                <w:sz w:val="20"/>
                <w:szCs w:val="20"/>
              </w:rPr>
              <w:t>LinkedIN</w:t>
            </w:r>
          </w:hyperlink>
          <w:r w:rsidRPr="00BC331D">
            <w:rPr>
              <w:rStyle w:val="dn"/>
              <w:rFonts w:asciiTheme="minorHAnsi" w:hAnsiTheme="minorHAnsi" w:cstheme="minorHAnsi"/>
              <w:sz w:val="20"/>
              <w:szCs w:val="20"/>
            </w:rPr>
            <w:t xml:space="preserve"> Broker Consulting a </w:t>
          </w:r>
          <w:hyperlink r:id="rId14" w:history="1">
            <w:r w:rsidRPr="00BC331D">
              <w:rPr>
                <w:rStyle w:val="Hypertextovodkaz"/>
                <w:rFonts w:asciiTheme="minorHAnsi" w:hAnsiTheme="minorHAnsi" w:cstheme="minorHAnsi"/>
                <w:color w:val="FF0000"/>
                <w:sz w:val="20"/>
                <w:szCs w:val="20"/>
              </w:rPr>
              <w:t>Facebook</w:t>
            </w:r>
          </w:hyperlink>
          <w:r w:rsidRPr="00BC331D">
            <w:rPr>
              <w:rStyle w:val="dn"/>
              <w:rFonts w:asciiTheme="minorHAnsi" w:hAnsiTheme="minorHAnsi" w:cstheme="minorHAnsi"/>
              <w:color w:val="FF0000"/>
              <w:sz w:val="20"/>
              <w:szCs w:val="20"/>
            </w:rPr>
            <w:t xml:space="preserve"> </w:t>
          </w:r>
          <w:r w:rsidRPr="00BC331D">
            <w:rPr>
              <w:rStyle w:val="dn"/>
              <w:rFonts w:asciiTheme="minorHAnsi" w:hAnsiTheme="minorHAnsi" w:cstheme="minorHAnsi"/>
              <w:sz w:val="20"/>
              <w:szCs w:val="20"/>
            </w:rPr>
            <w:t xml:space="preserve">a </w:t>
          </w:r>
          <w:hyperlink r:id="rId15" w:history="1">
            <w:r w:rsidRPr="00BC331D">
              <w:rPr>
                <w:rStyle w:val="Hypertextovodkaz"/>
                <w:rFonts w:asciiTheme="minorHAnsi" w:hAnsiTheme="minorHAnsi" w:cstheme="minorHAnsi"/>
                <w:color w:val="FF0000"/>
                <w:sz w:val="20"/>
                <w:szCs w:val="20"/>
              </w:rPr>
              <w:t>LinkedI</w:t>
            </w:r>
          </w:hyperlink>
          <w:r w:rsidRPr="00BC331D">
            <w:rPr>
              <w:rStyle w:val="Hypertextovodkaz"/>
              <w:rFonts w:asciiTheme="minorHAnsi" w:hAnsiTheme="minorHAnsi" w:cstheme="minorHAnsi"/>
              <w:color w:val="FF0000"/>
              <w:sz w:val="20"/>
              <w:szCs w:val="20"/>
            </w:rPr>
            <w:t>N</w:t>
          </w:r>
          <w:r w:rsidRPr="00BC331D">
            <w:rPr>
              <w:rStyle w:val="dn"/>
              <w:rFonts w:asciiTheme="minorHAnsi" w:hAnsiTheme="minorHAnsi" w:cstheme="minorHAnsi"/>
              <w:color w:val="FF0000"/>
              <w:sz w:val="20"/>
              <w:szCs w:val="20"/>
            </w:rPr>
            <w:t xml:space="preserve"> </w:t>
          </w:r>
          <w:r w:rsidRPr="00BC331D">
            <w:rPr>
              <w:rStyle w:val="dn"/>
              <w:rFonts w:asciiTheme="minorHAnsi" w:hAnsiTheme="minorHAnsi" w:cstheme="minorHAnsi"/>
              <w:sz w:val="20"/>
              <w:szCs w:val="20"/>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6"/>
              <w:footerReference w:type="default" r:id="rId17"/>
              <w:pgSz w:w="11910" w:h="16840"/>
              <w:pgMar w:top="960" w:right="740" w:bottom="0" w:left="720" w:header="708" w:footer="708" w:gutter="0"/>
              <w:cols w:space="708"/>
            </w:sectPr>
          </w:pPr>
        </w:p>
        <w:p w14:paraId="35539C65" w14:textId="7A3AAC27" w:rsidR="00D31127" w:rsidRPr="00FC2522" w:rsidRDefault="007274BA" w:rsidP="0025264B">
          <w:pPr>
            <w:rPr>
              <w:rFonts w:ascii="Arial" w:hAnsi="Arial" w:cs="Arial"/>
              <w:b/>
              <w:sz w:val="20"/>
              <w:szCs w:val="20"/>
              <w:highlight w:val="yellow"/>
            </w:rPr>
            <w:sectPr w:rsidR="00D31127" w:rsidRPr="00FC2522"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541E060F" w14:textId="6480ACC3" w:rsidR="00724267" w:rsidRPr="00B91131" w:rsidRDefault="00724267" w:rsidP="00B91131">
      <w:pPr>
        <w:rPr>
          <w:rFonts w:ascii="Arial" w:hAnsi="Arial" w:cs="Arial"/>
          <w:b/>
          <w:sz w:val="28"/>
          <w:szCs w:val="28"/>
        </w:rPr>
      </w:pPr>
    </w:p>
    <w:p w14:paraId="6A10485D" w14:textId="538C85AA" w:rsidR="00704D83" w:rsidRPr="00AD647D" w:rsidRDefault="006A5A20" w:rsidP="0053728E">
      <w:pPr>
        <w:rPr>
          <w:rFonts w:asciiTheme="minorHAnsi" w:hAnsiTheme="minorHAnsi" w:cstheme="minorHAnsi"/>
          <w:b/>
          <w:sz w:val="28"/>
          <w:szCs w:val="28"/>
        </w:rPr>
      </w:pPr>
      <w:r>
        <w:rPr>
          <w:rFonts w:ascii="Arial" w:hAnsi="Arial" w:cs="Arial"/>
          <w:b/>
          <w:sz w:val="28"/>
          <w:szCs w:val="28"/>
        </w:rPr>
        <w:t xml:space="preserve"> </w:t>
      </w:r>
    </w:p>
    <w:p w14:paraId="0F38772D" w14:textId="71F6DBE7" w:rsidR="00F21D05" w:rsidRDefault="00791E6F" w:rsidP="00F21D05">
      <w:pPr>
        <w:jc w:val="center"/>
        <w:rPr>
          <w:rFonts w:asciiTheme="minorHAnsi" w:hAnsiTheme="minorHAnsi" w:cstheme="minorHAnsi"/>
          <w:b/>
          <w:sz w:val="28"/>
          <w:szCs w:val="28"/>
        </w:rPr>
      </w:pPr>
      <w:r>
        <w:rPr>
          <w:rFonts w:asciiTheme="minorHAnsi" w:hAnsiTheme="minorHAnsi" w:cstheme="minorHAnsi"/>
          <w:b/>
          <w:sz w:val="28"/>
          <w:szCs w:val="28"/>
        </w:rPr>
        <w:t>V květnu se úrokové sazby přehouply přes 10 procent</w:t>
      </w:r>
    </w:p>
    <w:p w14:paraId="265F124C" w14:textId="77777777" w:rsidR="00112CC0" w:rsidRDefault="00112CC0" w:rsidP="00F21D05">
      <w:pPr>
        <w:jc w:val="center"/>
        <w:rPr>
          <w:rFonts w:asciiTheme="minorHAnsi" w:hAnsiTheme="minorHAnsi" w:cstheme="minorHAnsi"/>
          <w:b/>
          <w:sz w:val="28"/>
          <w:szCs w:val="28"/>
        </w:rPr>
      </w:pPr>
    </w:p>
    <w:p w14:paraId="5A945737" w14:textId="6E73607D" w:rsidR="00112CC0" w:rsidRPr="00112CC0" w:rsidRDefault="00112CC0" w:rsidP="00112CC0">
      <w:pPr>
        <w:pStyle w:val="Odstavecseseznamem"/>
        <w:numPr>
          <w:ilvl w:val="0"/>
          <w:numId w:val="4"/>
        </w:numPr>
        <w:ind w:left="357" w:right="40" w:hanging="357"/>
        <w:rPr>
          <w:rFonts w:asciiTheme="minorHAnsi" w:eastAsiaTheme="minorHAnsi" w:hAnsiTheme="minorHAnsi" w:cstheme="minorHAnsi"/>
          <w:b/>
          <w:lang w:bidi="ar-SA"/>
        </w:rPr>
      </w:pPr>
      <w:r w:rsidRPr="00112CC0">
        <w:rPr>
          <w:rFonts w:asciiTheme="minorHAnsi" w:eastAsiaTheme="minorHAnsi" w:hAnsiTheme="minorHAnsi" w:cstheme="minorHAnsi"/>
          <w:b/>
          <w:lang w:bidi="ar-SA"/>
        </w:rPr>
        <w:t xml:space="preserve">Broker Consulting Index </w:t>
      </w:r>
      <w:r w:rsidRPr="00112CC0">
        <w:rPr>
          <w:rFonts w:asciiTheme="minorHAnsi" w:eastAsiaTheme="minorHAnsi" w:hAnsiTheme="minorHAnsi" w:cstheme="minorHAnsi"/>
          <w:b/>
          <w:lang w:bidi="ar-SA"/>
        </w:rPr>
        <w:t>spotřebitelských úvěrů činil za květen 10,24</w:t>
      </w:r>
      <w:r w:rsidRPr="00112CC0">
        <w:rPr>
          <w:rFonts w:asciiTheme="minorHAnsi" w:eastAsiaTheme="minorHAnsi" w:hAnsiTheme="minorHAnsi" w:cstheme="minorHAnsi"/>
          <w:b/>
          <w:lang w:bidi="ar-SA"/>
        </w:rPr>
        <w:t xml:space="preserve"> procenta</w:t>
      </w:r>
    </w:p>
    <w:p w14:paraId="4B854038" w14:textId="4B00942C" w:rsidR="00112CC0" w:rsidRPr="00112CC0" w:rsidRDefault="00112CC0" w:rsidP="00112CC0">
      <w:pPr>
        <w:pStyle w:val="Odstavecseseznamem"/>
        <w:numPr>
          <w:ilvl w:val="0"/>
          <w:numId w:val="4"/>
        </w:numPr>
        <w:ind w:left="357" w:right="40" w:hanging="357"/>
        <w:rPr>
          <w:rFonts w:asciiTheme="minorHAnsi" w:eastAsiaTheme="minorHAnsi" w:hAnsiTheme="minorHAnsi" w:cstheme="minorHAnsi"/>
          <w:b/>
          <w:lang w:bidi="ar-SA"/>
        </w:rPr>
      </w:pPr>
      <w:r w:rsidRPr="00112CC0">
        <w:rPr>
          <w:rFonts w:asciiTheme="minorHAnsi" w:eastAsiaTheme="minorHAnsi" w:hAnsiTheme="minorHAnsi" w:cstheme="minorHAnsi"/>
          <w:b/>
          <w:lang w:bidi="ar-SA"/>
        </w:rPr>
        <w:t>Meziměsíčně se hodnota úrokových sazeb zvedla o necelý procentní bod</w:t>
      </w:r>
    </w:p>
    <w:p w14:paraId="70413320" w14:textId="6FB1E9F4" w:rsidR="00112CC0" w:rsidRPr="00112CC0" w:rsidRDefault="00112CC0" w:rsidP="00112CC0">
      <w:pPr>
        <w:pStyle w:val="Odstavecseseznamem"/>
        <w:numPr>
          <w:ilvl w:val="0"/>
          <w:numId w:val="4"/>
        </w:numPr>
        <w:ind w:left="357" w:right="40" w:hanging="357"/>
        <w:rPr>
          <w:rFonts w:asciiTheme="minorHAnsi" w:eastAsiaTheme="minorHAnsi" w:hAnsiTheme="minorHAnsi" w:cstheme="minorHAnsi"/>
          <w:b/>
          <w:lang w:bidi="ar-SA"/>
        </w:rPr>
      </w:pPr>
      <w:r w:rsidRPr="00112CC0">
        <w:rPr>
          <w:rFonts w:asciiTheme="minorHAnsi" w:eastAsiaTheme="minorHAnsi" w:hAnsiTheme="minorHAnsi" w:cstheme="minorHAnsi"/>
          <w:b/>
          <w:lang w:bidi="ar-SA"/>
        </w:rPr>
        <w:t>Nadále se očekává stagnace na trhu se spotřebitelskými úvěry</w:t>
      </w:r>
    </w:p>
    <w:p w14:paraId="1B5B0E18" w14:textId="77777777" w:rsidR="00F21D05" w:rsidRPr="00E84B41" w:rsidRDefault="00F21D05" w:rsidP="00704D83">
      <w:pPr>
        <w:jc w:val="center"/>
        <w:rPr>
          <w:rFonts w:asciiTheme="minorHAnsi" w:hAnsiTheme="minorHAnsi" w:cs="Arial"/>
          <w:b/>
          <w:sz w:val="28"/>
          <w:szCs w:val="28"/>
        </w:rPr>
      </w:pPr>
      <w:bookmarkStart w:id="0" w:name="_GoBack"/>
      <w:bookmarkEnd w:id="0"/>
    </w:p>
    <w:p w14:paraId="1096ED73" w14:textId="1A8F3291" w:rsidR="00791E6F" w:rsidRPr="00E84B41" w:rsidRDefault="008C3A59" w:rsidP="00F21D05">
      <w:pPr>
        <w:jc w:val="both"/>
        <w:rPr>
          <w:rFonts w:asciiTheme="minorHAnsi" w:hAnsiTheme="minorHAnsi" w:cstheme="minorHAnsi"/>
          <w:b/>
        </w:rPr>
      </w:pPr>
      <w:r w:rsidRPr="007F13CC">
        <w:rPr>
          <w:rFonts w:asciiTheme="minorHAnsi" w:hAnsiTheme="minorHAnsi" w:cstheme="minorHAnsi"/>
          <w:b/>
          <w:i/>
        </w:rPr>
        <w:t>Praha,</w:t>
      </w:r>
      <w:r w:rsidR="004372BB" w:rsidRPr="007F13CC">
        <w:rPr>
          <w:rFonts w:asciiTheme="minorHAnsi" w:hAnsiTheme="minorHAnsi" w:cstheme="minorHAnsi"/>
          <w:b/>
          <w:i/>
        </w:rPr>
        <w:t xml:space="preserve"> 30. května</w:t>
      </w:r>
      <w:r w:rsidR="00F21D05" w:rsidRPr="007F13CC">
        <w:rPr>
          <w:rFonts w:asciiTheme="minorHAnsi" w:hAnsiTheme="minorHAnsi" w:cstheme="minorHAnsi"/>
          <w:b/>
          <w:i/>
        </w:rPr>
        <w:t xml:space="preserve"> 2023</w:t>
      </w:r>
      <w:r w:rsidR="00F21D05" w:rsidRPr="00E84B41">
        <w:rPr>
          <w:rFonts w:asciiTheme="minorHAnsi" w:hAnsiTheme="minorHAnsi" w:cstheme="minorHAnsi"/>
          <w:b/>
        </w:rPr>
        <w:t xml:space="preserve"> </w:t>
      </w:r>
      <w:r w:rsidR="00791E6F" w:rsidRPr="00E84B41">
        <w:rPr>
          <w:rFonts w:asciiTheme="minorHAnsi" w:hAnsiTheme="minorHAnsi" w:cstheme="minorHAnsi"/>
          <w:b/>
        </w:rPr>
        <w:t>–</w:t>
      </w:r>
      <w:r w:rsidR="00F21D05" w:rsidRPr="00E84B41">
        <w:rPr>
          <w:rFonts w:asciiTheme="minorHAnsi" w:hAnsiTheme="minorHAnsi" w:cstheme="minorHAnsi"/>
          <w:b/>
        </w:rPr>
        <w:t xml:space="preserve"> </w:t>
      </w:r>
      <w:r w:rsidR="00934CD7" w:rsidRPr="00E84B41">
        <w:rPr>
          <w:rFonts w:asciiTheme="minorHAnsi" w:hAnsiTheme="minorHAnsi" w:cstheme="minorHAnsi"/>
          <w:b/>
        </w:rPr>
        <w:t xml:space="preserve">Hodnota Broker </w:t>
      </w:r>
      <w:r w:rsidR="00115429" w:rsidRPr="00E84B41">
        <w:rPr>
          <w:rFonts w:asciiTheme="minorHAnsi" w:hAnsiTheme="minorHAnsi" w:cstheme="minorHAnsi"/>
          <w:b/>
        </w:rPr>
        <w:t>Cons</w:t>
      </w:r>
      <w:r w:rsidR="000D68AC" w:rsidRPr="00E84B41">
        <w:rPr>
          <w:rFonts w:asciiTheme="minorHAnsi" w:hAnsiTheme="minorHAnsi" w:cstheme="minorHAnsi"/>
          <w:b/>
        </w:rPr>
        <w:t xml:space="preserve">ulting Indexu spotřebitelských úvěrů v květnu dosáhla nového maxima a zastavila se na 10,24 procentech. Meziměsíčně došlo k nárůstu </w:t>
      </w:r>
      <w:r w:rsidR="00812394" w:rsidRPr="00E84B41">
        <w:rPr>
          <w:rFonts w:asciiTheme="minorHAnsi" w:hAnsiTheme="minorHAnsi" w:cstheme="minorHAnsi"/>
          <w:b/>
        </w:rPr>
        <w:t>o 0,91 procentního bodu.</w:t>
      </w:r>
      <w:r w:rsidR="000D68AC" w:rsidRPr="00E84B41">
        <w:rPr>
          <w:rFonts w:asciiTheme="minorHAnsi" w:hAnsiTheme="minorHAnsi" w:cstheme="minorHAnsi"/>
          <w:b/>
        </w:rPr>
        <w:t xml:space="preserve"> </w:t>
      </w:r>
      <w:r w:rsidR="00812394" w:rsidRPr="00E84B41">
        <w:rPr>
          <w:rFonts w:asciiTheme="minorHAnsi" w:hAnsiTheme="minorHAnsi" w:cstheme="minorHAnsi"/>
          <w:b/>
        </w:rPr>
        <w:t>Podle expertů to odpovídá</w:t>
      </w:r>
      <w:r w:rsidR="000D68AC" w:rsidRPr="00E84B41">
        <w:rPr>
          <w:rFonts w:asciiTheme="minorHAnsi" w:hAnsiTheme="minorHAnsi" w:cstheme="minorHAnsi"/>
          <w:b/>
        </w:rPr>
        <w:t xml:space="preserve"> </w:t>
      </w:r>
      <w:r w:rsidR="00812394" w:rsidRPr="00E84B41">
        <w:rPr>
          <w:rFonts w:asciiTheme="minorHAnsi" w:hAnsiTheme="minorHAnsi" w:cstheme="minorHAnsi"/>
          <w:b/>
        </w:rPr>
        <w:t xml:space="preserve">stabilitě se spíše výjimečnými výkyvy </w:t>
      </w:r>
      <w:r w:rsidR="000D68AC" w:rsidRPr="00E84B41">
        <w:rPr>
          <w:rFonts w:asciiTheme="minorHAnsi" w:hAnsiTheme="minorHAnsi" w:cstheme="minorHAnsi"/>
          <w:b/>
        </w:rPr>
        <w:t xml:space="preserve">na trhu se spotřebitelskými úvěry. </w:t>
      </w:r>
    </w:p>
    <w:p w14:paraId="46EFCB9E" w14:textId="399F27EB" w:rsidR="00791E6F" w:rsidRPr="00E84B41" w:rsidRDefault="00791E6F" w:rsidP="00F21D05">
      <w:pPr>
        <w:jc w:val="both"/>
        <w:rPr>
          <w:rFonts w:asciiTheme="minorHAnsi" w:hAnsiTheme="minorHAnsi" w:cstheme="minorHAnsi"/>
          <w:b/>
        </w:rPr>
      </w:pPr>
    </w:p>
    <w:p w14:paraId="7E4701CC" w14:textId="4B14B088" w:rsidR="00F21D05" w:rsidRPr="00E84B41" w:rsidRDefault="00812394" w:rsidP="00F21D05">
      <w:pPr>
        <w:jc w:val="both"/>
        <w:rPr>
          <w:rFonts w:asciiTheme="minorHAnsi" w:hAnsiTheme="minorHAnsi" w:cstheme="minorHAnsi"/>
        </w:rPr>
      </w:pPr>
      <w:r w:rsidRPr="00E84B41">
        <w:rPr>
          <w:rFonts w:asciiTheme="minorHAnsi" w:hAnsiTheme="minorHAnsi" w:cstheme="minorHAnsi"/>
        </w:rPr>
        <w:t xml:space="preserve">Výsledná hodnota Broker Consulting Indexu spotřebitelských úvěrů za květen meziměsíčně vzrostla o necelý jeden procentní bod a překročila tak doposud naměřené maximum, </w:t>
      </w:r>
      <w:r w:rsidR="00E84B41" w:rsidRPr="00E84B41">
        <w:rPr>
          <w:rFonts w:asciiTheme="minorHAnsi" w:hAnsiTheme="minorHAnsi" w:cstheme="minorHAnsi"/>
        </w:rPr>
        <w:t>které nyní činí 10,24 procenta. V porovnání s loňským květnem (7,28 procenta) jde o rozdíl o necelé tři procentní body, s předloňským dokonce o více než čtyři procentní body. V dalších měsících experti neočekávají výrazné výkyvy hodnot.</w:t>
      </w:r>
    </w:p>
    <w:p w14:paraId="1A9776DB" w14:textId="77777777" w:rsidR="00AD647D" w:rsidRPr="00E84B41" w:rsidRDefault="00AD647D" w:rsidP="00F21D05">
      <w:pPr>
        <w:jc w:val="both"/>
        <w:rPr>
          <w:rFonts w:asciiTheme="minorHAnsi" w:hAnsiTheme="minorHAnsi" w:cs="Calibri"/>
        </w:rPr>
      </w:pPr>
    </w:p>
    <w:p w14:paraId="4326B599" w14:textId="6009A215" w:rsidR="00F21D05" w:rsidRPr="006870AB" w:rsidRDefault="00F21D05" w:rsidP="00E84B41">
      <w:pPr>
        <w:rPr>
          <w:rFonts w:asciiTheme="minorHAnsi" w:hAnsiTheme="minorHAnsi" w:cs="Arial"/>
        </w:rPr>
      </w:pPr>
      <w:r w:rsidRPr="006870AB">
        <w:rPr>
          <w:rFonts w:asciiTheme="minorHAnsi" w:hAnsiTheme="minorHAnsi" w:cs="Calibri"/>
        </w:rPr>
        <w:t>„</w:t>
      </w:r>
      <w:r w:rsidR="00E84B41" w:rsidRPr="006870AB">
        <w:rPr>
          <w:rFonts w:asciiTheme="minorHAnsi" w:hAnsiTheme="minorHAnsi" w:cs="Arial"/>
          <w:i/>
        </w:rPr>
        <w:t>D</w:t>
      </w:r>
      <w:r w:rsidR="00E84B41" w:rsidRPr="006870AB">
        <w:rPr>
          <w:rFonts w:asciiTheme="minorHAnsi" w:hAnsiTheme="minorHAnsi" w:cs="Arial"/>
          <w:i/>
        </w:rPr>
        <w:t xml:space="preserve">alší výrazný nárůst </w:t>
      </w:r>
      <w:r w:rsidR="00E84B41" w:rsidRPr="006870AB">
        <w:rPr>
          <w:rFonts w:asciiTheme="minorHAnsi" w:hAnsiTheme="minorHAnsi" w:cs="Arial"/>
          <w:i/>
        </w:rPr>
        <w:t>hodnot neočekáváme. S</w:t>
      </w:r>
      <w:r w:rsidR="00E84B41" w:rsidRPr="006870AB">
        <w:rPr>
          <w:rFonts w:asciiTheme="minorHAnsi" w:hAnsiTheme="minorHAnsi" w:cs="Arial"/>
          <w:i/>
        </w:rPr>
        <w:t xml:space="preserve">ituace na trhu spotřebitelských úvěrů je v poslední době </w:t>
      </w:r>
      <w:r w:rsidR="00E84B41" w:rsidRPr="006870AB">
        <w:rPr>
          <w:rFonts w:asciiTheme="minorHAnsi" w:hAnsiTheme="minorHAnsi" w:cs="Arial"/>
          <w:i/>
        </w:rPr>
        <w:t>poměrně stabilní</w:t>
      </w:r>
      <w:r w:rsidR="00E84B41" w:rsidRPr="006870AB">
        <w:rPr>
          <w:rFonts w:asciiTheme="minorHAnsi" w:hAnsiTheme="minorHAnsi" w:cs="Arial"/>
        </w:rPr>
        <w:t>,</w:t>
      </w:r>
      <w:r w:rsidRPr="006870AB">
        <w:rPr>
          <w:rFonts w:asciiTheme="minorHAnsi" w:hAnsiTheme="minorHAnsi" w:cs="Calibri"/>
        </w:rPr>
        <w:t xml:space="preserve">“ říká </w:t>
      </w:r>
      <w:r w:rsidRPr="006870AB">
        <w:rPr>
          <w:rFonts w:asciiTheme="minorHAnsi" w:hAnsiTheme="minorHAnsi" w:cs="Calibri"/>
          <w:b/>
        </w:rPr>
        <w:t xml:space="preserve">Michaela Pudilová, analytička hypotečních a spotřebitelských úvěrů ze společnosti Broker Consulting. </w:t>
      </w:r>
    </w:p>
    <w:p w14:paraId="7DE2ADF3" w14:textId="77777777" w:rsidR="00AD647D" w:rsidRPr="006870AB" w:rsidRDefault="00AD647D" w:rsidP="00F21D05">
      <w:pPr>
        <w:jc w:val="both"/>
        <w:rPr>
          <w:rFonts w:asciiTheme="minorHAnsi" w:hAnsiTheme="minorHAnsi" w:cs="Arial"/>
        </w:rPr>
      </w:pPr>
    </w:p>
    <w:p w14:paraId="0DA17BC8" w14:textId="5A7C6C7D" w:rsidR="000D68AC" w:rsidRPr="006870AB" w:rsidRDefault="00E84B41" w:rsidP="000D68AC">
      <w:pPr>
        <w:rPr>
          <w:rFonts w:asciiTheme="minorHAnsi" w:hAnsiTheme="minorHAnsi" w:cs="Arial"/>
        </w:rPr>
      </w:pPr>
      <w:r w:rsidRPr="006870AB">
        <w:rPr>
          <w:rFonts w:asciiTheme="minorHAnsi" w:hAnsiTheme="minorHAnsi" w:cstheme="minorHAnsi"/>
        </w:rPr>
        <w:t>Základním parametrem pro poskytování úvěrů je bonita klientů, jinými slovy, zda má vzhledem k pravidelným příjmům a výdajům žadatel dostatečné prostředky ke splácení úvěru. Příjmy lze dnes prokázat pravidelnými platbami na účet, které banka jednoduše akceptuje</w:t>
      </w:r>
      <w:r w:rsidR="006870AB" w:rsidRPr="006870AB">
        <w:rPr>
          <w:rFonts w:asciiTheme="minorHAnsi" w:hAnsiTheme="minorHAnsi" w:cstheme="minorHAnsi"/>
        </w:rPr>
        <w:t xml:space="preserve">. Ty mezi příjmy počítají také různé druhy příspěvků ze sociálního pojištění, například rodičovský příspěvek či starobní důchod. </w:t>
      </w:r>
      <w:r w:rsidR="006870AB" w:rsidRPr="006870AB">
        <w:rPr>
          <w:rFonts w:asciiTheme="minorHAnsi" w:hAnsiTheme="minorHAnsi" w:cs="Arial"/>
        </w:rPr>
        <w:t xml:space="preserve">Banky ale mohou mezi příjmy počítat jen jejich určitou část. Možností pro čerpání bezúčelového úvěru jsou také tzv. </w:t>
      </w:r>
      <w:proofErr w:type="spellStart"/>
      <w:r w:rsidR="006870AB" w:rsidRPr="006870AB">
        <w:rPr>
          <w:rFonts w:asciiTheme="minorHAnsi" w:hAnsiTheme="minorHAnsi" w:cs="Arial"/>
        </w:rPr>
        <w:t>předschválené</w:t>
      </w:r>
      <w:proofErr w:type="spellEnd"/>
      <w:r w:rsidR="006870AB" w:rsidRPr="006870AB">
        <w:rPr>
          <w:rFonts w:asciiTheme="minorHAnsi" w:hAnsiTheme="minorHAnsi" w:cs="Arial"/>
        </w:rPr>
        <w:t xml:space="preserve"> limity, které může mít klient dopředu připravené u své banky.</w:t>
      </w:r>
    </w:p>
    <w:p w14:paraId="23C39746" w14:textId="77777777" w:rsidR="006870AB" w:rsidRPr="006870AB" w:rsidRDefault="006870AB" w:rsidP="000D68AC">
      <w:pPr>
        <w:rPr>
          <w:rFonts w:asciiTheme="minorHAnsi" w:hAnsiTheme="minorHAnsi" w:cs="Arial"/>
        </w:rPr>
      </w:pPr>
    </w:p>
    <w:p w14:paraId="3089A78F" w14:textId="3918AA12" w:rsidR="006870AB" w:rsidRPr="006870AB" w:rsidRDefault="006870AB" w:rsidP="000D68AC">
      <w:pPr>
        <w:rPr>
          <w:rFonts w:asciiTheme="minorHAnsi" w:hAnsiTheme="minorHAnsi" w:cs="Arial"/>
        </w:rPr>
      </w:pPr>
      <w:r w:rsidRPr="006870AB">
        <w:rPr>
          <w:rFonts w:asciiTheme="minorHAnsi" w:hAnsiTheme="minorHAnsi" w:cs="Arial"/>
        </w:rPr>
        <w:t>Ačkoli je možné čerpat dnes úvěr na cokoliv, odborníci nabádají, aby klienti vždy posoudili, zda produkt či službu, na kterou si půjčují, skutečně potřebují. „</w:t>
      </w:r>
      <w:r w:rsidRPr="006870AB">
        <w:rPr>
          <w:rFonts w:asciiTheme="minorHAnsi" w:hAnsiTheme="minorHAnsi" w:cs="Arial"/>
          <w:i/>
        </w:rPr>
        <w:t>Vždy je potřeba při čerpání nového úvěru správně spočítat měsíční příjmy a výdaje. Zároveň je nutné uvědomit si, zda úvěr a jeho splácení příliš nezatíží rodinný rozpočet</w:t>
      </w:r>
      <w:r w:rsidRPr="006870AB">
        <w:rPr>
          <w:rFonts w:asciiTheme="minorHAnsi" w:hAnsiTheme="minorHAnsi" w:cs="Arial"/>
        </w:rPr>
        <w:t xml:space="preserve">,“ dodává </w:t>
      </w:r>
      <w:r w:rsidRPr="006870AB">
        <w:rPr>
          <w:rFonts w:asciiTheme="minorHAnsi" w:hAnsiTheme="minorHAnsi" w:cs="Arial"/>
          <w:b/>
        </w:rPr>
        <w:t>Pudilová</w:t>
      </w:r>
      <w:r w:rsidRPr="006870AB">
        <w:rPr>
          <w:rFonts w:asciiTheme="minorHAnsi" w:hAnsiTheme="minorHAnsi" w:cs="Arial"/>
        </w:rPr>
        <w:t>.</w:t>
      </w:r>
    </w:p>
    <w:p w14:paraId="4A8554D3" w14:textId="59A0A812" w:rsidR="00FD43E4" w:rsidRPr="00AD647D" w:rsidRDefault="00FD43E4" w:rsidP="00F21D05">
      <w:pPr>
        <w:jc w:val="both"/>
        <w:rPr>
          <w:rFonts w:asciiTheme="minorHAnsi" w:hAnsiTheme="minorHAnsi" w:cstheme="minorHAnsi"/>
        </w:rPr>
      </w:pPr>
    </w:p>
    <w:p w14:paraId="06A748C3" w14:textId="77777777" w:rsidR="00F21D05" w:rsidRPr="00F21D05" w:rsidRDefault="00F21D05" w:rsidP="00F21D05">
      <w:pPr>
        <w:jc w:val="both"/>
        <w:rPr>
          <w:rFonts w:ascii="Arial" w:hAnsi="Arial" w:cs="Arial"/>
          <w:i/>
        </w:rPr>
      </w:pPr>
    </w:p>
    <w:p w14:paraId="147111FB" w14:textId="0551CD47" w:rsidR="00F21D05" w:rsidRPr="00F21D05" w:rsidRDefault="00E4313E" w:rsidP="00F21D05">
      <w:pPr>
        <w:spacing w:line="360" w:lineRule="auto"/>
        <w:jc w:val="both"/>
        <w:rPr>
          <w:rFonts w:ascii="Arial" w:hAnsi="Arial" w:cs="Arial"/>
          <w:b/>
        </w:rPr>
      </w:pPr>
      <w:r w:rsidRPr="00E4313E">
        <w:rPr>
          <w:rFonts w:ascii="Arial" w:hAnsi="Arial" w:cs="Arial"/>
          <w:b/>
          <w:noProof/>
          <w:lang w:bidi="ar-SA"/>
        </w:rPr>
        <w:drawing>
          <wp:inline distT="0" distB="0" distL="0" distR="0" wp14:anchorId="2E3CDA4F" wp14:editId="7319B56B">
            <wp:extent cx="6635750" cy="2357120"/>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35750" cy="2357120"/>
                    </a:xfrm>
                    <a:prstGeom prst="rect">
                      <a:avLst/>
                    </a:prstGeom>
                  </pic:spPr>
                </pic:pic>
              </a:graphicData>
            </a:graphic>
          </wp:inline>
        </w:drawing>
      </w:r>
    </w:p>
    <w:p w14:paraId="5B2F26CC" w14:textId="3AF04E68" w:rsidR="00F10A3C" w:rsidRDefault="00F10A3C" w:rsidP="00F10A3C">
      <w:pPr>
        <w:pBdr>
          <w:bottom w:val="single" w:sz="2" w:space="1" w:color="auto"/>
        </w:pBdr>
        <w:jc w:val="both"/>
        <w:rPr>
          <w:rFonts w:ascii="Arial" w:hAnsi="Arial" w:cs="Arial"/>
          <w:b/>
          <w14:textOutline w14:w="6350" w14:cap="rnd" w14:cmpd="sng" w14:algn="ctr">
            <w14:solidFill>
              <w14:schemeClr w14:val="tx1"/>
            </w14:solidFill>
            <w14:prstDash w14:val="solid"/>
            <w14:bevel/>
          </w14:textOutline>
        </w:rPr>
      </w:pPr>
    </w:p>
    <w:p w14:paraId="0B4992BC" w14:textId="082DAC14" w:rsidR="00BE768F" w:rsidRPr="00AD647D" w:rsidRDefault="008F3C6D" w:rsidP="00F10A3C">
      <w:pPr>
        <w:spacing w:before="100" w:beforeAutospacing="1" w:after="120"/>
        <w:jc w:val="both"/>
        <w:rPr>
          <w:rFonts w:asciiTheme="minorHAnsi" w:hAnsiTheme="minorHAnsi" w:cstheme="minorHAnsi"/>
        </w:rPr>
      </w:pPr>
      <w:r w:rsidRPr="00AD647D">
        <w:rPr>
          <w:rFonts w:asciiTheme="minorHAnsi" w:hAnsiTheme="minorHAnsi" w:cstheme="minorHAnsi"/>
        </w:rPr>
        <w:t xml:space="preserve">Broker Consulting Index spotřebitelských úvěrů je analytický nástroj, který ukazuje průměrnou úrokovou sazbu </w:t>
      </w:r>
      <w:r w:rsidR="00BE768F" w:rsidRPr="00AD647D">
        <w:rPr>
          <w:rFonts w:asciiTheme="minorHAnsi" w:hAnsiTheme="minorHAnsi" w:cstheme="minorHAnsi"/>
        </w:rPr>
        <w:br/>
      </w:r>
      <w:r w:rsidRPr="00AD647D">
        <w:rPr>
          <w:rFonts w:asciiTheme="minorHAnsi" w:hAnsiTheme="minorHAnsi" w:cstheme="minorHAnsi"/>
        </w:rPr>
        <w:t xml:space="preserve">u spotřebitelských úvěrů, jež zprostředkovali konzultanti Broker Consulting a pobočky OK POINT u kteréhokoli poskytovatele bankovních úvěrů. Jedná se o vážený aritmetický průměr, kdy hlavní vahou je objem úvěru. Tedy čím vyšší úvěr, tím jeho sazba do Indexu vstupuje větší vahou. Výhodou metody výpočtu je to, že se do statistiky dostávají </w:t>
      </w:r>
      <w:r w:rsidRPr="00AD647D">
        <w:rPr>
          <w:rFonts w:asciiTheme="minorHAnsi" w:hAnsiTheme="minorHAnsi" w:cstheme="minorHAnsi"/>
        </w:rPr>
        <w:lastRenderedPageBreak/>
        <w:t>pouze  skutečně  schválené  úvěry, a to bez výjimky všechny. Nemůže tak dojít ke zkreslení informací a Index není závislý na datech dodávaných třetími stranami.</w:t>
      </w:r>
    </w:p>
    <w:p w14:paraId="2FA3FD44" w14:textId="6D26D12D" w:rsidR="008F3C6D" w:rsidRPr="00AD647D" w:rsidRDefault="008F3C6D" w:rsidP="00B51F55">
      <w:pPr>
        <w:tabs>
          <w:tab w:val="left" w:pos="7152"/>
        </w:tabs>
        <w:jc w:val="both"/>
        <w:rPr>
          <w:rFonts w:asciiTheme="minorHAnsi" w:hAnsiTheme="minorHAnsi" w:cstheme="minorHAnsi"/>
          <w:b/>
        </w:rPr>
      </w:pPr>
      <w:r w:rsidRPr="00AD647D">
        <w:rPr>
          <w:rFonts w:asciiTheme="minorHAnsi" w:hAnsiTheme="minorHAnsi" w:cstheme="minorHAnsi"/>
          <w:b/>
        </w:rPr>
        <w:tab/>
      </w:r>
      <w:r w:rsidR="00EB1036" w:rsidRPr="00AD647D">
        <w:rPr>
          <w:rFonts w:asciiTheme="minorHAnsi" w:hAnsiTheme="minorHAnsi" w:cstheme="minorHAnsi"/>
          <w:b/>
        </w:rPr>
        <w:br/>
      </w:r>
      <w:r w:rsidRPr="00AD647D">
        <w:rPr>
          <w:rFonts w:asciiTheme="minorHAnsi" w:hAnsiTheme="minorHAnsi" w:cstheme="minorHAnsi"/>
          <w:b/>
        </w:rPr>
        <w:t>Proč je dobré Index sledovat</w:t>
      </w:r>
      <w:r w:rsidRPr="00AD647D">
        <w:rPr>
          <w:rFonts w:asciiTheme="minorHAnsi" w:hAnsiTheme="minorHAnsi" w:cstheme="minorHAnsi"/>
          <w:b/>
        </w:rPr>
        <w:tab/>
      </w:r>
    </w:p>
    <w:p w14:paraId="19369C4D" w14:textId="072B9F25" w:rsidR="008F3C6D" w:rsidRPr="00AD647D" w:rsidRDefault="008F3C6D" w:rsidP="008F3C6D">
      <w:pPr>
        <w:jc w:val="both"/>
        <w:rPr>
          <w:rFonts w:asciiTheme="minorHAnsi" w:hAnsiTheme="minorHAnsi" w:cstheme="minorHAnsi"/>
        </w:rPr>
      </w:pPr>
      <w:r w:rsidRPr="00AD647D">
        <w:rPr>
          <w:rFonts w:asciiTheme="minorHAnsi" w:hAnsiTheme="minorHAnsi" w:cstheme="minorHAnsi"/>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 a úroková sazba je výrazněji vyšší než aktuální index, je potřeba zpozornět.</w:t>
      </w:r>
      <w:r w:rsidRPr="00AD647D">
        <w:rPr>
          <w:rFonts w:asciiTheme="minorHAnsi" w:hAnsiTheme="minorHAnsi" w:cstheme="minorHAnsi"/>
        </w:rPr>
        <w:tab/>
      </w:r>
    </w:p>
    <w:p w14:paraId="081149DD" w14:textId="1A4B59FC" w:rsidR="00CF7819" w:rsidRPr="0060554F" w:rsidRDefault="00CF7819" w:rsidP="00CF7819">
      <w:pPr>
        <w:pBdr>
          <w:bottom w:val="single" w:sz="4" w:space="1" w:color="auto"/>
        </w:pBdr>
        <w:jc w:val="both"/>
        <w:rPr>
          <w:rFonts w:ascii="Arial" w:hAnsi="Arial" w:cs="Arial"/>
          <w:sz w:val="20"/>
          <w:szCs w:val="20"/>
        </w:rPr>
      </w:pPr>
    </w:p>
    <w:p w14:paraId="5F16FECD" w14:textId="69AB3698" w:rsidR="008F3C6D" w:rsidRDefault="008F3C6D" w:rsidP="008F3C6D">
      <w:pPr>
        <w:jc w:val="both"/>
        <w:rPr>
          <w:sz w:val="20"/>
        </w:rPr>
      </w:pPr>
    </w:p>
    <w:p w14:paraId="6AF53FD1" w14:textId="77777777" w:rsidR="00B51F55" w:rsidRPr="00AD647D" w:rsidRDefault="00B51F55" w:rsidP="00B51F55">
      <w:pPr>
        <w:jc w:val="both"/>
        <w:rPr>
          <w:rFonts w:asciiTheme="minorHAnsi" w:hAnsiTheme="minorHAnsi" w:cstheme="minorHAnsi"/>
        </w:rPr>
      </w:pPr>
      <w:r w:rsidRPr="00AD647D">
        <w:rPr>
          <w:rFonts w:asciiTheme="minorHAnsi" w:hAnsiTheme="minorHAnsi" w:cstheme="minorHAnsi"/>
          <w:b/>
        </w:rPr>
        <w:t>Poznámka pro média:</w:t>
      </w:r>
      <w:r w:rsidRPr="00AD647D">
        <w:rPr>
          <w:rFonts w:asciiTheme="minorHAnsi" w:hAnsiTheme="minorHAnsi" w:cstheme="minorHAnsi"/>
        </w:rPr>
        <w:t xml:space="preserve"> </w:t>
      </w:r>
      <w:r w:rsidRPr="00AD647D">
        <w:rPr>
          <w:rFonts w:asciiTheme="minorHAnsi" w:hAnsiTheme="minorHAnsi" w:cstheme="minorHAnsi"/>
          <w:color w:val="1D1D1B"/>
          <w:w w:val="105"/>
        </w:rPr>
        <w:t>Broker</w:t>
      </w:r>
      <w:r w:rsidRPr="00AD647D">
        <w:rPr>
          <w:rFonts w:asciiTheme="minorHAnsi" w:hAnsiTheme="minorHAnsi" w:cstheme="minorHAnsi"/>
          <w:color w:val="1D1D1B"/>
          <w:spacing w:val="-9"/>
          <w:w w:val="105"/>
        </w:rPr>
        <w:t xml:space="preserve"> </w:t>
      </w:r>
      <w:r w:rsidRPr="00AD647D">
        <w:rPr>
          <w:rFonts w:asciiTheme="minorHAnsi" w:hAnsiTheme="minorHAnsi" w:cstheme="minorHAnsi"/>
          <w:color w:val="1D1D1B"/>
          <w:w w:val="105"/>
        </w:rPr>
        <w:t>Consulting</w:t>
      </w:r>
      <w:r w:rsidRPr="00AD647D">
        <w:rPr>
          <w:rFonts w:asciiTheme="minorHAnsi" w:hAnsiTheme="minorHAnsi" w:cstheme="minorHAnsi"/>
          <w:color w:val="1D1D1B"/>
          <w:spacing w:val="-8"/>
          <w:w w:val="105"/>
        </w:rPr>
        <w:t xml:space="preserve"> </w:t>
      </w:r>
      <w:r w:rsidRPr="00AD647D">
        <w:rPr>
          <w:rFonts w:asciiTheme="minorHAnsi" w:hAnsiTheme="minorHAnsi" w:cstheme="minorHAnsi"/>
          <w:color w:val="1D1D1B"/>
          <w:w w:val="105"/>
        </w:rPr>
        <w:t>Indexy</w:t>
      </w:r>
      <w:r w:rsidRPr="00AD647D">
        <w:rPr>
          <w:rFonts w:asciiTheme="minorHAnsi" w:hAnsiTheme="minorHAnsi" w:cstheme="minorHAnsi"/>
          <w:color w:val="1D1D1B"/>
          <w:spacing w:val="-9"/>
          <w:w w:val="105"/>
        </w:rPr>
        <w:t xml:space="preserve"> </w:t>
      </w:r>
      <w:r w:rsidRPr="00AD647D">
        <w:rPr>
          <w:rFonts w:asciiTheme="minorHAnsi" w:hAnsiTheme="minorHAnsi" w:cstheme="minorHAnsi"/>
          <w:color w:val="1D1D1B"/>
          <w:w w:val="105"/>
        </w:rPr>
        <w:t>je</w:t>
      </w:r>
      <w:r w:rsidRPr="00AD647D">
        <w:rPr>
          <w:rFonts w:asciiTheme="minorHAnsi" w:hAnsiTheme="minorHAnsi" w:cstheme="minorHAnsi"/>
          <w:color w:val="1D1D1B"/>
          <w:spacing w:val="-8"/>
          <w:w w:val="105"/>
        </w:rPr>
        <w:t xml:space="preserve"> </w:t>
      </w:r>
      <w:r w:rsidRPr="00AD647D">
        <w:rPr>
          <w:rFonts w:asciiTheme="minorHAnsi" w:hAnsiTheme="minorHAnsi" w:cstheme="minorHAnsi"/>
          <w:color w:val="1D1D1B"/>
          <w:w w:val="105"/>
        </w:rPr>
        <w:t>možné</w:t>
      </w:r>
      <w:r w:rsidRPr="00AD647D">
        <w:rPr>
          <w:rFonts w:asciiTheme="minorHAnsi" w:hAnsiTheme="minorHAnsi" w:cstheme="minorHAnsi"/>
          <w:color w:val="1D1D1B"/>
          <w:spacing w:val="-9"/>
          <w:w w:val="105"/>
        </w:rPr>
        <w:t xml:space="preserve"> </w:t>
      </w:r>
      <w:r w:rsidRPr="00AD647D">
        <w:rPr>
          <w:rFonts w:asciiTheme="minorHAnsi" w:hAnsiTheme="minorHAnsi" w:cstheme="minorHAnsi"/>
          <w:color w:val="1D1D1B"/>
          <w:w w:val="105"/>
        </w:rPr>
        <w:t>volně</w:t>
      </w:r>
      <w:r w:rsidRPr="00AD647D">
        <w:rPr>
          <w:rFonts w:asciiTheme="minorHAnsi" w:hAnsiTheme="minorHAnsi" w:cstheme="minorHAnsi"/>
          <w:color w:val="1D1D1B"/>
          <w:spacing w:val="-8"/>
          <w:w w:val="105"/>
        </w:rPr>
        <w:t xml:space="preserve"> </w:t>
      </w:r>
      <w:r w:rsidRPr="00AD647D">
        <w:rPr>
          <w:rFonts w:asciiTheme="minorHAnsi" w:hAnsiTheme="minorHAnsi" w:cstheme="minorHAnsi"/>
          <w:color w:val="1D1D1B"/>
          <w:spacing w:val="2"/>
          <w:w w:val="105"/>
        </w:rPr>
        <w:t>publikovat</w:t>
      </w:r>
      <w:r w:rsidRPr="00AD647D">
        <w:rPr>
          <w:rFonts w:asciiTheme="minorHAnsi" w:hAnsiTheme="minorHAnsi" w:cstheme="minorHAnsi"/>
          <w:color w:val="1D1D1B"/>
          <w:spacing w:val="-9"/>
          <w:w w:val="105"/>
        </w:rPr>
        <w:t xml:space="preserve"> </w:t>
      </w:r>
      <w:r w:rsidRPr="00AD647D">
        <w:rPr>
          <w:rFonts w:asciiTheme="minorHAnsi" w:hAnsiTheme="minorHAnsi" w:cstheme="minorHAnsi"/>
          <w:color w:val="1D1D1B"/>
          <w:w w:val="105"/>
        </w:rPr>
        <w:t>pouze</w:t>
      </w:r>
      <w:r w:rsidRPr="00AD647D">
        <w:rPr>
          <w:rFonts w:asciiTheme="minorHAnsi" w:hAnsiTheme="minorHAnsi" w:cstheme="minorHAnsi"/>
          <w:color w:val="1D1D1B"/>
          <w:spacing w:val="-8"/>
          <w:w w:val="105"/>
        </w:rPr>
        <w:t xml:space="preserve"> </w:t>
      </w:r>
      <w:r w:rsidRPr="00AD647D">
        <w:rPr>
          <w:rFonts w:asciiTheme="minorHAnsi" w:hAnsiTheme="minorHAnsi" w:cstheme="minorHAnsi"/>
          <w:color w:val="1D1D1B"/>
          <w:w w:val="105"/>
        </w:rPr>
        <w:t>s</w:t>
      </w:r>
      <w:r w:rsidRPr="00AD647D">
        <w:rPr>
          <w:rFonts w:asciiTheme="minorHAnsi" w:hAnsiTheme="minorHAnsi" w:cstheme="minorHAnsi"/>
          <w:color w:val="1D1D1B"/>
          <w:spacing w:val="-9"/>
          <w:w w:val="105"/>
        </w:rPr>
        <w:t xml:space="preserve"> </w:t>
      </w:r>
      <w:r w:rsidRPr="00AD647D">
        <w:rPr>
          <w:rFonts w:asciiTheme="minorHAnsi" w:hAnsiTheme="minorHAnsi" w:cstheme="minorHAnsi"/>
          <w:color w:val="1D1D1B"/>
          <w:w w:val="105"/>
        </w:rPr>
        <w:t>označením</w:t>
      </w:r>
      <w:r w:rsidRPr="00AD647D">
        <w:rPr>
          <w:rFonts w:asciiTheme="minorHAnsi" w:hAnsiTheme="minorHAnsi" w:cstheme="minorHAnsi"/>
          <w:color w:val="1D1D1B"/>
          <w:spacing w:val="-8"/>
          <w:w w:val="105"/>
        </w:rPr>
        <w:t xml:space="preserve"> </w:t>
      </w:r>
      <w:r w:rsidRPr="00AD647D">
        <w:rPr>
          <w:rFonts w:asciiTheme="minorHAnsi" w:hAnsiTheme="minorHAnsi" w:cstheme="minorHAnsi"/>
          <w:color w:val="1D1D1B"/>
          <w:w w:val="105"/>
        </w:rPr>
        <w:t>„Broker</w:t>
      </w:r>
      <w:r w:rsidRPr="00AD647D">
        <w:rPr>
          <w:rFonts w:asciiTheme="minorHAnsi" w:hAnsiTheme="minorHAnsi" w:cstheme="minorHAnsi"/>
          <w:color w:val="1D1D1B"/>
          <w:spacing w:val="-9"/>
          <w:w w:val="105"/>
        </w:rPr>
        <w:t xml:space="preserve"> </w:t>
      </w:r>
      <w:r w:rsidRPr="00AD647D">
        <w:rPr>
          <w:rFonts w:asciiTheme="minorHAnsi" w:hAnsiTheme="minorHAnsi" w:cstheme="minorHAnsi"/>
          <w:color w:val="1D1D1B"/>
          <w:w w:val="105"/>
        </w:rPr>
        <w:t>Consulting</w:t>
      </w:r>
      <w:r w:rsidRPr="00AD647D">
        <w:rPr>
          <w:rFonts w:asciiTheme="minorHAnsi" w:hAnsiTheme="minorHAnsi" w:cstheme="minorHAnsi"/>
          <w:color w:val="1D1D1B"/>
          <w:spacing w:val="-8"/>
          <w:w w:val="105"/>
        </w:rPr>
        <w:t xml:space="preserve"> </w:t>
      </w:r>
      <w:r w:rsidRPr="00AD647D">
        <w:rPr>
          <w:rFonts w:asciiTheme="minorHAnsi" w:hAnsiTheme="minorHAnsi" w:cstheme="minorHAnsi"/>
          <w:color w:val="1D1D1B"/>
          <w:w w:val="105"/>
        </w:rPr>
        <w:t>Index“</w:t>
      </w:r>
      <w:r w:rsidRPr="00AD647D">
        <w:rPr>
          <w:rFonts w:asciiTheme="minorHAnsi" w:hAnsiTheme="minorHAnsi" w:cstheme="minorHAnsi"/>
          <w:color w:val="1D1D1B"/>
          <w:spacing w:val="-9"/>
          <w:w w:val="105"/>
        </w:rPr>
        <w:t xml:space="preserve"> </w:t>
      </w:r>
      <w:r w:rsidRPr="00AD647D">
        <w:rPr>
          <w:rFonts w:asciiTheme="minorHAnsi" w:hAnsiTheme="minorHAnsi" w:cstheme="minorHAnsi"/>
          <w:color w:val="1D1D1B"/>
          <w:spacing w:val="-3"/>
          <w:w w:val="105"/>
        </w:rPr>
        <w:t>(</w:t>
      </w:r>
      <w:r w:rsidRPr="00AD647D">
        <w:rPr>
          <w:rFonts w:asciiTheme="minorHAnsi" w:hAnsiTheme="minorHAnsi" w:cstheme="minorHAnsi"/>
          <w:i/>
          <w:color w:val="1D1D1B"/>
          <w:spacing w:val="-3"/>
          <w:w w:val="105"/>
        </w:rPr>
        <w:t>např.</w:t>
      </w:r>
      <w:r w:rsidRPr="00AD647D">
        <w:rPr>
          <w:rFonts w:asciiTheme="minorHAnsi" w:hAnsiTheme="minorHAnsi" w:cstheme="minorHAnsi"/>
          <w:i/>
          <w:color w:val="1D1D1B"/>
          <w:spacing w:val="-8"/>
          <w:w w:val="105"/>
        </w:rPr>
        <w:t xml:space="preserve"> </w:t>
      </w:r>
      <w:r w:rsidRPr="00AD647D">
        <w:rPr>
          <w:rFonts w:asciiTheme="minorHAnsi" w:hAnsiTheme="minorHAnsi" w:cstheme="minorHAnsi"/>
          <w:i/>
          <w:color w:val="1D1D1B"/>
          <w:w w:val="105"/>
        </w:rPr>
        <w:t>Broker</w:t>
      </w:r>
      <w:r w:rsidRPr="00AD647D">
        <w:rPr>
          <w:rFonts w:asciiTheme="minorHAnsi" w:hAnsiTheme="minorHAnsi" w:cstheme="minorHAnsi"/>
          <w:i/>
          <w:color w:val="1D1D1B"/>
          <w:spacing w:val="-9"/>
          <w:w w:val="105"/>
        </w:rPr>
        <w:t xml:space="preserve"> </w:t>
      </w:r>
      <w:r w:rsidRPr="00AD647D">
        <w:rPr>
          <w:rFonts w:asciiTheme="minorHAnsi" w:hAnsiTheme="minorHAnsi" w:cstheme="minorHAnsi"/>
          <w:i/>
          <w:color w:val="1D1D1B"/>
          <w:w w:val="105"/>
        </w:rPr>
        <w:t>Consulting</w:t>
      </w:r>
      <w:r w:rsidRPr="00AD647D">
        <w:rPr>
          <w:rFonts w:asciiTheme="minorHAnsi" w:hAnsiTheme="minorHAnsi" w:cstheme="minorHAnsi"/>
          <w:i/>
          <w:color w:val="1D1D1B"/>
          <w:spacing w:val="-8"/>
          <w:w w:val="105"/>
        </w:rPr>
        <w:t xml:space="preserve"> Index </w:t>
      </w:r>
      <w:r w:rsidRPr="00AD647D">
        <w:rPr>
          <w:rFonts w:asciiTheme="minorHAnsi" w:hAnsiTheme="minorHAnsi" w:cstheme="minorHAnsi"/>
          <w:i/>
          <w:color w:val="1D1D1B"/>
          <w:w w:val="105"/>
        </w:rPr>
        <w:t>hypoteční</w:t>
      </w:r>
      <w:r w:rsidRPr="00AD647D">
        <w:rPr>
          <w:rFonts w:asciiTheme="minorHAnsi" w:hAnsiTheme="minorHAnsi" w:cstheme="minorHAnsi"/>
          <w:i/>
          <w:color w:val="1D1D1B"/>
          <w:spacing w:val="-9"/>
          <w:w w:val="105"/>
        </w:rPr>
        <w:t>ch úvěrů</w:t>
      </w:r>
      <w:r w:rsidRPr="00AD647D">
        <w:rPr>
          <w:rFonts w:asciiTheme="minorHAnsi" w:hAnsiTheme="minorHAnsi" w:cstheme="minorHAnsi"/>
          <w:i/>
          <w:color w:val="1D1D1B"/>
          <w:w w:val="105"/>
        </w:rPr>
        <w:t xml:space="preserve">). Více informací najdete též na webu </w:t>
      </w:r>
      <w:r w:rsidRPr="00AD647D">
        <w:rPr>
          <w:rStyle w:val="Hypertextovodkaz"/>
          <w:rFonts w:asciiTheme="minorHAnsi" w:hAnsiTheme="minorHAnsi" w:cstheme="minorHAnsi"/>
          <w:i/>
          <w:w w:val="105"/>
        </w:rPr>
        <w:t>https://www.bcas.cz/onas/pro-media/</w:t>
      </w:r>
      <w:r w:rsidRPr="00AD647D">
        <w:rPr>
          <w:rFonts w:asciiTheme="minorHAnsi" w:hAnsiTheme="minorHAnsi" w:cstheme="minorHAnsi"/>
          <w:i/>
          <w:color w:val="1D1D1B"/>
          <w:w w:val="105"/>
        </w:rPr>
        <w:t xml:space="preserve">. </w:t>
      </w:r>
    </w:p>
    <w:p w14:paraId="685A4AD2" w14:textId="77777777" w:rsidR="00B51F55" w:rsidRPr="00AD647D" w:rsidRDefault="00B51F55" w:rsidP="008F3C6D">
      <w:pPr>
        <w:jc w:val="both"/>
        <w:rPr>
          <w:rFonts w:asciiTheme="minorHAnsi" w:hAnsiTheme="minorHAnsi" w:cstheme="minorHAnsi"/>
        </w:rPr>
      </w:pPr>
    </w:p>
    <w:p w14:paraId="1039ED98" w14:textId="77777777" w:rsidR="008F3C6D" w:rsidRPr="00AD647D" w:rsidRDefault="008F3C6D" w:rsidP="008F3C6D">
      <w:pPr>
        <w:jc w:val="both"/>
        <w:rPr>
          <w:rFonts w:asciiTheme="minorHAnsi" w:eastAsia="Calibri" w:hAnsiTheme="minorHAnsi" w:cstheme="minorHAnsi"/>
          <w:b/>
          <w:bCs/>
          <w:noProof/>
        </w:rPr>
      </w:pPr>
    </w:p>
    <w:p w14:paraId="195CA202" w14:textId="77777777" w:rsidR="008F3C6D" w:rsidRPr="00AD647D" w:rsidRDefault="008F3C6D" w:rsidP="008F3C6D">
      <w:pPr>
        <w:rPr>
          <w:rFonts w:asciiTheme="minorHAnsi" w:eastAsia="Calibri" w:hAnsiTheme="minorHAnsi" w:cstheme="minorHAnsi"/>
          <w:b/>
          <w:bCs/>
          <w:noProof/>
        </w:rPr>
      </w:pPr>
      <w:r w:rsidRPr="00AD647D">
        <w:rPr>
          <w:rFonts w:asciiTheme="minorHAnsi" w:eastAsia="Calibri" w:hAnsiTheme="minorHAnsi" w:cstheme="minorHAnsi"/>
          <w:b/>
          <w:bCs/>
          <w:noProof/>
        </w:rPr>
        <w:t>Kontakt pro média:</w:t>
      </w:r>
    </w:p>
    <w:p w14:paraId="78012E24" w14:textId="77777777" w:rsidR="0053079B" w:rsidRPr="00AD647D" w:rsidRDefault="0053079B" w:rsidP="0053079B">
      <w:pPr>
        <w:rPr>
          <w:rFonts w:asciiTheme="minorHAnsi" w:eastAsia="Calibri" w:hAnsiTheme="minorHAnsi" w:cstheme="minorHAnsi"/>
          <w:bCs/>
          <w:noProof/>
        </w:rPr>
      </w:pPr>
    </w:p>
    <w:p w14:paraId="60542279" w14:textId="77777777" w:rsidR="0053079B" w:rsidRPr="00AD647D" w:rsidRDefault="0053079B" w:rsidP="0053079B">
      <w:pPr>
        <w:spacing w:after="60"/>
        <w:rPr>
          <w:rFonts w:asciiTheme="minorHAnsi" w:eastAsia="Calibri" w:hAnsiTheme="minorHAnsi" w:cstheme="minorHAnsi"/>
          <w:bCs/>
          <w:noProof/>
          <w:lang w:bidi="ar-SA"/>
        </w:rPr>
      </w:pPr>
      <w:r w:rsidRPr="00AD647D">
        <w:rPr>
          <w:rFonts w:asciiTheme="minorHAnsi" w:eastAsia="Calibri" w:hAnsiTheme="minorHAnsi" w:cstheme="minorHAnsi"/>
          <w:bCs/>
          <w:noProof/>
        </w:rPr>
        <w:t>Michaela Sahulová</w:t>
      </w:r>
    </w:p>
    <w:p w14:paraId="16BB5E7E" w14:textId="77777777" w:rsidR="0053079B" w:rsidRPr="00AD647D" w:rsidRDefault="0053079B" w:rsidP="0053079B">
      <w:pPr>
        <w:pStyle w:val="Bezmezer"/>
        <w:rPr>
          <w:rFonts w:eastAsia="Calibri" w:cstheme="minorHAnsi"/>
          <w:noProof/>
        </w:rPr>
      </w:pPr>
      <w:r w:rsidRPr="00AD647D">
        <w:rPr>
          <w:rFonts w:eastAsia="Calibri" w:cstheme="minorHAnsi"/>
          <w:noProof/>
        </w:rPr>
        <w:t>Specialistka PR a externí komunikace</w:t>
      </w:r>
    </w:p>
    <w:p w14:paraId="2D24B5C8" w14:textId="77777777" w:rsidR="0053079B" w:rsidRPr="00AD647D" w:rsidRDefault="0053079B" w:rsidP="0053079B">
      <w:pPr>
        <w:rPr>
          <w:rFonts w:asciiTheme="minorHAnsi" w:eastAsiaTheme="minorEastAsia" w:hAnsiTheme="minorHAnsi" w:cstheme="minorHAnsi"/>
          <w:noProof/>
          <w:color w:val="000000" w:themeColor="text1"/>
          <w:lang w:bidi="ar-SA"/>
        </w:rPr>
      </w:pPr>
      <w:r w:rsidRPr="00AD647D">
        <w:rPr>
          <w:rFonts w:asciiTheme="minorHAnsi" w:eastAsiaTheme="minorEastAsia" w:hAnsiTheme="minorHAnsi" w:cstheme="minorHAnsi"/>
          <w:noProof/>
          <w:color w:val="000000" w:themeColor="text1"/>
        </w:rPr>
        <w:t>tel.: +420 731 538 373</w:t>
      </w:r>
    </w:p>
    <w:p w14:paraId="745E815C" w14:textId="77777777" w:rsidR="0053079B" w:rsidRPr="00AD647D" w:rsidRDefault="0053079B" w:rsidP="0053079B">
      <w:pPr>
        <w:rPr>
          <w:rFonts w:asciiTheme="minorHAnsi" w:eastAsia="Calibri" w:hAnsiTheme="minorHAnsi" w:cstheme="minorHAnsi"/>
          <w:noProof/>
        </w:rPr>
      </w:pPr>
      <w:r w:rsidRPr="00AD647D">
        <w:rPr>
          <w:rFonts w:asciiTheme="minorHAnsi" w:eastAsia="Calibri" w:hAnsiTheme="minorHAnsi" w:cstheme="minorHAnsi"/>
          <w:noProof/>
        </w:rPr>
        <w:t xml:space="preserve">E-mail: </w:t>
      </w:r>
      <w:hyperlink r:id="rId25" w:history="1">
        <w:r w:rsidRPr="00AD647D">
          <w:rPr>
            <w:rStyle w:val="Hypertextovodkaz"/>
            <w:rFonts w:asciiTheme="minorHAnsi" w:eastAsia="Calibri" w:hAnsiTheme="minorHAnsi" w:cstheme="minorHAnsi"/>
            <w:noProof/>
          </w:rPr>
          <w:t>michaela.sahulova@bcas.cz</w:t>
        </w:r>
      </w:hyperlink>
      <w:r w:rsidRPr="00AD647D">
        <w:rPr>
          <w:rFonts w:asciiTheme="minorHAnsi" w:eastAsia="Calibri" w:hAnsiTheme="minorHAnsi" w:cstheme="minorHAnsi"/>
          <w:noProof/>
        </w:rPr>
        <w:t xml:space="preserve"> </w:t>
      </w:r>
    </w:p>
    <w:p w14:paraId="1FBC071D" w14:textId="77777777" w:rsidR="00FA6B22" w:rsidRPr="00AD647D" w:rsidRDefault="00FA6B22" w:rsidP="008F3C6D">
      <w:pPr>
        <w:rPr>
          <w:rFonts w:asciiTheme="minorHAnsi" w:eastAsia="Calibri" w:hAnsiTheme="minorHAnsi" w:cstheme="minorHAnsi"/>
          <w:noProof/>
        </w:rPr>
      </w:pPr>
    </w:p>
    <w:p w14:paraId="5BCE3D52" w14:textId="77777777" w:rsidR="008F3C6D" w:rsidRPr="00AD647D" w:rsidRDefault="008F3C6D" w:rsidP="008F3C6D">
      <w:pPr>
        <w:jc w:val="both"/>
        <w:rPr>
          <w:rFonts w:asciiTheme="minorHAnsi" w:hAnsiTheme="minorHAnsi" w:cstheme="minorHAnsi"/>
        </w:rPr>
      </w:pPr>
    </w:p>
    <w:p w14:paraId="12134AC2" w14:textId="77777777" w:rsidR="008F3C6D" w:rsidRPr="00AD647D" w:rsidRDefault="008F3C6D" w:rsidP="008F3C6D">
      <w:pPr>
        <w:jc w:val="both"/>
        <w:rPr>
          <w:rFonts w:asciiTheme="minorHAnsi" w:hAnsiTheme="minorHAnsi" w:cstheme="minorHAnsi"/>
          <w:b/>
          <w:bCs/>
          <w:color w:val="FF0000"/>
        </w:rPr>
      </w:pPr>
    </w:p>
    <w:sectPr w:rsidR="008F3C6D" w:rsidRPr="00AD647D"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AFDA09" w14:textId="77777777" w:rsidR="007274BA" w:rsidRDefault="007274BA">
      <w:r>
        <w:separator/>
      </w:r>
    </w:p>
  </w:endnote>
  <w:endnote w:type="continuationSeparator" w:id="0">
    <w:p w14:paraId="1841005F" w14:textId="77777777" w:rsidR="007274BA" w:rsidRDefault="00727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7274BA"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7274BA"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7274BA"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7274BA"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7274BA"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7274BA"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AFCF42" w14:textId="77777777" w:rsidR="007274BA" w:rsidRDefault="007274BA">
      <w:r>
        <w:separator/>
      </w:r>
    </w:p>
  </w:footnote>
  <w:footnote w:type="continuationSeparator" w:id="0">
    <w:p w14:paraId="0CFA4C5C" w14:textId="77777777" w:rsidR="007274BA" w:rsidRDefault="007274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BC331D" w:rsidRDefault="00D80B6D" w:rsidP="00E95698">
    <w:pPr>
      <w:tabs>
        <w:tab w:val="left" w:pos="8633"/>
      </w:tabs>
      <w:spacing w:before="80"/>
      <w:ind w:firstLine="2880"/>
      <w:rPr>
        <w:rFonts w:asciiTheme="minorHAnsi" w:hAnsiTheme="minorHAnsi" w:cstheme="minorHAnsi"/>
        <w:sz w:val="52"/>
      </w:rPr>
    </w:pPr>
    <w:r w:rsidRPr="00BC331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BC331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BC331D">
      <w:rPr>
        <w:rFonts w:asciiTheme="minorHAnsi" w:hAnsiTheme="minorHAnsi" w:cstheme="minorHAnsi"/>
        <w:color w:val="1D1D1B"/>
        <w:sz w:val="48"/>
      </w:rPr>
      <w:t xml:space="preserve">BROKER CONSULTING </w:t>
    </w:r>
    <w:r w:rsidRPr="00BC331D">
      <w:rPr>
        <w:rFonts w:asciiTheme="minorHAnsi" w:hAnsiTheme="minorHAnsi" w:cstheme="minorHAnsi"/>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75E63C89"/>
    <w:multiLevelType w:val="hybridMultilevel"/>
    <w:tmpl w:val="03AAFAE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7A80"/>
    <w:rsid w:val="00020EC7"/>
    <w:rsid w:val="00022715"/>
    <w:rsid w:val="00024AC6"/>
    <w:rsid w:val="00026F23"/>
    <w:rsid w:val="000276A7"/>
    <w:rsid w:val="000277AC"/>
    <w:rsid w:val="00032D94"/>
    <w:rsid w:val="00036C73"/>
    <w:rsid w:val="000374D7"/>
    <w:rsid w:val="000400E4"/>
    <w:rsid w:val="00045B39"/>
    <w:rsid w:val="0005252A"/>
    <w:rsid w:val="0005423A"/>
    <w:rsid w:val="00057018"/>
    <w:rsid w:val="000611E3"/>
    <w:rsid w:val="000618FE"/>
    <w:rsid w:val="00061ABB"/>
    <w:rsid w:val="00070675"/>
    <w:rsid w:val="000766E7"/>
    <w:rsid w:val="00080552"/>
    <w:rsid w:val="00080ADE"/>
    <w:rsid w:val="00081616"/>
    <w:rsid w:val="000853D4"/>
    <w:rsid w:val="00087263"/>
    <w:rsid w:val="0009776B"/>
    <w:rsid w:val="000A6063"/>
    <w:rsid w:val="000B0D84"/>
    <w:rsid w:val="000B2E5D"/>
    <w:rsid w:val="000B2F39"/>
    <w:rsid w:val="000B5339"/>
    <w:rsid w:val="000B54E5"/>
    <w:rsid w:val="000C0090"/>
    <w:rsid w:val="000C1853"/>
    <w:rsid w:val="000C4C77"/>
    <w:rsid w:val="000D145E"/>
    <w:rsid w:val="000D14E2"/>
    <w:rsid w:val="000D5F5D"/>
    <w:rsid w:val="000D68AC"/>
    <w:rsid w:val="000D7A4D"/>
    <w:rsid w:val="000E0EEC"/>
    <w:rsid w:val="000E168E"/>
    <w:rsid w:val="000E3D86"/>
    <w:rsid w:val="000F0BA4"/>
    <w:rsid w:val="000F1EC4"/>
    <w:rsid w:val="000F29D1"/>
    <w:rsid w:val="000F6249"/>
    <w:rsid w:val="00103543"/>
    <w:rsid w:val="001069A1"/>
    <w:rsid w:val="0010739A"/>
    <w:rsid w:val="00111C28"/>
    <w:rsid w:val="00112079"/>
    <w:rsid w:val="00112CC0"/>
    <w:rsid w:val="00112D65"/>
    <w:rsid w:val="001130B7"/>
    <w:rsid w:val="00114F7B"/>
    <w:rsid w:val="00115429"/>
    <w:rsid w:val="00123939"/>
    <w:rsid w:val="0013044E"/>
    <w:rsid w:val="00131A69"/>
    <w:rsid w:val="00136C97"/>
    <w:rsid w:val="00137003"/>
    <w:rsid w:val="0013717C"/>
    <w:rsid w:val="00137474"/>
    <w:rsid w:val="00143EFE"/>
    <w:rsid w:val="00156082"/>
    <w:rsid w:val="00161D10"/>
    <w:rsid w:val="00164597"/>
    <w:rsid w:val="001675AF"/>
    <w:rsid w:val="00170556"/>
    <w:rsid w:val="00170D87"/>
    <w:rsid w:val="001767A5"/>
    <w:rsid w:val="00180051"/>
    <w:rsid w:val="00182B07"/>
    <w:rsid w:val="0018460D"/>
    <w:rsid w:val="001901D0"/>
    <w:rsid w:val="00191B34"/>
    <w:rsid w:val="001925C8"/>
    <w:rsid w:val="00192716"/>
    <w:rsid w:val="00192C2A"/>
    <w:rsid w:val="00193550"/>
    <w:rsid w:val="00194C95"/>
    <w:rsid w:val="001A54DD"/>
    <w:rsid w:val="001B296D"/>
    <w:rsid w:val="001B29C7"/>
    <w:rsid w:val="001B501B"/>
    <w:rsid w:val="001B745F"/>
    <w:rsid w:val="001D015A"/>
    <w:rsid w:val="001D3DFC"/>
    <w:rsid w:val="001D4EA8"/>
    <w:rsid w:val="001D6965"/>
    <w:rsid w:val="001E22F1"/>
    <w:rsid w:val="001E3D5F"/>
    <w:rsid w:val="001E3FBF"/>
    <w:rsid w:val="001E4209"/>
    <w:rsid w:val="001E5D83"/>
    <w:rsid w:val="001F045E"/>
    <w:rsid w:val="001F25C4"/>
    <w:rsid w:val="001F2BE0"/>
    <w:rsid w:val="001F3CF1"/>
    <w:rsid w:val="001F7194"/>
    <w:rsid w:val="001F71BA"/>
    <w:rsid w:val="001F7D30"/>
    <w:rsid w:val="00200B65"/>
    <w:rsid w:val="002141AF"/>
    <w:rsid w:val="00220944"/>
    <w:rsid w:val="002227D9"/>
    <w:rsid w:val="00223A4A"/>
    <w:rsid w:val="0023042D"/>
    <w:rsid w:val="00232F1A"/>
    <w:rsid w:val="0023469F"/>
    <w:rsid w:val="002368F3"/>
    <w:rsid w:val="002404A1"/>
    <w:rsid w:val="002406A8"/>
    <w:rsid w:val="00241313"/>
    <w:rsid w:val="00242D4D"/>
    <w:rsid w:val="00243075"/>
    <w:rsid w:val="00243C49"/>
    <w:rsid w:val="0024551C"/>
    <w:rsid w:val="0025264B"/>
    <w:rsid w:val="0025428A"/>
    <w:rsid w:val="002542AA"/>
    <w:rsid w:val="00255182"/>
    <w:rsid w:val="00263C8C"/>
    <w:rsid w:val="002645E4"/>
    <w:rsid w:val="002679C9"/>
    <w:rsid w:val="00270DB3"/>
    <w:rsid w:val="00281834"/>
    <w:rsid w:val="0028590C"/>
    <w:rsid w:val="002A0285"/>
    <w:rsid w:val="002A3F19"/>
    <w:rsid w:val="002A6FA3"/>
    <w:rsid w:val="002A7325"/>
    <w:rsid w:val="002B0728"/>
    <w:rsid w:val="002B1317"/>
    <w:rsid w:val="002B7DA9"/>
    <w:rsid w:val="002B7F6D"/>
    <w:rsid w:val="002C0240"/>
    <w:rsid w:val="002C4A25"/>
    <w:rsid w:val="002D1619"/>
    <w:rsid w:val="002D6D20"/>
    <w:rsid w:val="002E1ABC"/>
    <w:rsid w:val="002E633F"/>
    <w:rsid w:val="002F002B"/>
    <w:rsid w:val="002F05B2"/>
    <w:rsid w:val="002F1DD3"/>
    <w:rsid w:val="002F3FCA"/>
    <w:rsid w:val="002F485A"/>
    <w:rsid w:val="002F56BD"/>
    <w:rsid w:val="002F7EC2"/>
    <w:rsid w:val="003001F4"/>
    <w:rsid w:val="003028DB"/>
    <w:rsid w:val="003055CB"/>
    <w:rsid w:val="00306EEA"/>
    <w:rsid w:val="00306FE1"/>
    <w:rsid w:val="00307E95"/>
    <w:rsid w:val="00310BEB"/>
    <w:rsid w:val="00311F45"/>
    <w:rsid w:val="0031287A"/>
    <w:rsid w:val="003128F8"/>
    <w:rsid w:val="00313A87"/>
    <w:rsid w:val="00316FA6"/>
    <w:rsid w:val="0031712D"/>
    <w:rsid w:val="0031752C"/>
    <w:rsid w:val="00320455"/>
    <w:rsid w:val="00321518"/>
    <w:rsid w:val="00321E19"/>
    <w:rsid w:val="003247B0"/>
    <w:rsid w:val="00330918"/>
    <w:rsid w:val="003358BA"/>
    <w:rsid w:val="0034184F"/>
    <w:rsid w:val="00342F85"/>
    <w:rsid w:val="00345686"/>
    <w:rsid w:val="00347557"/>
    <w:rsid w:val="003502B4"/>
    <w:rsid w:val="00355366"/>
    <w:rsid w:val="00356752"/>
    <w:rsid w:val="00361D44"/>
    <w:rsid w:val="003629B6"/>
    <w:rsid w:val="003705A1"/>
    <w:rsid w:val="00370C35"/>
    <w:rsid w:val="003721AD"/>
    <w:rsid w:val="0037300C"/>
    <w:rsid w:val="00374182"/>
    <w:rsid w:val="00383942"/>
    <w:rsid w:val="00383DC5"/>
    <w:rsid w:val="00385325"/>
    <w:rsid w:val="00385EED"/>
    <w:rsid w:val="00390B58"/>
    <w:rsid w:val="00392024"/>
    <w:rsid w:val="003948A1"/>
    <w:rsid w:val="003A1549"/>
    <w:rsid w:val="003A2887"/>
    <w:rsid w:val="003A375A"/>
    <w:rsid w:val="003A43AB"/>
    <w:rsid w:val="003A6435"/>
    <w:rsid w:val="003B0E4E"/>
    <w:rsid w:val="003B0E4F"/>
    <w:rsid w:val="003B3F0C"/>
    <w:rsid w:val="003C0CBE"/>
    <w:rsid w:val="003C2A23"/>
    <w:rsid w:val="003C5664"/>
    <w:rsid w:val="003C59A8"/>
    <w:rsid w:val="003C6F57"/>
    <w:rsid w:val="003C7F98"/>
    <w:rsid w:val="003D157E"/>
    <w:rsid w:val="003D1987"/>
    <w:rsid w:val="003E0649"/>
    <w:rsid w:val="003E6537"/>
    <w:rsid w:val="003F0CAF"/>
    <w:rsid w:val="003F324C"/>
    <w:rsid w:val="003F7018"/>
    <w:rsid w:val="003F79EC"/>
    <w:rsid w:val="0040257E"/>
    <w:rsid w:val="004041EF"/>
    <w:rsid w:val="004053BB"/>
    <w:rsid w:val="004075C9"/>
    <w:rsid w:val="004116FD"/>
    <w:rsid w:val="0042193A"/>
    <w:rsid w:val="0043347D"/>
    <w:rsid w:val="004336E4"/>
    <w:rsid w:val="00433F20"/>
    <w:rsid w:val="00435342"/>
    <w:rsid w:val="004372BB"/>
    <w:rsid w:val="004376B0"/>
    <w:rsid w:val="00445D0A"/>
    <w:rsid w:val="00447FBA"/>
    <w:rsid w:val="004501B9"/>
    <w:rsid w:val="00453CFE"/>
    <w:rsid w:val="00454843"/>
    <w:rsid w:val="004556BB"/>
    <w:rsid w:val="00455F65"/>
    <w:rsid w:val="00457FFE"/>
    <w:rsid w:val="00460FA7"/>
    <w:rsid w:val="00461BF2"/>
    <w:rsid w:val="004627B9"/>
    <w:rsid w:val="004678E9"/>
    <w:rsid w:val="00467E69"/>
    <w:rsid w:val="00471166"/>
    <w:rsid w:val="00473E24"/>
    <w:rsid w:val="00480982"/>
    <w:rsid w:val="00486655"/>
    <w:rsid w:val="00492BA9"/>
    <w:rsid w:val="004935C2"/>
    <w:rsid w:val="004A59C1"/>
    <w:rsid w:val="004B2DF6"/>
    <w:rsid w:val="004B2FF6"/>
    <w:rsid w:val="004B4E91"/>
    <w:rsid w:val="004B5797"/>
    <w:rsid w:val="004B7412"/>
    <w:rsid w:val="004C222D"/>
    <w:rsid w:val="004C3DD1"/>
    <w:rsid w:val="004C3F71"/>
    <w:rsid w:val="004D5CC6"/>
    <w:rsid w:val="004E09B8"/>
    <w:rsid w:val="004E1737"/>
    <w:rsid w:val="004F303D"/>
    <w:rsid w:val="004F5D36"/>
    <w:rsid w:val="004F6195"/>
    <w:rsid w:val="00504EBB"/>
    <w:rsid w:val="0050659B"/>
    <w:rsid w:val="005130A9"/>
    <w:rsid w:val="00514932"/>
    <w:rsid w:val="005153F7"/>
    <w:rsid w:val="00515952"/>
    <w:rsid w:val="005224C1"/>
    <w:rsid w:val="005231DA"/>
    <w:rsid w:val="0053079B"/>
    <w:rsid w:val="0053153F"/>
    <w:rsid w:val="00531C9F"/>
    <w:rsid w:val="005361AF"/>
    <w:rsid w:val="00536822"/>
    <w:rsid w:val="00536954"/>
    <w:rsid w:val="0053728E"/>
    <w:rsid w:val="00540606"/>
    <w:rsid w:val="00541870"/>
    <w:rsid w:val="005436EC"/>
    <w:rsid w:val="00544A37"/>
    <w:rsid w:val="00545971"/>
    <w:rsid w:val="00550147"/>
    <w:rsid w:val="00551FDB"/>
    <w:rsid w:val="00554D18"/>
    <w:rsid w:val="0056501A"/>
    <w:rsid w:val="00571AD4"/>
    <w:rsid w:val="00573886"/>
    <w:rsid w:val="00573EE2"/>
    <w:rsid w:val="00577D19"/>
    <w:rsid w:val="005907CD"/>
    <w:rsid w:val="005A2139"/>
    <w:rsid w:val="005A37E5"/>
    <w:rsid w:val="005A4EB8"/>
    <w:rsid w:val="005A5BBA"/>
    <w:rsid w:val="005A5F08"/>
    <w:rsid w:val="005B3143"/>
    <w:rsid w:val="005B31D7"/>
    <w:rsid w:val="005C150C"/>
    <w:rsid w:val="005C318A"/>
    <w:rsid w:val="005D52F3"/>
    <w:rsid w:val="005E1193"/>
    <w:rsid w:val="005E5A67"/>
    <w:rsid w:val="005E7865"/>
    <w:rsid w:val="005F2D95"/>
    <w:rsid w:val="005F6BD8"/>
    <w:rsid w:val="005F7E72"/>
    <w:rsid w:val="005F7EAE"/>
    <w:rsid w:val="0060554F"/>
    <w:rsid w:val="006135FD"/>
    <w:rsid w:val="0061438C"/>
    <w:rsid w:val="006166CE"/>
    <w:rsid w:val="0062060D"/>
    <w:rsid w:val="006218E4"/>
    <w:rsid w:val="00623C47"/>
    <w:rsid w:val="0062747C"/>
    <w:rsid w:val="0062786E"/>
    <w:rsid w:val="00636142"/>
    <w:rsid w:val="006365D5"/>
    <w:rsid w:val="0064160C"/>
    <w:rsid w:val="00646E6F"/>
    <w:rsid w:val="00650123"/>
    <w:rsid w:val="006509E8"/>
    <w:rsid w:val="006542CA"/>
    <w:rsid w:val="006548C4"/>
    <w:rsid w:val="0066135D"/>
    <w:rsid w:val="00662758"/>
    <w:rsid w:val="00664259"/>
    <w:rsid w:val="00664867"/>
    <w:rsid w:val="00667012"/>
    <w:rsid w:val="006768F0"/>
    <w:rsid w:val="00677078"/>
    <w:rsid w:val="00681F49"/>
    <w:rsid w:val="00682D62"/>
    <w:rsid w:val="006839FB"/>
    <w:rsid w:val="00683F9A"/>
    <w:rsid w:val="006859AC"/>
    <w:rsid w:val="006859FD"/>
    <w:rsid w:val="00685AF9"/>
    <w:rsid w:val="0068617E"/>
    <w:rsid w:val="006870AB"/>
    <w:rsid w:val="006902C0"/>
    <w:rsid w:val="00690415"/>
    <w:rsid w:val="00691527"/>
    <w:rsid w:val="006939E7"/>
    <w:rsid w:val="006A2F6C"/>
    <w:rsid w:val="006A3BE2"/>
    <w:rsid w:val="006A4E81"/>
    <w:rsid w:val="006A5A20"/>
    <w:rsid w:val="006B2F00"/>
    <w:rsid w:val="006B4027"/>
    <w:rsid w:val="006B58D8"/>
    <w:rsid w:val="006B7185"/>
    <w:rsid w:val="006C5ED3"/>
    <w:rsid w:val="006C61E8"/>
    <w:rsid w:val="006D2B43"/>
    <w:rsid w:val="006D39DF"/>
    <w:rsid w:val="006D65EC"/>
    <w:rsid w:val="006E26DC"/>
    <w:rsid w:val="006E6A2F"/>
    <w:rsid w:val="006E70A0"/>
    <w:rsid w:val="006F32FB"/>
    <w:rsid w:val="007046C5"/>
    <w:rsid w:val="00704D83"/>
    <w:rsid w:val="007052FC"/>
    <w:rsid w:val="00705D83"/>
    <w:rsid w:val="00710AF5"/>
    <w:rsid w:val="00710E0C"/>
    <w:rsid w:val="0072112F"/>
    <w:rsid w:val="00724267"/>
    <w:rsid w:val="00725BF5"/>
    <w:rsid w:val="007274BA"/>
    <w:rsid w:val="007320FB"/>
    <w:rsid w:val="007362E3"/>
    <w:rsid w:val="007408D1"/>
    <w:rsid w:val="00741E71"/>
    <w:rsid w:val="00743627"/>
    <w:rsid w:val="00743E6A"/>
    <w:rsid w:val="0074636A"/>
    <w:rsid w:val="00753B64"/>
    <w:rsid w:val="0076114C"/>
    <w:rsid w:val="00762590"/>
    <w:rsid w:val="0076280C"/>
    <w:rsid w:val="007648F0"/>
    <w:rsid w:val="0076667F"/>
    <w:rsid w:val="007672BB"/>
    <w:rsid w:val="00771B91"/>
    <w:rsid w:val="00772415"/>
    <w:rsid w:val="007725B8"/>
    <w:rsid w:val="00772FF0"/>
    <w:rsid w:val="007748AF"/>
    <w:rsid w:val="007753A0"/>
    <w:rsid w:val="00776CDE"/>
    <w:rsid w:val="007815BB"/>
    <w:rsid w:val="007824F4"/>
    <w:rsid w:val="00782848"/>
    <w:rsid w:val="00784109"/>
    <w:rsid w:val="0078410A"/>
    <w:rsid w:val="0078525A"/>
    <w:rsid w:val="00785FC5"/>
    <w:rsid w:val="0078631B"/>
    <w:rsid w:val="0078653C"/>
    <w:rsid w:val="00791A2B"/>
    <w:rsid w:val="00791E6F"/>
    <w:rsid w:val="00792EE9"/>
    <w:rsid w:val="0079572A"/>
    <w:rsid w:val="007969EF"/>
    <w:rsid w:val="007A1121"/>
    <w:rsid w:val="007A1122"/>
    <w:rsid w:val="007A15A6"/>
    <w:rsid w:val="007A41BD"/>
    <w:rsid w:val="007A6A4D"/>
    <w:rsid w:val="007A74F9"/>
    <w:rsid w:val="007A7C7B"/>
    <w:rsid w:val="007B152D"/>
    <w:rsid w:val="007B358E"/>
    <w:rsid w:val="007B48B8"/>
    <w:rsid w:val="007C0F6D"/>
    <w:rsid w:val="007D14AE"/>
    <w:rsid w:val="007E3027"/>
    <w:rsid w:val="007E38CD"/>
    <w:rsid w:val="007E5614"/>
    <w:rsid w:val="007E768B"/>
    <w:rsid w:val="007F13CC"/>
    <w:rsid w:val="007F2DE8"/>
    <w:rsid w:val="007F4493"/>
    <w:rsid w:val="007F4C72"/>
    <w:rsid w:val="007F71F9"/>
    <w:rsid w:val="008011E7"/>
    <w:rsid w:val="0080323F"/>
    <w:rsid w:val="008063BB"/>
    <w:rsid w:val="00812394"/>
    <w:rsid w:val="008123FF"/>
    <w:rsid w:val="0081387C"/>
    <w:rsid w:val="0081474E"/>
    <w:rsid w:val="0083053E"/>
    <w:rsid w:val="00831B5E"/>
    <w:rsid w:val="00832F5B"/>
    <w:rsid w:val="00841AC4"/>
    <w:rsid w:val="00845A34"/>
    <w:rsid w:val="00852BBB"/>
    <w:rsid w:val="00856806"/>
    <w:rsid w:val="00856D3C"/>
    <w:rsid w:val="00860609"/>
    <w:rsid w:val="00863FC3"/>
    <w:rsid w:val="0087199F"/>
    <w:rsid w:val="00871CBD"/>
    <w:rsid w:val="00874C1A"/>
    <w:rsid w:val="00881800"/>
    <w:rsid w:val="00883A3E"/>
    <w:rsid w:val="0088579E"/>
    <w:rsid w:val="00885B2F"/>
    <w:rsid w:val="008875C1"/>
    <w:rsid w:val="00891E25"/>
    <w:rsid w:val="008926E5"/>
    <w:rsid w:val="008926F3"/>
    <w:rsid w:val="008A04D3"/>
    <w:rsid w:val="008B4F0F"/>
    <w:rsid w:val="008C1795"/>
    <w:rsid w:val="008C2254"/>
    <w:rsid w:val="008C3938"/>
    <w:rsid w:val="008C3A59"/>
    <w:rsid w:val="008C4B0D"/>
    <w:rsid w:val="008E1286"/>
    <w:rsid w:val="008E19F3"/>
    <w:rsid w:val="008F36CB"/>
    <w:rsid w:val="008F3C6D"/>
    <w:rsid w:val="008F6AAF"/>
    <w:rsid w:val="00901DB4"/>
    <w:rsid w:val="00901E1F"/>
    <w:rsid w:val="0090292E"/>
    <w:rsid w:val="00906E67"/>
    <w:rsid w:val="009144B1"/>
    <w:rsid w:val="00915ADA"/>
    <w:rsid w:val="0092097A"/>
    <w:rsid w:val="009222C9"/>
    <w:rsid w:val="009228CF"/>
    <w:rsid w:val="00925499"/>
    <w:rsid w:val="00930569"/>
    <w:rsid w:val="00932625"/>
    <w:rsid w:val="009343CC"/>
    <w:rsid w:val="009344C2"/>
    <w:rsid w:val="00934CD7"/>
    <w:rsid w:val="009412B0"/>
    <w:rsid w:val="0094645B"/>
    <w:rsid w:val="0094705C"/>
    <w:rsid w:val="00957739"/>
    <w:rsid w:val="00957B41"/>
    <w:rsid w:val="009631E0"/>
    <w:rsid w:val="009649D2"/>
    <w:rsid w:val="009660BD"/>
    <w:rsid w:val="009674F1"/>
    <w:rsid w:val="009771E2"/>
    <w:rsid w:val="00977540"/>
    <w:rsid w:val="009834E2"/>
    <w:rsid w:val="00985DC8"/>
    <w:rsid w:val="009A52BA"/>
    <w:rsid w:val="009A69B1"/>
    <w:rsid w:val="009A700C"/>
    <w:rsid w:val="009C0ECA"/>
    <w:rsid w:val="009C45BA"/>
    <w:rsid w:val="009C7948"/>
    <w:rsid w:val="009C79BD"/>
    <w:rsid w:val="009D01A2"/>
    <w:rsid w:val="009D24BB"/>
    <w:rsid w:val="009D44DD"/>
    <w:rsid w:val="009D64B2"/>
    <w:rsid w:val="009D729E"/>
    <w:rsid w:val="009D7493"/>
    <w:rsid w:val="009E317D"/>
    <w:rsid w:val="009E31C0"/>
    <w:rsid w:val="009E3B52"/>
    <w:rsid w:val="009F2CB2"/>
    <w:rsid w:val="009F342D"/>
    <w:rsid w:val="009F3DA2"/>
    <w:rsid w:val="009F59EE"/>
    <w:rsid w:val="009F6CFC"/>
    <w:rsid w:val="00A069E2"/>
    <w:rsid w:val="00A07639"/>
    <w:rsid w:val="00A10289"/>
    <w:rsid w:val="00A106F8"/>
    <w:rsid w:val="00A11C90"/>
    <w:rsid w:val="00A1395B"/>
    <w:rsid w:val="00A13D4D"/>
    <w:rsid w:val="00A14701"/>
    <w:rsid w:val="00A16A29"/>
    <w:rsid w:val="00A16E82"/>
    <w:rsid w:val="00A252BA"/>
    <w:rsid w:val="00A26285"/>
    <w:rsid w:val="00A27A7B"/>
    <w:rsid w:val="00A36CBA"/>
    <w:rsid w:val="00A36D79"/>
    <w:rsid w:val="00A41EA4"/>
    <w:rsid w:val="00A44FE0"/>
    <w:rsid w:val="00A4618A"/>
    <w:rsid w:val="00A50D03"/>
    <w:rsid w:val="00A624BA"/>
    <w:rsid w:val="00A712B2"/>
    <w:rsid w:val="00A74214"/>
    <w:rsid w:val="00A7796E"/>
    <w:rsid w:val="00A9085F"/>
    <w:rsid w:val="00A92C95"/>
    <w:rsid w:val="00A93A25"/>
    <w:rsid w:val="00AA0920"/>
    <w:rsid w:val="00AA3055"/>
    <w:rsid w:val="00AA469A"/>
    <w:rsid w:val="00AA6E6D"/>
    <w:rsid w:val="00AA715C"/>
    <w:rsid w:val="00AA7977"/>
    <w:rsid w:val="00AA79D9"/>
    <w:rsid w:val="00AB50FF"/>
    <w:rsid w:val="00AC4BEC"/>
    <w:rsid w:val="00AC57BB"/>
    <w:rsid w:val="00AC614D"/>
    <w:rsid w:val="00AD1F39"/>
    <w:rsid w:val="00AD4BC3"/>
    <w:rsid w:val="00AD647D"/>
    <w:rsid w:val="00AE313F"/>
    <w:rsid w:val="00AE34F4"/>
    <w:rsid w:val="00AF042F"/>
    <w:rsid w:val="00B00C49"/>
    <w:rsid w:val="00B03105"/>
    <w:rsid w:val="00B03461"/>
    <w:rsid w:val="00B0766F"/>
    <w:rsid w:val="00B07F42"/>
    <w:rsid w:val="00B10787"/>
    <w:rsid w:val="00B11974"/>
    <w:rsid w:val="00B12CF8"/>
    <w:rsid w:val="00B13035"/>
    <w:rsid w:val="00B244B9"/>
    <w:rsid w:val="00B24559"/>
    <w:rsid w:val="00B27020"/>
    <w:rsid w:val="00B27178"/>
    <w:rsid w:val="00B310C3"/>
    <w:rsid w:val="00B42229"/>
    <w:rsid w:val="00B43ABC"/>
    <w:rsid w:val="00B44FA9"/>
    <w:rsid w:val="00B51125"/>
    <w:rsid w:val="00B51F55"/>
    <w:rsid w:val="00B52CDF"/>
    <w:rsid w:val="00B60D60"/>
    <w:rsid w:val="00B63CDD"/>
    <w:rsid w:val="00B65687"/>
    <w:rsid w:val="00B65A3B"/>
    <w:rsid w:val="00B67AF0"/>
    <w:rsid w:val="00B72C6B"/>
    <w:rsid w:val="00B72E16"/>
    <w:rsid w:val="00B73012"/>
    <w:rsid w:val="00B83D7B"/>
    <w:rsid w:val="00B91131"/>
    <w:rsid w:val="00B94E88"/>
    <w:rsid w:val="00B95BB2"/>
    <w:rsid w:val="00B95EBA"/>
    <w:rsid w:val="00BA04AB"/>
    <w:rsid w:val="00BA23D8"/>
    <w:rsid w:val="00BA35C9"/>
    <w:rsid w:val="00BA3EE0"/>
    <w:rsid w:val="00BB4D49"/>
    <w:rsid w:val="00BB6439"/>
    <w:rsid w:val="00BB675F"/>
    <w:rsid w:val="00BC331B"/>
    <w:rsid w:val="00BC331D"/>
    <w:rsid w:val="00BC3E08"/>
    <w:rsid w:val="00BD17B0"/>
    <w:rsid w:val="00BD3E59"/>
    <w:rsid w:val="00BD56B7"/>
    <w:rsid w:val="00BD5A47"/>
    <w:rsid w:val="00BD5FB6"/>
    <w:rsid w:val="00BE2BCC"/>
    <w:rsid w:val="00BE3896"/>
    <w:rsid w:val="00BE7068"/>
    <w:rsid w:val="00BE768F"/>
    <w:rsid w:val="00C03192"/>
    <w:rsid w:val="00C23E32"/>
    <w:rsid w:val="00C251C4"/>
    <w:rsid w:val="00C266F9"/>
    <w:rsid w:val="00C314C1"/>
    <w:rsid w:val="00C31917"/>
    <w:rsid w:val="00C40571"/>
    <w:rsid w:val="00C40D7F"/>
    <w:rsid w:val="00C41741"/>
    <w:rsid w:val="00C41DD9"/>
    <w:rsid w:val="00C427DA"/>
    <w:rsid w:val="00C42C49"/>
    <w:rsid w:val="00C42FAF"/>
    <w:rsid w:val="00C568FB"/>
    <w:rsid w:val="00C56D0A"/>
    <w:rsid w:val="00C72FDA"/>
    <w:rsid w:val="00C734F1"/>
    <w:rsid w:val="00C73AA7"/>
    <w:rsid w:val="00C73DAB"/>
    <w:rsid w:val="00C85569"/>
    <w:rsid w:val="00C863A3"/>
    <w:rsid w:val="00C864DC"/>
    <w:rsid w:val="00C90075"/>
    <w:rsid w:val="00C915B4"/>
    <w:rsid w:val="00C94EEA"/>
    <w:rsid w:val="00CA1722"/>
    <w:rsid w:val="00CA172B"/>
    <w:rsid w:val="00CA452F"/>
    <w:rsid w:val="00CA6098"/>
    <w:rsid w:val="00CA7673"/>
    <w:rsid w:val="00CB1227"/>
    <w:rsid w:val="00CB1255"/>
    <w:rsid w:val="00CB18B1"/>
    <w:rsid w:val="00CB38CA"/>
    <w:rsid w:val="00CB66A2"/>
    <w:rsid w:val="00CB6F2B"/>
    <w:rsid w:val="00CC1067"/>
    <w:rsid w:val="00CC2EC2"/>
    <w:rsid w:val="00CD3324"/>
    <w:rsid w:val="00CD6162"/>
    <w:rsid w:val="00CE4309"/>
    <w:rsid w:val="00CE6C6E"/>
    <w:rsid w:val="00CF42B9"/>
    <w:rsid w:val="00CF580B"/>
    <w:rsid w:val="00CF7819"/>
    <w:rsid w:val="00D01832"/>
    <w:rsid w:val="00D04527"/>
    <w:rsid w:val="00D21C96"/>
    <w:rsid w:val="00D30854"/>
    <w:rsid w:val="00D31127"/>
    <w:rsid w:val="00D33134"/>
    <w:rsid w:val="00D366B5"/>
    <w:rsid w:val="00D4052C"/>
    <w:rsid w:val="00D447AC"/>
    <w:rsid w:val="00D4538C"/>
    <w:rsid w:val="00D4539F"/>
    <w:rsid w:val="00D458F0"/>
    <w:rsid w:val="00D472C6"/>
    <w:rsid w:val="00D5079D"/>
    <w:rsid w:val="00D535DF"/>
    <w:rsid w:val="00D54957"/>
    <w:rsid w:val="00D55BD2"/>
    <w:rsid w:val="00D57CA6"/>
    <w:rsid w:val="00D6041B"/>
    <w:rsid w:val="00D60D98"/>
    <w:rsid w:val="00D61018"/>
    <w:rsid w:val="00D6265B"/>
    <w:rsid w:val="00D72F33"/>
    <w:rsid w:val="00D7707C"/>
    <w:rsid w:val="00D80B6D"/>
    <w:rsid w:val="00D80CAD"/>
    <w:rsid w:val="00D8513A"/>
    <w:rsid w:val="00D85BBB"/>
    <w:rsid w:val="00D90628"/>
    <w:rsid w:val="00D92D49"/>
    <w:rsid w:val="00D930E7"/>
    <w:rsid w:val="00D93623"/>
    <w:rsid w:val="00D93D7A"/>
    <w:rsid w:val="00D9690A"/>
    <w:rsid w:val="00DA073A"/>
    <w:rsid w:val="00DA08E6"/>
    <w:rsid w:val="00DA50BA"/>
    <w:rsid w:val="00DA55A8"/>
    <w:rsid w:val="00DA7B87"/>
    <w:rsid w:val="00DB0266"/>
    <w:rsid w:val="00DB63D9"/>
    <w:rsid w:val="00DB7E77"/>
    <w:rsid w:val="00DC0B27"/>
    <w:rsid w:val="00DC1667"/>
    <w:rsid w:val="00DC30D0"/>
    <w:rsid w:val="00DC7E88"/>
    <w:rsid w:val="00DD3AB0"/>
    <w:rsid w:val="00DD68B5"/>
    <w:rsid w:val="00DD7FC1"/>
    <w:rsid w:val="00DF0000"/>
    <w:rsid w:val="00DF020C"/>
    <w:rsid w:val="00DF05CC"/>
    <w:rsid w:val="00DF5A2C"/>
    <w:rsid w:val="00DF7D1B"/>
    <w:rsid w:val="00E00DC6"/>
    <w:rsid w:val="00E01A0A"/>
    <w:rsid w:val="00E02B4A"/>
    <w:rsid w:val="00E058A3"/>
    <w:rsid w:val="00E06422"/>
    <w:rsid w:val="00E11439"/>
    <w:rsid w:val="00E151F3"/>
    <w:rsid w:val="00E161C6"/>
    <w:rsid w:val="00E17539"/>
    <w:rsid w:val="00E2483C"/>
    <w:rsid w:val="00E26CF0"/>
    <w:rsid w:val="00E31346"/>
    <w:rsid w:val="00E376F8"/>
    <w:rsid w:val="00E40550"/>
    <w:rsid w:val="00E41C99"/>
    <w:rsid w:val="00E423B5"/>
    <w:rsid w:val="00E4313E"/>
    <w:rsid w:val="00E43F59"/>
    <w:rsid w:val="00E518BB"/>
    <w:rsid w:val="00E57F9B"/>
    <w:rsid w:val="00E6726D"/>
    <w:rsid w:val="00E77BCA"/>
    <w:rsid w:val="00E81433"/>
    <w:rsid w:val="00E81C95"/>
    <w:rsid w:val="00E84B41"/>
    <w:rsid w:val="00E852A3"/>
    <w:rsid w:val="00E93958"/>
    <w:rsid w:val="00EA01CC"/>
    <w:rsid w:val="00EA0C1C"/>
    <w:rsid w:val="00EA3819"/>
    <w:rsid w:val="00EA477A"/>
    <w:rsid w:val="00EA4F68"/>
    <w:rsid w:val="00EB1036"/>
    <w:rsid w:val="00EB4785"/>
    <w:rsid w:val="00EB48E6"/>
    <w:rsid w:val="00EB716B"/>
    <w:rsid w:val="00EC3BED"/>
    <w:rsid w:val="00EC7BC1"/>
    <w:rsid w:val="00EC7F0E"/>
    <w:rsid w:val="00ED1BBB"/>
    <w:rsid w:val="00ED2D1F"/>
    <w:rsid w:val="00ED47B9"/>
    <w:rsid w:val="00ED58E9"/>
    <w:rsid w:val="00ED79D6"/>
    <w:rsid w:val="00EE1831"/>
    <w:rsid w:val="00EE63BE"/>
    <w:rsid w:val="00EE6922"/>
    <w:rsid w:val="00EF0284"/>
    <w:rsid w:val="00EF18D9"/>
    <w:rsid w:val="00EF1AE7"/>
    <w:rsid w:val="00EF2F7C"/>
    <w:rsid w:val="00EF318B"/>
    <w:rsid w:val="00F01A8D"/>
    <w:rsid w:val="00F01BFC"/>
    <w:rsid w:val="00F101B3"/>
    <w:rsid w:val="00F10A3C"/>
    <w:rsid w:val="00F13FDA"/>
    <w:rsid w:val="00F14982"/>
    <w:rsid w:val="00F14B6E"/>
    <w:rsid w:val="00F20D55"/>
    <w:rsid w:val="00F21D05"/>
    <w:rsid w:val="00F250B8"/>
    <w:rsid w:val="00F253CD"/>
    <w:rsid w:val="00F2598D"/>
    <w:rsid w:val="00F259AE"/>
    <w:rsid w:val="00F30F02"/>
    <w:rsid w:val="00F31B7E"/>
    <w:rsid w:val="00F336A2"/>
    <w:rsid w:val="00F33826"/>
    <w:rsid w:val="00F34E7C"/>
    <w:rsid w:val="00F3561E"/>
    <w:rsid w:val="00F36EC6"/>
    <w:rsid w:val="00F4229F"/>
    <w:rsid w:val="00F44AEB"/>
    <w:rsid w:val="00F45620"/>
    <w:rsid w:val="00F46BBD"/>
    <w:rsid w:val="00F51B95"/>
    <w:rsid w:val="00F5432C"/>
    <w:rsid w:val="00F5470D"/>
    <w:rsid w:val="00F5611C"/>
    <w:rsid w:val="00F637FB"/>
    <w:rsid w:val="00F66B41"/>
    <w:rsid w:val="00F712AB"/>
    <w:rsid w:val="00F77D7D"/>
    <w:rsid w:val="00F80CD0"/>
    <w:rsid w:val="00F82DDB"/>
    <w:rsid w:val="00F838FF"/>
    <w:rsid w:val="00F83CDB"/>
    <w:rsid w:val="00F8771B"/>
    <w:rsid w:val="00F90003"/>
    <w:rsid w:val="00F9173C"/>
    <w:rsid w:val="00F94180"/>
    <w:rsid w:val="00FA1C73"/>
    <w:rsid w:val="00FA6B22"/>
    <w:rsid w:val="00FA73E5"/>
    <w:rsid w:val="00FB18D0"/>
    <w:rsid w:val="00FB2ED6"/>
    <w:rsid w:val="00FB3309"/>
    <w:rsid w:val="00FB53F1"/>
    <w:rsid w:val="00FC0973"/>
    <w:rsid w:val="00FC23FE"/>
    <w:rsid w:val="00FC2522"/>
    <w:rsid w:val="00FC309B"/>
    <w:rsid w:val="00FC5B56"/>
    <w:rsid w:val="00FC7D97"/>
    <w:rsid w:val="00FD43E4"/>
    <w:rsid w:val="00FD4B12"/>
    <w:rsid w:val="00FD7195"/>
    <w:rsid w:val="00FD747A"/>
    <w:rsid w:val="00FE10BB"/>
    <w:rsid w:val="00FE3038"/>
    <w:rsid w:val="00FE4313"/>
    <w:rsid w:val="00FF3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UnresolvedMention">
    <w:name w:val="Unresolved Mention"/>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04665014">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496388250">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211453985">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michaela.sahul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C6916-2C7E-46B2-9933-3F4652ED6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6703</TotalTime>
  <Pages>3</Pages>
  <Words>839</Words>
  <Characters>4951</Characters>
  <Application>Microsoft Office Word</Application>
  <DocSecurity>0</DocSecurity>
  <Lines>41</Lines>
  <Paragraphs>11</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9</cp:revision>
  <dcterms:created xsi:type="dcterms:W3CDTF">2023-05-30T10:07:00Z</dcterms:created>
  <dcterms:modified xsi:type="dcterms:W3CDTF">2023-07-04T01:09:00Z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