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2BE1B2AD"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Broker Consulting je jednou z největších společností na českém a slovenském trhu, která poskytuje služby v oblasti financí a realit. Od rok</w:t>
          </w:r>
          <w:r w:rsidR="008171F9">
            <w:rPr>
              <w:rFonts w:asciiTheme="minorHAnsi" w:hAnsiTheme="minorHAnsi" w:cstheme="minorHAnsi"/>
              <w:sz w:val="20"/>
              <w:szCs w:val="20"/>
            </w:rPr>
            <w:t>u 1998 získala důvěru více než 7</w:t>
          </w:r>
          <w:bookmarkStart w:id="0" w:name="_GoBack"/>
          <w:bookmarkEnd w:id="0"/>
          <w:r w:rsidRPr="00BC331D">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w:t>
          </w:r>
          <w:r w:rsidR="00477DC5">
            <w:rPr>
              <w:rFonts w:asciiTheme="minorHAnsi" w:hAnsiTheme="minorHAnsi" w:cstheme="minorHAnsi"/>
              <w:sz w:val="20"/>
              <w:szCs w:val="20"/>
            </w:rPr>
            <w:t>cování v ČR i SR) ve více než 15</w:t>
          </w:r>
          <w:r w:rsidRPr="00BC331D">
            <w:rPr>
              <w:rFonts w:asciiTheme="minorHAnsi" w:hAnsiTheme="minorHAnsi" w:cstheme="minorHAnsi"/>
              <w:sz w:val="20"/>
              <w:szCs w:val="20"/>
            </w:rPr>
            <w:t xml:space="preserve">0 kancelářích a </w:t>
          </w:r>
          <w:r w:rsidR="00477DC5">
            <w:rPr>
              <w:rFonts w:asciiTheme="minorHAnsi" w:hAnsiTheme="minorHAnsi" w:cstheme="minorHAnsi"/>
              <w:sz w:val="20"/>
              <w:szCs w:val="20"/>
            </w:rPr>
            <w:t>několika desítek poboček</w:t>
          </w:r>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sidRPr="00BC331D">
            <w:rPr>
              <w:rFonts w:asciiTheme="minorHAnsi" w:hAnsiTheme="minorHAnsi" w:cstheme="minorHAnsi"/>
              <w:sz w:val="20"/>
              <w:szCs w:val="20"/>
            </w:rPr>
            <w:t xml:space="preserve"> Broker Consulting</w:t>
          </w:r>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F02356"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6A10485D" w14:textId="649FD664" w:rsidR="00704D83" w:rsidRPr="00AD647D" w:rsidRDefault="00704D83" w:rsidP="0053728E">
      <w:pPr>
        <w:rPr>
          <w:rFonts w:asciiTheme="minorHAnsi" w:hAnsiTheme="minorHAnsi" w:cstheme="minorHAnsi"/>
          <w:b/>
          <w:sz w:val="28"/>
          <w:szCs w:val="28"/>
        </w:rPr>
      </w:pPr>
    </w:p>
    <w:p w14:paraId="265F124C" w14:textId="22D8AE38" w:rsidR="00112CC0" w:rsidRDefault="00A522F5" w:rsidP="003D47CB">
      <w:pPr>
        <w:spacing w:after="200"/>
        <w:jc w:val="center"/>
        <w:rPr>
          <w:rFonts w:asciiTheme="minorHAnsi" w:hAnsiTheme="minorHAnsi" w:cstheme="minorHAnsi"/>
          <w:b/>
          <w:sz w:val="28"/>
          <w:szCs w:val="28"/>
        </w:rPr>
      </w:pPr>
      <w:r>
        <w:rPr>
          <w:rFonts w:asciiTheme="minorHAnsi" w:hAnsiTheme="minorHAnsi" w:cstheme="minorHAnsi"/>
          <w:b/>
          <w:sz w:val="28"/>
          <w:szCs w:val="28"/>
        </w:rPr>
        <w:t xml:space="preserve">Po květnovém výkyvu </w:t>
      </w:r>
      <w:r w:rsidR="00445316">
        <w:rPr>
          <w:rFonts w:asciiTheme="minorHAnsi" w:hAnsiTheme="minorHAnsi" w:cstheme="minorHAnsi"/>
          <w:b/>
          <w:sz w:val="28"/>
          <w:szCs w:val="28"/>
        </w:rPr>
        <w:t>došlo k poklesu úroků u spotřebitelských úvěrů</w:t>
      </w:r>
    </w:p>
    <w:p w14:paraId="5A945737" w14:textId="2532C6C1" w:rsidR="00112CC0" w:rsidRPr="00112CC0" w:rsidRDefault="00112CC0" w:rsidP="00112CC0">
      <w:pPr>
        <w:pStyle w:val="Odstavecseseznamem"/>
        <w:numPr>
          <w:ilvl w:val="0"/>
          <w:numId w:val="4"/>
        </w:numPr>
        <w:ind w:left="357" w:right="40" w:hanging="357"/>
        <w:rPr>
          <w:rFonts w:asciiTheme="minorHAnsi" w:eastAsiaTheme="minorHAnsi" w:hAnsiTheme="minorHAnsi" w:cstheme="minorHAnsi"/>
          <w:b/>
          <w:lang w:bidi="ar-SA"/>
        </w:rPr>
      </w:pPr>
      <w:r w:rsidRPr="00112CC0">
        <w:rPr>
          <w:rFonts w:asciiTheme="minorHAnsi" w:eastAsiaTheme="minorHAnsi" w:hAnsiTheme="minorHAnsi" w:cstheme="minorHAnsi"/>
          <w:b/>
          <w:lang w:bidi="ar-SA"/>
        </w:rPr>
        <w:t>Broker Consulting Index spotřeb</w:t>
      </w:r>
      <w:r w:rsidR="00DB0F40">
        <w:rPr>
          <w:rFonts w:asciiTheme="minorHAnsi" w:eastAsiaTheme="minorHAnsi" w:hAnsiTheme="minorHAnsi" w:cstheme="minorHAnsi"/>
          <w:b/>
          <w:lang w:bidi="ar-SA"/>
        </w:rPr>
        <w:t xml:space="preserve">itelských úvěrů zaznamenal za červen hodnotu 8,93 </w:t>
      </w:r>
      <w:r w:rsidRPr="00112CC0">
        <w:rPr>
          <w:rFonts w:asciiTheme="minorHAnsi" w:eastAsiaTheme="minorHAnsi" w:hAnsiTheme="minorHAnsi" w:cstheme="minorHAnsi"/>
          <w:b/>
          <w:lang w:bidi="ar-SA"/>
        </w:rPr>
        <w:t>procenta</w:t>
      </w:r>
    </w:p>
    <w:p w14:paraId="4B854038" w14:textId="00311A83" w:rsidR="00112CC0" w:rsidRPr="00112CC0" w:rsidRDefault="00112CC0" w:rsidP="00112CC0">
      <w:pPr>
        <w:pStyle w:val="Odstavecseseznamem"/>
        <w:numPr>
          <w:ilvl w:val="0"/>
          <w:numId w:val="4"/>
        </w:numPr>
        <w:ind w:left="357" w:right="40" w:hanging="357"/>
        <w:rPr>
          <w:rFonts w:asciiTheme="minorHAnsi" w:eastAsiaTheme="minorHAnsi" w:hAnsiTheme="minorHAnsi" w:cstheme="minorHAnsi"/>
          <w:b/>
          <w:lang w:bidi="ar-SA"/>
        </w:rPr>
      </w:pPr>
      <w:r w:rsidRPr="00112CC0">
        <w:rPr>
          <w:rFonts w:asciiTheme="minorHAnsi" w:eastAsiaTheme="minorHAnsi" w:hAnsiTheme="minorHAnsi" w:cstheme="minorHAnsi"/>
          <w:b/>
          <w:lang w:bidi="ar-SA"/>
        </w:rPr>
        <w:t xml:space="preserve">Meziměsíčně se hodnota úrokových sazeb </w:t>
      </w:r>
      <w:r w:rsidR="00DB0F40">
        <w:rPr>
          <w:rFonts w:asciiTheme="minorHAnsi" w:eastAsiaTheme="minorHAnsi" w:hAnsiTheme="minorHAnsi" w:cstheme="minorHAnsi"/>
          <w:b/>
          <w:lang w:bidi="ar-SA"/>
        </w:rPr>
        <w:t>snížila o 1,31 procentního bodu</w:t>
      </w:r>
    </w:p>
    <w:p w14:paraId="1B5B0E18" w14:textId="784D83E4" w:rsidR="00F21D05" w:rsidRPr="009B1D25" w:rsidRDefault="00112CC0" w:rsidP="009B1D25">
      <w:pPr>
        <w:pStyle w:val="Odstavecseseznamem"/>
        <w:numPr>
          <w:ilvl w:val="0"/>
          <w:numId w:val="4"/>
        </w:numPr>
        <w:spacing w:after="200"/>
        <w:ind w:left="357" w:right="40" w:hanging="357"/>
        <w:rPr>
          <w:rFonts w:asciiTheme="minorHAnsi" w:eastAsiaTheme="minorHAnsi" w:hAnsiTheme="minorHAnsi" w:cstheme="minorHAnsi"/>
          <w:b/>
          <w:lang w:bidi="ar-SA"/>
        </w:rPr>
      </w:pPr>
      <w:r w:rsidRPr="00112CC0">
        <w:rPr>
          <w:rFonts w:asciiTheme="minorHAnsi" w:eastAsiaTheme="minorHAnsi" w:hAnsiTheme="minorHAnsi" w:cstheme="minorHAnsi"/>
          <w:b/>
          <w:lang w:bidi="ar-SA"/>
        </w:rPr>
        <w:t>Nadále se očekává stagnace na trhu se spotřebitelskými úvěry</w:t>
      </w:r>
    </w:p>
    <w:p w14:paraId="1096ED73" w14:textId="413C6FD3" w:rsidR="00791E6F" w:rsidRDefault="008C3A59" w:rsidP="009B1D25">
      <w:pPr>
        <w:spacing w:after="200"/>
        <w:jc w:val="both"/>
        <w:rPr>
          <w:rFonts w:asciiTheme="minorHAnsi" w:hAnsiTheme="minorHAnsi" w:cstheme="minorHAnsi"/>
          <w:b/>
        </w:rPr>
      </w:pPr>
      <w:r w:rsidRPr="007F13CC">
        <w:rPr>
          <w:rFonts w:asciiTheme="minorHAnsi" w:hAnsiTheme="minorHAnsi" w:cstheme="minorHAnsi"/>
          <w:b/>
          <w:i/>
        </w:rPr>
        <w:t>Praha,</w:t>
      </w:r>
      <w:r w:rsidR="009B1D25">
        <w:rPr>
          <w:rFonts w:asciiTheme="minorHAnsi" w:hAnsiTheme="minorHAnsi" w:cstheme="minorHAnsi"/>
          <w:b/>
          <w:i/>
        </w:rPr>
        <w:t xml:space="preserve"> 5. července</w:t>
      </w:r>
      <w:r w:rsidR="00F21D05" w:rsidRPr="007F13CC">
        <w:rPr>
          <w:rFonts w:asciiTheme="minorHAnsi" w:hAnsiTheme="minorHAnsi" w:cstheme="minorHAnsi"/>
          <w:b/>
          <w:i/>
        </w:rPr>
        <w:t xml:space="preserve"> 2023</w:t>
      </w:r>
      <w:r w:rsidR="00F21D05" w:rsidRPr="00E84B41">
        <w:rPr>
          <w:rFonts w:asciiTheme="minorHAnsi" w:hAnsiTheme="minorHAnsi" w:cstheme="minorHAnsi"/>
          <w:b/>
        </w:rPr>
        <w:t xml:space="preserve"> </w:t>
      </w:r>
      <w:r w:rsidR="00791E6F" w:rsidRPr="00E84B41">
        <w:rPr>
          <w:rFonts w:asciiTheme="minorHAnsi" w:hAnsiTheme="minorHAnsi" w:cstheme="minorHAnsi"/>
          <w:b/>
        </w:rPr>
        <w:t>–</w:t>
      </w:r>
      <w:r w:rsidR="00F21D05" w:rsidRPr="00E84B41">
        <w:rPr>
          <w:rFonts w:asciiTheme="minorHAnsi" w:hAnsiTheme="minorHAnsi" w:cstheme="minorHAnsi"/>
          <w:b/>
        </w:rPr>
        <w:t xml:space="preserve"> </w:t>
      </w:r>
      <w:r w:rsidR="009B1D25">
        <w:rPr>
          <w:rFonts w:asciiTheme="minorHAnsi" w:hAnsiTheme="minorHAnsi" w:cstheme="minorHAnsi"/>
          <w:b/>
        </w:rPr>
        <w:t xml:space="preserve"> Červnová h</w:t>
      </w:r>
      <w:r w:rsidR="00934CD7" w:rsidRPr="00E84B41">
        <w:rPr>
          <w:rFonts w:asciiTheme="minorHAnsi" w:hAnsiTheme="minorHAnsi" w:cstheme="minorHAnsi"/>
          <w:b/>
        </w:rPr>
        <w:t xml:space="preserve">odnota Broker </w:t>
      </w:r>
      <w:r w:rsidR="00115429" w:rsidRPr="00E84B41">
        <w:rPr>
          <w:rFonts w:asciiTheme="minorHAnsi" w:hAnsiTheme="minorHAnsi" w:cstheme="minorHAnsi"/>
          <w:b/>
        </w:rPr>
        <w:t>Cons</w:t>
      </w:r>
      <w:r w:rsidR="000D68AC" w:rsidRPr="00E84B41">
        <w:rPr>
          <w:rFonts w:asciiTheme="minorHAnsi" w:hAnsiTheme="minorHAnsi" w:cstheme="minorHAnsi"/>
          <w:b/>
        </w:rPr>
        <w:t xml:space="preserve">ulting Indexu spotřebitelských úvěrů </w:t>
      </w:r>
      <w:r w:rsidR="009B1D25">
        <w:rPr>
          <w:rFonts w:asciiTheme="minorHAnsi" w:hAnsiTheme="minorHAnsi" w:cstheme="minorHAnsi"/>
          <w:b/>
        </w:rPr>
        <w:t>klesla z květnových 10,24 procenta na 8,93 procenta</w:t>
      </w:r>
      <w:r w:rsidR="000D68AC" w:rsidRPr="00E84B41">
        <w:rPr>
          <w:rFonts w:asciiTheme="minorHAnsi" w:hAnsiTheme="minorHAnsi" w:cstheme="minorHAnsi"/>
          <w:b/>
        </w:rPr>
        <w:t xml:space="preserve">. Meziměsíčně </w:t>
      </w:r>
      <w:r w:rsidR="009B1D25">
        <w:rPr>
          <w:rFonts w:asciiTheme="minorHAnsi" w:hAnsiTheme="minorHAnsi" w:cstheme="minorHAnsi"/>
          <w:b/>
        </w:rPr>
        <w:t xml:space="preserve">úrokové sazby u bezúčelových úvěrů klesly o více než jeden procentní bod. Hodnota indexu se tedy vrátila na úroveň letošního března. I přesto jsou podle úvěrových analytiků nabídky ve spotřebitelských úvěrech poměrně stabilní. </w:t>
      </w:r>
    </w:p>
    <w:p w14:paraId="3D9F99E0" w14:textId="77777777" w:rsidR="003A285A" w:rsidRPr="006870AB" w:rsidRDefault="003A285A" w:rsidP="003A285A">
      <w:pPr>
        <w:spacing w:after="120"/>
        <w:rPr>
          <w:rFonts w:asciiTheme="minorHAnsi" w:hAnsiTheme="minorHAnsi" w:cs="Arial"/>
        </w:rPr>
      </w:pPr>
      <w:r w:rsidRPr="006870AB">
        <w:rPr>
          <w:rFonts w:asciiTheme="minorHAnsi" w:hAnsiTheme="minorHAnsi" w:cs="Calibri"/>
        </w:rPr>
        <w:t>„</w:t>
      </w:r>
      <w:r>
        <w:rPr>
          <w:rFonts w:asciiTheme="minorHAnsi" w:hAnsiTheme="minorHAnsi" w:cs="Arial"/>
          <w:i/>
        </w:rPr>
        <w:t>Nadále neočekáváme dramatické výkyvy indexových hodnot</w:t>
      </w:r>
      <w:r w:rsidRPr="006870AB">
        <w:rPr>
          <w:rFonts w:asciiTheme="minorHAnsi" w:hAnsiTheme="minorHAnsi" w:cs="Arial"/>
          <w:i/>
        </w:rPr>
        <w:t xml:space="preserve">. </w:t>
      </w:r>
      <w:r>
        <w:rPr>
          <w:rFonts w:asciiTheme="minorHAnsi" w:hAnsiTheme="minorHAnsi" w:cs="Arial"/>
          <w:i/>
        </w:rPr>
        <w:t>Úroková nabídka u</w:t>
      </w:r>
      <w:r w:rsidRPr="006870AB">
        <w:rPr>
          <w:rFonts w:asciiTheme="minorHAnsi" w:hAnsiTheme="minorHAnsi" w:cs="Arial"/>
          <w:i/>
        </w:rPr>
        <w:t xml:space="preserve"> spotřebitelských úvěrů je v poslední době poměrně stabilní</w:t>
      </w:r>
      <w:r w:rsidRPr="006870AB">
        <w:rPr>
          <w:rFonts w:asciiTheme="minorHAnsi" w:hAnsiTheme="minorHAnsi" w:cs="Arial"/>
        </w:rPr>
        <w:t>,</w:t>
      </w:r>
      <w:r w:rsidRPr="006870AB">
        <w:rPr>
          <w:rFonts w:asciiTheme="minorHAnsi" w:hAnsiTheme="minorHAnsi" w:cs="Calibri"/>
        </w:rPr>
        <w:t xml:space="preserve">“ říká </w:t>
      </w:r>
      <w:r w:rsidRPr="006870AB">
        <w:rPr>
          <w:rFonts w:asciiTheme="minorHAnsi" w:hAnsiTheme="minorHAnsi" w:cs="Calibri"/>
          <w:b/>
        </w:rPr>
        <w:t xml:space="preserve">Michaela Pudilová, analytička hypotečních a spotřebitelských úvěrů ze společnosti Broker Consulting. </w:t>
      </w:r>
    </w:p>
    <w:p w14:paraId="6FBB73EE" w14:textId="40170517" w:rsidR="009B1D25" w:rsidRDefault="009B1D25" w:rsidP="009B1D25">
      <w:pPr>
        <w:rPr>
          <w:rFonts w:asciiTheme="minorHAnsi" w:hAnsiTheme="minorHAnsi" w:cs="Arial"/>
        </w:rPr>
      </w:pPr>
      <w:r w:rsidRPr="003A285A">
        <w:rPr>
          <w:rFonts w:asciiTheme="minorHAnsi" w:hAnsiTheme="minorHAnsi" w:cs="Arial"/>
        </w:rPr>
        <w:t xml:space="preserve">Červnová hodnota Broker Consulting Indexu spotřebitelských úvěrů opětovně klesla na hodnotu 8,93 procenta a vrátila se tak na úroveň úrokových sazeb března tohoto roku. </w:t>
      </w:r>
      <w:r w:rsidR="003A285A" w:rsidRPr="003A285A">
        <w:rPr>
          <w:rFonts w:asciiTheme="minorHAnsi" w:hAnsiTheme="minorHAnsi" w:cs="Arial"/>
        </w:rPr>
        <w:t xml:space="preserve">Ačkoli jsou podle expertů sazby víceméně stabilní, </w:t>
      </w:r>
      <w:r w:rsidR="003D47CB">
        <w:rPr>
          <w:rFonts w:asciiTheme="minorHAnsi" w:hAnsiTheme="minorHAnsi" w:cs="Arial"/>
        </w:rPr>
        <w:t>minulý měsíc zaznamenal index nové maximum, když vystoupal nad desetiprocentní hranici. P</w:t>
      </w:r>
      <w:r w:rsidR="003A285A" w:rsidRPr="003A285A">
        <w:rPr>
          <w:rFonts w:asciiTheme="minorHAnsi" w:hAnsiTheme="minorHAnsi" w:cs="Arial"/>
        </w:rPr>
        <w:t xml:space="preserve">řed rokem </w:t>
      </w:r>
      <w:r w:rsidR="003D47CB">
        <w:rPr>
          <w:rFonts w:asciiTheme="minorHAnsi" w:hAnsiTheme="minorHAnsi" w:cs="Arial"/>
        </w:rPr>
        <w:t xml:space="preserve">se přitom ještě průměrná sazba pohybovala pod osmi procenty. </w:t>
      </w:r>
      <w:r w:rsidR="00BE424D">
        <w:rPr>
          <w:rFonts w:asciiTheme="minorHAnsi" w:hAnsiTheme="minorHAnsi" w:cs="Arial"/>
        </w:rPr>
        <w:t xml:space="preserve">Celkový </w:t>
      </w:r>
      <w:r w:rsidR="003D47CB">
        <w:rPr>
          <w:rFonts w:asciiTheme="minorHAnsi" w:hAnsiTheme="minorHAnsi" w:cs="Arial"/>
        </w:rPr>
        <w:t xml:space="preserve">průměr </w:t>
      </w:r>
      <w:r w:rsidR="00BE424D">
        <w:rPr>
          <w:rFonts w:asciiTheme="minorHAnsi" w:hAnsiTheme="minorHAnsi" w:cs="Arial"/>
        </w:rPr>
        <w:t>indexových hodnot</w:t>
      </w:r>
      <w:r w:rsidR="003D47CB">
        <w:rPr>
          <w:rFonts w:asciiTheme="minorHAnsi" w:hAnsiTheme="minorHAnsi" w:cs="Arial"/>
        </w:rPr>
        <w:t xml:space="preserve"> </w:t>
      </w:r>
      <w:r w:rsidR="00BE424D">
        <w:rPr>
          <w:rFonts w:asciiTheme="minorHAnsi" w:hAnsiTheme="minorHAnsi" w:cs="Arial"/>
        </w:rPr>
        <w:t>činí 7,20 procenta.</w:t>
      </w:r>
    </w:p>
    <w:p w14:paraId="4E2B1F11" w14:textId="6753B59A" w:rsidR="00A86544" w:rsidRDefault="00A86544" w:rsidP="009B1D25">
      <w:pPr>
        <w:rPr>
          <w:rFonts w:asciiTheme="minorHAnsi" w:hAnsiTheme="minorHAnsi" w:cs="Arial"/>
        </w:rPr>
      </w:pPr>
    </w:p>
    <w:p w14:paraId="2EA0AE93" w14:textId="1127E85C" w:rsidR="000329A2" w:rsidRPr="000329A2" w:rsidRDefault="00A86544" w:rsidP="000329A2">
      <w:pPr>
        <w:rPr>
          <w:rFonts w:asciiTheme="minorHAnsi" w:hAnsiTheme="minorHAnsi" w:cs="Arial"/>
        </w:rPr>
      </w:pPr>
      <w:r>
        <w:rPr>
          <w:rFonts w:asciiTheme="minorHAnsi" w:hAnsiTheme="minorHAnsi" w:cs="Arial"/>
        </w:rPr>
        <w:t>Kvůli kratším dobám splatnosti klienti tolik neřeší výši sazeb u bezúčelových úvěrů jako u například u hypoték. „</w:t>
      </w:r>
      <w:r w:rsidRPr="00A86544">
        <w:rPr>
          <w:rFonts w:asciiTheme="minorHAnsi" w:hAnsiTheme="minorHAnsi" w:cs="Arial"/>
          <w:i/>
        </w:rPr>
        <w:t>Mnohdy jim ale kvůli tomu utíkají peníze, které by mohli využít lépe</w:t>
      </w:r>
      <w:r>
        <w:rPr>
          <w:rFonts w:asciiTheme="minorHAnsi" w:hAnsiTheme="minorHAnsi" w:cs="Arial"/>
        </w:rPr>
        <w:t xml:space="preserve">,“ doplňuje </w:t>
      </w:r>
      <w:r w:rsidRPr="00A86544">
        <w:rPr>
          <w:rFonts w:asciiTheme="minorHAnsi" w:hAnsiTheme="minorHAnsi" w:cs="Arial"/>
          <w:b/>
        </w:rPr>
        <w:t>Michaela Pudilová</w:t>
      </w:r>
      <w:r>
        <w:rPr>
          <w:rFonts w:asciiTheme="minorHAnsi" w:hAnsiTheme="minorHAnsi" w:cs="Arial"/>
        </w:rPr>
        <w:t>. Důležité je vždy hledět na více vypovídající RPSN – roční procentní sazbu nákladů, která žadateli lépe ukáže celkové náklady s poskytnutím a vedením úvěru. U spotřebitelských úvěrů bývá nejdelší splatnost deset let, a to v případě konsolidace dalších úvěrů, kreditních karet nebo kontokorentů z jiných bank. „</w:t>
      </w:r>
      <w:r w:rsidRPr="000329A2">
        <w:rPr>
          <w:rFonts w:asciiTheme="minorHAnsi" w:hAnsiTheme="minorHAnsi" w:cs="Arial"/>
          <w:i/>
        </w:rPr>
        <w:t xml:space="preserve">Konsolidace může být výhodná nejenom kvůli jedné splátce, </w:t>
      </w:r>
      <w:r w:rsidR="000329A2">
        <w:rPr>
          <w:rFonts w:asciiTheme="minorHAnsi" w:hAnsiTheme="minorHAnsi" w:cs="Arial"/>
          <w:i/>
        </w:rPr>
        <w:t>kterou</w:t>
      </w:r>
      <w:r w:rsidRPr="000329A2">
        <w:rPr>
          <w:rFonts w:asciiTheme="minorHAnsi" w:hAnsiTheme="minorHAnsi" w:cs="Arial"/>
          <w:i/>
        </w:rPr>
        <w:t xml:space="preserve"> klient splácí, </w:t>
      </w:r>
      <w:r w:rsidR="000329A2" w:rsidRPr="000329A2">
        <w:rPr>
          <w:rFonts w:asciiTheme="minorHAnsi" w:hAnsiTheme="minorHAnsi" w:cs="Arial"/>
          <w:i/>
        </w:rPr>
        <w:t>ale i kvůli delší době splatnosti</w:t>
      </w:r>
      <w:r w:rsidR="000329A2">
        <w:rPr>
          <w:rFonts w:asciiTheme="minorHAnsi" w:hAnsiTheme="minorHAnsi" w:cs="Arial"/>
          <w:i/>
        </w:rPr>
        <w:t>, jež snižuje celkovou splátku</w:t>
      </w:r>
      <w:r w:rsidR="000329A2">
        <w:rPr>
          <w:rFonts w:asciiTheme="minorHAnsi" w:hAnsiTheme="minorHAnsi" w:cs="Arial"/>
        </w:rPr>
        <w:t xml:space="preserve">,“ dodává </w:t>
      </w:r>
      <w:r w:rsidR="000329A2" w:rsidRPr="000329A2">
        <w:rPr>
          <w:rFonts w:asciiTheme="minorHAnsi" w:hAnsiTheme="minorHAnsi" w:cs="Arial"/>
          <w:b/>
        </w:rPr>
        <w:t>Pudilová</w:t>
      </w:r>
      <w:r>
        <w:rPr>
          <w:rFonts w:asciiTheme="minorHAnsi" w:hAnsiTheme="minorHAnsi" w:cs="Arial"/>
        </w:rPr>
        <w:t>.</w:t>
      </w:r>
      <w:r w:rsidR="000329A2">
        <w:rPr>
          <w:rFonts w:asciiTheme="minorHAnsi" w:hAnsiTheme="minorHAnsi" w:cs="Arial"/>
        </w:rPr>
        <w:t xml:space="preserve"> </w:t>
      </w:r>
      <w:r w:rsidR="000329A2">
        <w:rPr>
          <w:rFonts w:asciiTheme="minorHAnsi" w:hAnsiTheme="minorHAnsi" w:cs="Calibri"/>
        </w:rPr>
        <w:t>V každém případě odborníci doporučují mít dobrý přehled o vlastních financích, především o svých pravidelných příjmech a výdajích.</w:t>
      </w:r>
    </w:p>
    <w:p w14:paraId="4A8554D3" w14:textId="39AB2B96" w:rsidR="00FD43E4" w:rsidRPr="00AD647D" w:rsidRDefault="00FD43E4" w:rsidP="00F21D05">
      <w:pPr>
        <w:jc w:val="both"/>
        <w:rPr>
          <w:rFonts w:asciiTheme="minorHAnsi" w:hAnsiTheme="minorHAnsi" w:cstheme="minorHAnsi"/>
        </w:rPr>
      </w:pPr>
    </w:p>
    <w:p w14:paraId="06A748C3" w14:textId="77777777" w:rsidR="00F21D05" w:rsidRPr="00F21D05" w:rsidRDefault="00F21D05" w:rsidP="00F21D05">
      <w:pPr>
        <w:jc w:val="both"/>
        <w:rPr>
          <w:rFonts w:ascii="Arial" w:hAnsi="Arial" w:cs="Arial"/>
          <w:i/>
        </w:rPr>
      </w:pPr>
    </w:p>
    <w:p w14:paraId="147111FB" w14:textId="5023E4E5" w:rsidR="00F21D05" w:rsidRPr="00F21D05" w:rsidRDefault="003A285A" w:rsidP="00F21D05">
      <w:pPr>
        <w:spacing w:line="360" w:lineRule="auto"/>
        <w:jc w:val="both"/>
        <w:rPr>
          <w:rFonts w:ascii="Arial" w:hAnsi="Arial" w:cs="Arial"/>
          <w:b/>
        </w:rPr>
      </w:pPr>
      <w:r>
        <w:rPr>
          <w:rFonts w:ascii="Arial" w:hAnsi="Arial" w:cs="Arial"/>
          <w:b/>
          <w:noProof/>
          <w:lang w:bidi="ar-SA"/>
        </w:rPr>
        <w:drawing>
          <wp:inline distT="0" distB="0" distL="0" distR="0" wp14:anchorId="0C111836" wp14:editId="28EB6837">
            <wp:extent cx="6635750" cy="216535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BC Index spotřebitelských úvěrů - červen 202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35750" cy="2165350"/>
                    </a:xfrm>
                    <a:prstGeom prst="rect">
                      <a:avLst/>
                    </a:prstGeom>
                  </pic:spPr>
                </pic:pic>
              </a:graphicData>
            </a:graphic>
          </wp:inline>
        </w:drawing>
      </w:r>
    </w:p>
    <w:p w14:paraId="5B2F26CC" w14:textId="3AF04E68" w:rsidR="00F10A3C" w:rsidRDefault="00F10A3C" w:rsidP="00F10A3C">
      <w:pPr>
        <w:pBdr>
          <w:bottom w:val="single" w:sz="2" w:space="1" w:color="auto"/>
        </w:pBdr>
        <w:jc w:val="both"/>
        <w:rPr>
          <w:rFonts w:ascii="Arial" w:hAnsi="Arial" w:cs="Arial"/>
          <w:b/>
          <w14:textOutline w14:w="6350" w14:cap="rnd" w14:cmpd="sng" w14:algn="ctr">
            <w14:solidFill>
              <w14:schemeClr w14:val="tx1"/>
            </w14:solidFill>
            <w14:prstDash w14:val="solid"/>
            <w14:bevel/>
          </w14:textOutline>
        </w:rPr>
      </w:pPr>
    </w:p>
    <w:p w14:paraId="0B4992BC" w14:textId="082DAC14" w:rsidR="00BE768F" w:rsidRPr="00AD647D" w:rsidRDefault="008F3C6D" w:rsidP="00F10A3C">
      <w:pPr>
        <w:spacing w:before="100" w:beforeAutospacing="1" w:after="120"/>
        <w:jc w:val="both"/>
        <w:rPr>
          <w:rFonts w:asciiTheme="minorHAnsi" w:hAnsiTheme="minorHAnsi" w:cstheme="minorHAnsi"/>
        </w:rPr>
      </w:pPr>
      <w:r w:rsidRPr="00AD647D">
        <w:rPr>
          <w:rFonts w:asciiTheme="minorHAnsi" w:hAnsiTheme="minorHAnsi" w:cstheme="minorHAnsi"/>
        </w:rPr>
        <w:t xml:space="preserve">Broker Consulting Index spotřebitelských úvěrů je analytický nástroj, který ukazuje průměrnou úrokovou sazbu </w:t>
      </w:r>
      <w:r w:rsidR="00BE768F" w:rsidRPr="00AD647D">
        <w:rPr>
          <w:rFonts w:asciiTheme="minorHAnsi" w:hAnsiTheme="minorHAnsi" w:cstheme="minorHAnsi"/>
        </w:rPr>
        <w:br/>
      </w:r>
      <w:r w:rsidRPr="00AD647D">
        <w:rPr>
          <w:rFonts w:asciiTheme="minorHAnsi" w:hAnsiTheme="minorHAnsi" w:cstheme="minorHAnsi"/>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2FA3FD44" w14:textId="6D26D12D" w:rsidR="008F3C6D" w:rsidRPr="00AD647D" w:rsidRDefault="008F3C6D" w:rsidP="00B51F55">
      <w:pPr>
        <w:tabs>
          <w:tab w:val="left" w:pos="7152"/>
        </w:tabs>
        <w:jc w:val="both"/>
        <w:rPr>
          <w:rFonts w:asciiTheme="minorHAnsi" w:hAnsiTheme="minorHAnsi" w:cstheme="minorHAnsi"/>
          <w:b/>
        </w:rPr>
      </w:pPr>
      <w:r w:rsidRPr="00AD647D">
        <w:rPr>
          <w:rFonts w:asciiTheme="minorHAnsi" w:hAnsiTheme="minorHAnsi" w:cstheme="minorHAnsi"/>
          <w:b/>
        </w:rPr>
        <w:tab/>
      </w:r>
      <w:r w:rsidR="00EB1036" w:rsidRPr="00AD647D">
        <w:rPr>
          <w:rFonts w:asciiTheme="minorHAnsi" w:hAnsiTheme="minorHAnsi" w:cstheme="minorHAnsi"/>
          <w:b/>
        </w:rPr>
        <w:br/>
      </w:r>
      <w:r w:rsidRPr="00AD647D">
        <w:rPr>
          <w:rFonts w:asciiTheme="minorHAnsi" w:hAnsiTheme="minorHAnsi" w:cstheme="minorHAnsi"/>
          <w:b/>
        </w:rPr>
        <w:t>Proč je dobré Index sledovat</w:t>
      </w:r>
      <w:r w:rsidRPr="00AD647D">
        <w:rPr>
          <w:rFonts w:asciiTheme="minorHAnsi" w:hAnsiTheme="minorHAnsi" w:cstheme="minorHAnsi"/>
          <w:b/>
        </w:rPr>
        <w:tab/>
      </w:r>
    </w:p>
    <w:p w14:paraId="19369C4D" w14:textId="072B9F25" w:rsidR="008F3C6D" w:rsidRPr="00AD647D" w:rsidRDefault="008F3C6D" w:rsidP="008F3C6D">
      <w:pPr>
        <w:jc w:val="both"/>
        <w:rPr>
          <w:rFonts w:asciiTheme="minorHAnsi" w:hAnsiTheme="minorHAnsi" w:cstheme="minorHAnsi"/>
        </w:rPr>
      </w:pPr>
      <w:r w:rsidRPr="00AD647D">
        <w:rPr>
          <w:rFonts w:asciiTheme="minorHAnsi" w:hAnsiTheme="minorHAnsi" w:cstheme="minorHAnsi"/>
        </w:rPr>
        <w:lastRenderedPageBreak/>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sidRPr="00AD647D">
        <w:rPr>
          <w:rFonts w:asciiTheme="minorHAnsi" w:hAnsiTheme="minorHAnsi" w:cstheme="minorHAnsi"/>
        </w:rPr>
        <w:tab/>
      </w:r>
    </w:p>
    <w:p w14:paraId="081149DD" w14:textId="1A4B59FC" w:rsidR="00CF7819" w:rsidRPr="0060554F" w:rsidRDefault="00CF7819" w:rsidP="00CF7819">
      <w:pPr>
        <w:pBdr>
          <w:bottom w:val="single" w:sz="4" w:space="1" w:color="auto"/>
        </w:pBdr>
        <w:jc w:val="both"/>
        <w:rPr>
          <w:rFonts w:ascii="Arial" w:hAnsi="Arial" w:cs="Arial"/>
          <w:sz w:val="20"/>
          <w:szCs w:val="20"/>
        </w:rPr>
      </w:pPr>
    </w:p>
    <w:p w14:paraId="5F16FECD" w14:textId="69AB3698" w:rsidR="008F3C6D" w:rsidRDefault="008F3C6D" w:rsidP="008F3C6D">
      <w:pPr>
        <w:jc w:val="both"/>
        <w:rPr>
          <w:sz w:val="20"/>
        </w:rPr>
      </w:pPr>
    </w:p>
    <w:p w14:paraId="6AF53FD1" w14:textId="77777777" w:rsidR="00B51F55" w:rsidRPr="00AD647D" w:rsidRDefault="00B51F55" w:rsidP="00B51F55">
      <w:pPr>
        <w:jc w:val="both"/>
        <w:rPr>
          <w:rFonts w:asciiTheme="minorHAnsi" w:hAnsiTheme="minorHAnsi" w:cstheme="minorHAnsi"/>
        </w:rPr>
      </w:pPr>
      <w:r w:rsidRPr="00AD647D">
        <w:rPr>
          <w:rFonts w:asciiTheme="minorHAnsi" w:hAnsiTheme="minorHAnsi" w:cstheme="minorHAnsi"/>
          <w:b/>
        </w:rPr>
        <w:t>Poznámka pro média:</w:t>
      </w:r>
      <w:r w:rsidRPr="00AD647D">
        <w:rPr>
          <w:rFonts w:asciiTheme="minorHAnsi" w:hAnsiTheme="minorHAnsi" w:cstheme="minorHAnsi"/>
        </w:rPr>
        <w:t xml:space="preserve"> </w:t>
      </w:r>
      <w:r w:rsidRPr="00AD647D">
        <w:rPr>
          <w:rFonts w:asciiTheme="minorHAnsi" w:hAnsiTheme="minorHAnsi" w:cstheme="minorHAnsi"/>
          <w:color w:val="1D1D1B"/>
          <w:w w:val="105"/>
        </w:rPr>
        <w:t>Broker</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Consulting</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Indexy</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je</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možné</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volně</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spacing w:val="2"/>
          <w:w w:val="105"/>
        </w:rPr>
        <w:t>publikovat</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pouze</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s</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označením</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„Broker</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w w:val="105"/>
        </w:rPr>
        <w:t>Consulting</w:t>
      </w:r>
      <w:r w:rsidRPr="00AD647D">
        <w:rPr>
          <w:rFonts w:asciiTheme="minorHAnsi" w:hAnsiTheme="minorHAnsi" w:cstheme="minorHAnsi"/>
          <w:color w:val="1D1D1B"/>
          <w:spacing w:val="-8"/>
          <w:w w:val="105"/>
        </w:rPr>
        <w:t xml:space="preserve"> </w:t>
      </w:r>
      <w:r w:rsidRPr="00AD647D">
        <w:rPr>
          <w:rFonts w:asciiTheme="minorHAnsi" w:hAnsiTheme="minorHAnsi" w:cstheme="minorHAnsi"/>
          <w:color w:val="1D1D1B"/>
          <w:w w:val="105"/>
        </w:rPr>
        <w:t>Index“</w:t>
      </w:r>
      <w:r w:rsidRPr="00AD647D">
        <w:rPr>
          <w:rFonts w:asciiTheme="minorHAnsi" w:hAnsiTheme="minorHAnsi" w:cstheme="minorHAnsi"/>
          <w:color w:val="1D1D1B"/>
          <w:spacing w:val="-9"/>
          <w:w w:val="105"/>
        </w:rPr>
        <w:t xml:space="preserve"> </w:t>
      </w:r>
      <w:r w:rsidRPr="00AD647D">
        <w:rPr>
          <w:rFonts w:asciiTheme="minorHAnsi" w:hAnsiTheme="minorHAnsi" w:cstheme="minorHAnsi"/>
          <w:color w:val="1D1D1B"/>
          <w:spacing w:val="-3"/>
          <w:w w:val="105"/>
        </w:rPr>
        <w:t>(</w:t>
      </w:r>
      <w:r w:rsidRPr="00AD647D">
        <w:rPr>
          <w:rFonts w:asciiTheme="minorHAnsi" w:hAnsiTheme="minorHAnsi" w:cstheme="minorHAnsi"/>
          <w:i/>
          <w:color w:val="1D1D1B"/>
          <w:spacing w:val="-3"/>
          <w:w w:val="105"/>
        </w:rPr>
        <w:t>např.</w:t>
      </w:r>
      <w:r w:rsidRPr="00AD647D">
        <w:rPr>
          <w:rFonts w:asciiTheme="minorHAnsi" w:hAnsiTheme="minorHAnsi" w:cstheme="minorHAnsi"/>
          <w:i/>
          <w:color w:val="1D1D1B"/>
          <w:spacing w:val="-8"/>
          <w:w w:val="105"/>
        </w:rPr>
        <w:t xml:space="preserve"> </w:t>
      </w:r>
      <w:r w:rsidRPr="00AD647D">
        <w:rPr>
          <w:rFonts w:asciiTheme="minorHAnsi" w:hAnsiTheme="minorHAnsi" w:cstheme="minorHAnsi"/>
          <w:i/>
          <w:color w:val="1D1D1B"/>
          <w:w w:val="105"/>
        </w:rPr>
        <w:t>Broker</w:t>
      </w:r>
      <w:r w:rsidRPr="00AD647D">
        <w:rPr>
          <w:rFonts w:asciiTheme="minorHAnsi" w:hAnsiTheme="minorHAnsi" w:cstheme="minorHAnsi"/>
          <w:i/>
          <w:color w:val="1D1D1B"/>
          <w:spacing w:val="-9"/>
          <w:w w:val="105"/>
        </w:rPr>
        <w:t xml:space="preserve"> </w:t>
      </w:r>
      <w:r w:rsidRPr="00AD647D">
        <w:rPr>
          <w:rFonts w:asciiTheme="minorHAnsi" w:hAnsiTheme="minorHAnsi" w:cstheme="minorHAnsi"/>
          <w:i/>
          <w:color w:val="1D1D1B"/>
          <w:w w:val="105"/>
        </w:rPr>
        <w:t>Consulting</w:t>
      </w:r>
      <w:r w:rsidRPr="00AD647D">
        <w:rPr>
          <w:rFonts w:asciiTheme="minorHAnsi" w:hAnsiTheme="minorHAnsi" w:cstheme="minorHAnsi"/>
          <w:i/>
          <w:color w:val="1D1D1B"/>
          <w:spacing w:val="-8"/>
          <w:w w:val="105"/>
        </w:rPr>
        <w:t xml:space="preserve"> Index </w:t>
      </w:r>
      <w:r w:rsidRPr="00AD647D">
        <w:rPr>
          <w:rFonts w:asciiTheme="minorHAnsi" w:hAnsiTheme="minorHAnsi" w:cstheme="minorHAnsi"/>
          <w:i/>
          <w:color w:val="1D1D1B"/>
          <w:w w:val="105"/>
        </w:rPr>
        <w:t>hypoteční</w:t>
      </w:r>
      <w:r w:rsidRPr="00AD647D">
        <w:rPr>
          <w:rFonts w:asciiTheme="minorHAnsi" w:hAnsiTheme="minorHAnsi" w:cstheme="minorHAnsi"/>
          <w:i/>
          <w:color w:val="1D1D1B"/>
          <w:spacing w:val="-9"/>
          <w:w w:val="105"/>
        </w:rPr>
        <w:t>ch úvěrů</w:t>
      </w:r>
      <w:r w:rsidRPr="00AD647D">
        <w:rPr>
          <w:rFonts w:asciiTheme="minorHAnsi" w:hAnsiTheme="minorHAnsi" w:cstheme="minorHAnsi"/>
          <w:i/>
          <w:color w:val="1D1D1B"/>
          <w:w w:val="105"/>
        </w:rPr>
        <w:t xml:space="preserve">). Více informací najdete též na webu </w:t>
      </w:r>
      <w:r w:rsidRPr="00AD647D">
        <w:rPr>
          <w:rStyle w:val="Hypertextovodkaz"/>
          <w:rFonts w:asciiTheme="minorHAnsi" w:hAnsiTheme="minorHAnsi" w:cstheme="minorHAnsi"/>
          <w:i/>
          <w:w w:val="105"/>
        </w:rPr>
        <w:t>https://www.bcas.cz/onas/pro-media/</w:t>
      </w:r>
      <w:r w:rsidRPr="00AD647D">
        <w:rPr>
          <w:rFonts w:asciiTheme="minorHAnsi" w:hAnsiTheme="minorHAnsi" w:cstheme="minorHAnsi"/>
          <w:i/>
          <w:color w:val="1D1D1B"/>
          <w:w w:val="105"/>
        </w:rPr>
        <w:t xml:space="preserve">. </w:t>
      </w:r>
    </w:p>
    <w:p w14:paraId="685A4AD2" w14:textId="2FFF8BF2" w:rsidR="00B51F55" w:rsidRDefault="00B51F55" w:rsidP="008F3C6D">
      <w:pPr>
        <w:jc w:val="both"/>
        <w:rPr>
          <w:rFonts w:asciiTheme="minorHAnsi" w:hAnsiTheme="minorHAnsi" w:cstheme="minorHAnsi"/>
        </w:rPr>
      </w:pPr>
    </w:p>
    <w:p w14:paraId="5245244C" w14:textId="59FD1ED6" w:rsidR="007563D8" w:rsidRPr="007563D8" w:rsidRDefault="007563D8" w:rsidP="007563D8">
      <w:pPr>
        <w:rPr>
          <w:rFonts w:asciiTheme="minorHAnsi" w:hAnsiTheme="minorHAnsi" w:cstheme="minorHAnsi"/>
          <w:b/>
          <w:color w:val="1D1D1B"/>
          <w:w w:val="105"/>
        </w:rPr>
      </w:pPr>
      <w:r w:rsidRPr="007563D8">
        <w:rPr>
          <w:rFonts w:asciiTheme="minorHAnsi" w:hAnsiTheme="minorHAnsi" w:cstheme="minorHAnsi"/>
          <w:b/>
          <w:color w:val="FF0000"/>
          <w:w w:val="105"/>
        </w:rPr>
        <w:t>Broker Consulting Indexy je nyní možné sledovat v interaktivní formě na webu</w:t>
      </w:r>
      <w:r w:rsidRPr="007563D8">
        <w:rPr>
          <w:rFonts w:asciiTheme="minorHAnsi" w:hAnsiTheme="minorHAnsi" w:cstheme="minorHAnsi"/>
          <w:color w:val="1D1D1B"/>
          <w:w w:val="105"/>
        </w:rPr>
        <w:t>. Zde lze zároveň exportovat zdrojová data ke grafům. Vice dostupné na odkaze</w:t>
      </w:r>
      <w:r w:rsidRPr="007563D8">
        <w:rPr>
          <w:rFonts w:asciiTheme="minorHAnsi" w:hAnsiTheme="minorHAnsi" w:cstheme="minorHAnsi"/>
          <w:b/>
          <w:color w:val="1D1D1B"/>
          <w:w w:val="105"/>
        </w:rPr>
        <w:t xml:space="preserve">: </w:t>
      </w:r>
      <w:hyperlink r:id="rId25" w:history="1">
        <w:r w:rsidRPr="007563D8">
          <w:rPr>
            <w:rStyle w:val="Hypertextovodkaz"/>
            <w:rFonts w:asciiTheme="minorHAnsi" w:hAnsiTheme="minorHAnsi"/>
            <w:b/>
          </w:rPr>
          <w:t>https://www.bcas.cz/o-nas/broker-consulting-index-spotrebitelskych-uveru/</w:t>
        </w:r>
      </w:hyperlink>
      <w:r w:rsidRPr="007563D8">
        <w:rPr>
          <w:rFonts w:asciiTheme="minorHAnsi" w:hAnsiTheme="minorHAnsi"/>
          <w:b/>
        </w:rPr>
        <w:t xml:space="preserve">. </w:t>
      </w:r>
    </w:p>
    <w:p w14:paraId="79A88D64" w14:textId="77777777" w:rsidR="007563D8" w:rsidRPr="00AD647D" w:rsidRDefault="007563D8" w:rsidP="008F3C6D">
      <w:pPr>
        <w:jc w:val="both"/>
        <w:rPr>
          <w:rFonts w:asciiTheme="minorHAnsi" w:hAnsiTheme="minorHAnsi" w:cstheme="minorHAnsi"/>
        </w:rPr>
      </w:pPr>
    </w:p>
    <w:p w14:paraId="1039ED98" w14:textId="77777777" w:rsidR="008F3C6D" w:rsidRPr="00AD647D" w:rsidRDefault="008F3C6D" w:rsidP="008F3C6D">
      <w:pPr>
        <w:jc w:val="both"/>
        <w:rPr>
          <w:rFonts w:asciiTheme="minorHAnsi" w:eastAsia="Calibri" w:hAnsiTheme="minorHAnsi" w:cstheme="minorHAnsi"/>
          <w:b/>
          <w:bCs/>
          <w:noProof/>
        </w:rPr>
      </w:pPr>
    </w:p>
    <w:p w14:paraId="195CA202" w14:textId="77777777" w:rsidR="008F3C6D" w:rsidRPr="00AD647D" w:rsidRDefault="008F3C6D" w:rsidP="008F3C6D">
      <w:pPr>
        <w:rPr>
          <w:rFonts w:asciiTheme="minorHAnsi" w:eastAsia="Calibri" w:hAnsiTheme="minorHAnsi" w:cstheme="minorHAnsi"/>
          <w:b/>
          <w:bCs/>
          <w:noProof/>
        </w:rPr>
      </w:pPr>
      <w:r w:rsidRPr="00AD647D">
        <w:rPr>
          <w:rFonts w:asciiTheme="minorHAnsi" w:eastAsia="Calibri" w:hAnsiTheme="minorHAnsi" w:cstheme="minorHAnsi"/>
          <w:b/>
          <w:bCs/>
          <w:noProof/>
        </w:rPr>
        <w:t>Kontakt pro média:</w:t>
      </w:r>
    </w:p>
    <w:p w14:paraId="78012E24" w14:textId="77777777" w:rsidR="0053079B" w:rsidRPr="00AD647D" w:rsidRDefault="0053079B" w:rsidP="0053079B">
      <w:pPr>
        <w:rPr>
          <w:rFonts w:asciiTheme="minorHAnsi" w:eastAsia="Calibri" w:hAnsiTheme="minorHAnsi" w:cstheme="minorHAnsi"/>
          <w:bCs/>
          <w:noProof/>
        </w:rPr>
      </w:pPr>
    </w:p>
    <w:p w14:paraId="60542279" w14:textId="77777777" w:rsidR="0053079B" w:rsidRPr="00AD647D" w:rsidRDefault="0053079B" w:rsidP="0053079B">
      <w:pPr>
        <w:spacing w:after="60"/>
        <w:rPr>
          <w:rFonts w:asciiTheme="minorHAnsi" w:eastAsia="Calibri" w:hAnsiTheme="minorHAnsi" w:cstheme="minorHAnsi"/>
          <w:bCs/>
          <w:noProof/>
          <w:lang w:bidi="ar-SA"/>
        </w:rPr>
      </w:pPr>
      <w:r w:rsidRPr="00AD647D">
        <w:rPr>
          <w:rFonts w:asciiTheme="minorHAnsi" w:eastAsia="Calibri" w:hAnsiTheme="minorHAnsi" w:cstheme="minorHAnsi"/>
          <w:bCs/>
          <w:noProof/>
        </w:rPr>
        <w:t>Michaela Sahulová</w:t>
      </w:r>
    </w:p>
    <w:p w14:paraId="16BB5E7E" w14:textId="77777777" w:rsidR="0053079B" w:rsidRPr="00AD647D" w:rsidRDefault="0053079B" w:rsidP="0053079B">
      <w:pPr>
        <w:pStyle w:val="Bezmezer"/>
        <w:rPr>
          <w:rFonts w:eastAsia="Calibri" w:cstheme="minorHAnsi"/>
          <w:noProof/>
        </w:rPr>
      </w:pPr>
      <w:r w:rsidRPr="00AD647D">
        <w:rPr>
          <w:rFonts w:eastAsia="Calibri" w:cstheme="minorHAnsi"/>
          <w:noProof/>
        </w:rPr>
        <w:t>Specialistka PR a externí komunikace</w:t>
      </w:r>
    </w:p>
    <w:p w14:paraId="2D24B5C8" w14:textId="77777777" w:rsidR="0053079B" w:rsidRPr="00AD647D" w:rsidRDefault="0053079B" w:rsidP="0053079B">
      <w:pPr>
        <w:rPr>
          <w:rFonts w:asciiTheme="minorHAnsi" w:eastAsiaTheme="minorEastAsia" w:hAnsiTheme="minorHAnsi" w:cstheme="minorHAnsi"/>
          <w:noProof/>
          <w:color w:val="000000" w:themeColor="text1"/>
          <w:lang w:bidi="ar-SA"/>
        </w:rPr>
      </w:pPr>
      <w:r w:rsidRPr="00AD647D">
        <w:rPr>
          <w:rFonts w:asciiTheme="minorHAnsi" w:eastAsiaTheme="minorEastAsia" w:hAnsiTheme="minorHAnsi" w:cstheme="minorHAnsi"/>
          <w:noProof/>
          <w:color w:val="000000" w:themeColor="text1"/>
        </w:rPr>
        <w:t>tel.: +420 731 538 373</w:t>
      </w:r>
    </w:p>
    <w:p w14:paraId="745E815C" w14:textId="77777777" w:rsidR="0053079B" w:rsidRPr="00AD647D" w:rsidRDefault="0053079B" w:rsidP="0053079B">
      <w:pPr>
        <w:rPr>
          <w:rFonts w:asciiTheme="minorHAnsi" w:eastAsia="Calibri" w:hAnsiTheme="minorHAnsi" w:cstheme="minorHAnsi"/>
          <w:noProof/>
        </w:rPr>
      </w:pPr>
      <w:r w:rsidRPr="00AD647D">
        <w:rPr>
          <w:rFonts w:asciiTheme="minorHAnsi" w:eastAsia="Calibri" w:hAnsiTheme="minorHAnsi" w:cstheme="minorHAnsi"/>
          <w:noProof/>
        </w:rPr>
        <w:t xml:space="preserve">E-mail: </w:t>
      </w:r>
      <w:hyperlink r:id="rId26" w:history="1">
        <w:r w:rsidRPr="00AD647D">
          <w:rPr>
            <w:rStyle w:val="Hypertextovodkaz"/>
            <w:rFonts w:asciiTheme="minorHAnsi" w:eastAsia="Calibri" w:hAnsiTheme="minorHAnsi" w:cstheme="minorHAnsi"/>
            <w:noProof/>
          </w:rPr>
          <w:t>michaela.sahulova@bcas.cz</w:t>
        </w:r>
      </w:hyperlink>
      <w:r w:rsidRPr="00AD647D">
        <w:rPr>
          <w:rFonts w:asciiTheme="minorHAnsi" w:eastAsia="Calibri" w:hAnsiTheme="minorHAnsi" w:cstheme="minorHAnsi"/>
          <w:noProof/>
        </w:rPr>
        <w:t xml:space="preserve"> </w:t>
      </w:r>
    </w:p>
    <w:p w14:paraId="1FBC071D" w14:textId="77777777" w:rsidR="00FA6B22" w:rsidRPr="00AD647D" w:rsidRDefault="00FA6B22" w:rsidP="008F3C6D">
      <w:pPr>
        <w:rPr>
          <w:rFonts w:asciiTheme="minorHAnsi" w:eastAsia="Calibri" w:hAnsiTheme="minorHAnsi" w:cstheme="minorHAnsi"/>
          <w:noProof/>
        </w:rPr>
      </w:pPr>
    </w:p>
    <w:p w14:paraId="5BCE3D52" w14:textId="77777777" w:rsidR="008F3C6D" w:rsidRPr="00AD647D" w:rsidRDefault="008F3C6D" w:rsidP="008F3C6D">
      <w:pPr>
        <w:jc w:val="both"/>
        <w:rPr>
          <w:rFonts w:asciiTheme="minorHAnsi" w:hAnsiTheme="minorHAnsi" w:cstheme="minorHAnsi"/>
        </w:rPr>
      </w:pPr>
    </w:p>
    <w:p w14:paraId="12134AC2" w14:textId="77777777" w:rsidR="008F3C6D" w:rsidRPr="00AD647D" w:rsidRDefault="008F3C6D" w:rsidP="008F3C6D">
      <w:pPr>
        <w:jc w:val="both"/>
        <w:rPr>
          <w:rFonts w:asciiTheme="minorHAnsi" w:hAnsiTheme="minorHAnsi" w:cstheme="minorHAnsi"/>
          <w:b/>
          <w:bCs/>
          <w:color w:val="FF0000"/>
        </w:rPr>
      </w:pPr>
    </w:p>
    <w:sectPr w:rsidR="008F3C6D" w:rsidRPr="00AD647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93B75" w14:textId="77777777" w:rsidR="00F02356" w:rsidRDefault="00F02356">
      <w:r>
        <w:separator/>
      </w:r>
    </w:p>
  </w:endnote>
  <w:endnote w:type="continuationSeparator" w:id="0">
    <w:p w14:paraId="427D82D1" w14:textId="77777777" w:rsidR="00F02356" w:rsidRDefault="00F02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02356"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483C09"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02356"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483C09"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02356"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483C09"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F633B" w14:textId="77777777" w:rsidR="00F02356" w:rsidRDefault="00F02356">
      <w:r>
        <w:separator/>
      </w:r>
    </w:p>
  </w:footnote>
  <w:footnote w:type="continuationSeparator" w:id="0">
    <w:p w14:paraId="1D5652F7" w14:textId="77777777" w:rsidR="00F02356" w:rsidRDefault="00F023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5E63C89"/>
    <w:multiLevelType w:val="hybridMultilevel"/>
    <w:tmpl w:val="03AAFA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611E3"/>
    <w:rsid w:val="000618FE"/>
    <w:rsid w:val="00061ABB"/>
    <w:rsid w:val="00070675"/>
    <w:rsid w:val="000766E7"/>
    <w:rsid w:val="00080552"/>
    <w:rsid w:val="00080ADE"/>
    <w:rsid w:val="00081616"/>
    <w:rsid w:val="000853D4"/>
    <w:rsid w:val="00087263"/>
    <w:rsid w:val="0009776B"/>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67A5"/>
    <w:rsid w:val="00180051"/>
    <w:rsid w:val="00182B07"/>
    <w:rsid w:val="0018460D"/>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E5D83"/>
    <w:rsid w:val="001F045E"/>
    <w:rsid w:val="001F25C4"/>
    <w:rsid w:val="001F2BE0"/>
    <w:rsid w:val="001F3CF1"/>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81834"/>
    <w:rsid w:val="0028590C"/>
    <w:rsid w:val="002A0285"/>
    <w:rsid w:val="002A3F19"/>
    <w:rsid w:val="002A6FA3"/>
    <w:rsid w:val="002A7325"/>
    <w:rsid w:val="002B0728"/>
    <w:rsid w:val="002B1317"/>
    <w:rsid w:val="002B7DA9"/>
    <w:rsid w:val="002B7F6D"/>
    <w:rsid w:val="002C0240"/>
    <w:rsid w:val="002C4A25"/>
    <w:rsid w:val="002D1619"/>
    <w:rsid w:val="002D6D20"/>
    <w:rsid w:val="002E1ABC"/>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5366"/>
    <w:rsid w:val="00356752"/>
    <w:rsid w:val="00361D44"/>
    <w:rsid w:val="003629B6"/>
    <w:rsid w:val="003705A1"/>
    <w:rsid w:val="00370C35"/>
    <w:rsid w:val="003721AD"/>
    <w:rsid w:val="0037300C"/>
    <w:rsid w:val="00374182"/>
    <w:rsid w:val="00383942"/>
    <w:rsid w:val="00383DC5"/>
    <w:rsid w:val="00385325"/>
    <w:rsid w:val="00385EED"/>
    <w:rsid w:val="00390B58"/>
    <w:rsid w:val="00392024"/>
    <w:rsid w:val="003948A1"/>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47CB"/>
    <w:rsid w:val="003E0649"/>
    <w:rsid w:val="003E6537"/>
    <w:rsid w:val="003F0CAF"/>
    <w:rsid w:val="003F324C"/>
    <w:rsid w:val="003F7018"/>
    <w:rsid w:val="003F79EC"/>
    <w:rsid w:val="0040257E"/>
    <w:rsid w:val="004041EF"/>
    <w:rsid w:val="004053BB"/>
    <w:rsid w:val="004075C9"/>
    <w:rsid w:val="004116FD"/>
    <w:rsid w:val="0042193A"/>
    <w:rsid w:val="0043347D"/>
    <w:rsid w:val="004336E4"/>
    <w:rsid w:val="00433F20"/>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7DC5"/>
    <w:rsid w:val="00480982"/>
    <w:rsid w:val="00483C09"/>
    <w:rsid w:val="00486655"/>
    <w:rsid w:val="00492BA9"/>
    <w:rsid w:val="004935C2"/>
    <w:rsid w:val="004A59C1"/>
    <w:rsid w:val="004B2DF6"/>
    <w:rsid w:val="004B2FF6"/>
    <w:rsid w:val="004B4E91"/>
    <w:rsid w:val="004B5797"/>
    <w:rsid w:val="004B7412"/>
    <w:rsid w:val="004C222D"/>
    <w:rsid w:val="004C3DD1"/>
    <w:rsid w:val="004C3F71"/>
    <w:rsid w:val="004D5CC6"/>
    <w:rsid w:val="004E09B8"/>
    <w:rsid w:val="004E1737"/>
    <w:rsid w:val="004F303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606"/>
    <w:rsid w:val="00541870"/>
    <w:rsid w:val="005436EC"/>
    <w:rsid w:val="00544A37"/>
    <w:rsid w:val="00545971"/>
    <w:rsid w:val="00550147"/>
    <w:rsid w:val="00551FDB"/>
    <w:rsid w:val="00554D18"/>
    <w:rsid w:val="0056501A"/>
    <w:rsid w:val="00571AD4"/>
    <w:rsid w:val="00573886"/>
    <w:rsid w:val="00573EE2"/>
    <w:rsid w:val="00577D19"/>
    <w:rsid w:val="005907CD"/>
    <w:rsid w:val="005A2139"/>
    <w:rsid w:val="005A37E5"/>
    <w:rsid w:val="005A4EB8"/>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554F"/>
    <w:rsid w:val="006135FD"/>
    <w:rsid w:val="0061438C"/>
    <w:rsid w:val="006166CE"/>
    <w:rsid w:val="0062060D"/>
    <w:rsid w:val="006218E4"/>
    <w:rsid w:val="00623C47"/>
    <w:rsid w:val="0062747C"/>
    <w:rsid w:val="0062786E"/>
    <w:rsid w:val="00636142"/>
    <w:rsid w:val="006365D5"/>
    <w:rsid w:val="0064160C"/>
    <w:rsid w:val="00646E6F"/>
    <w:rsid w:val="00650123"/>
    <w:rsid w:val="006509E8"/>
    <w:rsid w:val="006542CA"/>
    <w:rsid w:val="006548C4"/>
    <w:rsid w:val="0066135D"/>
    <w:rsid w:val="00662758"/>
    <w:rsid w:val="00664259"/>
    <w:rsid w:val="00664867"/>
    <w:rsid w:val="00667012"/>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2B43"/>
    <w:rsid w:val="006D39DF"/>
    <w:rsid w:val="006D65EC"/>
    <w:rsid w:val="006E26DC"/>
    <w:rsid w:val="006E6A2F"/>
    <w:rsid w:val="006E70A0"/>
    <w:rsid w:val="006F32FB"/>
    <w:rsid w:val="007046C5"/>
    <w:rsid w:val="00704D83"/>
    <w:rsid w:val="007052FC"/>
    <w:rsid w:val="00705D83"/>
    <w:rsid w:val="00710AF5"/>
    <w:rsid w:val="00710E0C"/>
    <w:rsid w:val="0072112F"/>
    <w:rsid w:val="00724267"/>
    <w:rsid w:val="00725BF5"/>
    <w:rsid w:val="007320FB"/>
    <w:rsid w:val="007362E3"/>
    <w:rsid w:val="007408D1"/>
    <w:rsid w:val="00741E71"/>
    <w:rsid w:val="00743627"/>
    <w:rsid w:val="00743E6A"/>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13CC"/>
    <w:rsid w:val="007F2DE8"/>
    <w:rsid w:val="007F4493"/>
    <w:rsid w:val="007F4C72"/>
    <w:rsid w:val="007F71F9"/>
    <w:rsid w:val="008011E7"/>
    <w:rsid w:val="0080323F"/>
    <w:rsid w:val="008063BB"/>
    <w:rsid w:val="00812394"/>
    <w:rsid w:val="008123FF"/>
    <w:rsid w:val="0081387C"/>
    <w:rsid w:val="0081474E"/>
    <w:rsid w:val="008171F9"/>
    <w:rsid w:val="0083053E"/>
    <w:rsid w:val="00831B5E"/>
    <w:rsid w:val="00832F5B"/>
    <w:rsid w:val="00841AC4"/>
    <w:rsid w:val="00845A34"/>
    <w:rsid w:val="00852BBB"/>
    <w:rsid w:val="00856806"/>
    <w:rsid w:val="00856D3C"/>
    <w:rsid w:val="00860609"/>
    <w:rsid w:val="00863FC3"/>
    <w:rsid w:val="0087199F"/>
    <w:rsid w:val="00871CBD"/>
    <w:rsid w:val="00874C1A"/>
    <w:rsid w:val="00881800"/>
    <w:rsid w:val="00883A3E"/>
    <w:rsid w:val="0088579E"/>
    <w:rsid w:val="00885B2F"/>
    <w:rsid w:val="008875C1"/>
    <w:rsid w:val="00891E25"/>
    <w:rsid w:val="008926E5"/>
    <w:rsid w:val="008926F3"/>
    <w:rsid w:val="008A04D3"/>
    <w:rsid w:val="008B4F0F"/>
    <w:rsid w:val="008C1795"/>
    <w:rsid w:val="008C2254"/>
    <w:rsid w:val="008C3938"/>
    <w:rsid w:val="008C3A59"/>
    <w:rsid w:val="008C4B0D"/>
    <w:rsid w:val="008E1286"/>
    <w:rsid w:val="008E19F3"/>
    <w:rsid w:val="008F36CB"/>
    <w:rsid w:val="008F3C6D"/>
    <w:rsid w:val="008F6AAF"/>
    <w:rsid w:val="00901DB4"/>
    <w:rsid w:val="00901E1F"/>
    <w:rsid w:val="0090292E"/>
    <w:rsid w:val="00906E67"/>
    <w:rsid w:val="009144B1"/>
    <w:rsid w:val="00915ADA"/>
    <w:rsid w:val="0092097A"/>
    <w:rsid w:val="009222C9"/>
    <w:rsid w:val="009228CF"/>
    <w:rsid w:val="00925499"/>
    <w:rsid w:val="00930569"/>
    <w:rsid w:val="00932625"/>
    <w:rsid w:val="009343CC"/>
    <w:rsid w:val="009344C2"/>
    <w:rsid w:val="00934CD7"/>
    <w:rsid w:val="009412B0"/>
    <w:rsid w:val="0094645B"/>
    <w:rsid w:val="0094705C"/>
    <w:rsid w:val="00957739"/>
    <w:rsid w:val="00957B41"/>
    <w:rsid w:val="009631E0"/>
    <w:rsid w:val="009649D2"/>
    <w:rsid w:val="009660BD"/>
    <w:rsid w:val="009674F1"/>
    <w:rsid w:val="009771E2"/>
    <w:rsid w:val="00977540"/>
    <w:rsid w:val="009834E2"/>
    <w:rsid w:val="00985DC8"/>
    <w:rsid w:val="009A52BA"/>
    <w:rsid w:val="009A69B1"/>
    <w:rsid w:val="009A700C"/>
    <w:rsid w:val="009B1D25"/>
    <w:rsid w:val="009C0ECA"/>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79"/>
    <w:rsid w:val="00A41EA4"/>
    <w:rsid w:val="00A44FE0"/>
    <w:rsid w:val="00A4618A"/>
    <w:rsid w:val="00A50D03"/>
    <w:rsid w:val="00A522F5"/>
    <w:rsid w:val="00A624BA"/>
    <w:rsid w:val="00A712B2"/>
    <w:rsid w:val="00A74214"/>
    <w:rsid w:val="00A7796E"/>
    <w:rsid w:val="00A86544"/>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D647D"/>
    <w:rsid w:val="00AE313F"/>
    <w:rsid w:val="00AE34F4"/>
    <w:rsid w:val="00AF042F"/>
    <w:rsid w:val="00B00C49"/>
    <w:rsid w:val="00B03105"/>
    <w:rsid w:val="00B03461"/>
    <w:rsid w:val="00B0766F"/>
    <w:rsid w:val="00B07F42"/>
    <w:rsid w:val="00B10787"/>
    <w:rsid w:val="00B11974"/>
    <w:rsid w:val="00B12CF8"/>
    <w:rsid w:val="00B13035"/>
    <w:rsid w:val="00B244B9"/>
    <w:rsid w:val="00B24559"/>
    <w:rsid w:val="00B27020"/>
    <w:rsid w:val="00B27178"/>
    <w:rsid w:val="00B310C3"/>
    <w:rsid w:val="00B42229"/>
    <w:rsid w:val="00B43ABC"/>
    <w:rsid w:val="00B44FA9"/>
    <w:rsid w:val="00B51125"/>
    <w:rsid w:val="00B51F55"/>
    <w:rsid w:val="00B52CDF"/>
    <w:rsid w:val="00B60D60"/>
    <w:rsid w:val="00B63CDD"/>
    <w:rsid w:val="00B65687"/>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1D"/>
    <w:rsid w:val="00BC3E08"/>
    <w:rsid w:val="00BD17B0"/>
    <w:rsid w:val="00BD3E59"/>
    <w:rsid w:val="00BD56B7"/>
    <w:rsid w:val="00BD5A47"/>
    <w:rsid w:val="00BD5FB6"/>
    <w:rsid w:val="00BE2BCC"/>
    <w:rsid w:val="00BE3896"/>
    <w:rsid w:val="00BE424D"/>
    <w:rsid w:val="00BE7068"/>
    <w:rsid w:val="00BE768F"/>
    <w:rsid w:val="00C03192"/>
    <w:rsid w:val="00C23E32"/>
    <w:rsid w:val="00C251C4"/>
    <w:rsid w:val="00C266F9"/>
    <w:rsid w:val="00C314C1"/>
    <w:rsid w:val="00C31917"/>
    <w:rsid w:val="00C40571"/>
    <w:rsid w:val="00C40D7F"/>
    <w:rsid w:val="00C41741"/>
    <w:rsid w:val="00C41DD9"/>
    <w:rsid w:val="00C427DA"/>
    <w:rsid w:val="00C42C49"/>
    <w:rsid w:val="00C42FAF"/>
    <w:rsid w:val="00C568FB"/>
    <w:rsid w:val="00C56D0A"/>
    <w:rsid w:val="00C72FDA"/>
    <w:rsid w:val="00C734F1"/>
    <w:rsid w:val="00C73AA7"/>
    <w:rsid w:val="00C73DAB"/>
    <w:rsid w:val="00C85569"/>
    <w:rsid w:val="00C863A3"/>
    <w:rsid w:val="00C864DC"/>
    <w:rsid w:val="00C90075"/>
    <w:rsid w:val="00C915B4"/>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50BA"/>
    <w:rsid w:val="00DA55A8"/>
    <w:rsid w:val="00DA7B87"/>
    <w:rsid w:val="00DB0266"/>
    <w:rsid w:val="00DB0F40"/>
    <w:rsid w:val="00DB63D9"/>
    <w:rsid w:val="00DB7E77"/>
    <w:rsid w:val="00DC0B27"/>
    <w:rsid w:val="00DC1667"/>
    <w:rsid w:val="00DC30D0"/>
    <w:rsid w:val="00DC7E88"/>
    <w:rsid w:val="00DD3AB0"/>
    <w:rsid w:val="00DD68B5"/>
    <w:rsid w:val="00DD7FC1"/>
    <w:rsid w:val="00DF0000"/>
    <w:rsid w:val="00DF020C"/>
    <w:rsid w:val="00DF05CC"/>
    <w:rsid w:val="00DF5A2C"/>
    <w:rsid w:val="00DF7D1B"/>
    <w:rsid w:val="00E00DC6"/>
    <w:rsid w:val="00E01A0A"/>
    <w:rsid w:val="00E02B4A"/>
    <w:rsid w:val="00E058A3"/>
    <w:rsid w:val="00E06422"/>
    <w:rsid w:val="00E11439"/>
    <w:rsid w:val="00E151F3"/>
    <w:rsid w:val="00E161C6"/>
    <w:rsid w:val="00E17539"/>
    <w:rsid w:val="00E2483C"/>
    <w:rsid w:val="00E26CF0"/>
    <w:rsid w:val="00E31346"/>
    <w:rsid w:val="00E376F8"/>
    <w:rsid w:val="00E40550"/>
    <w:rsid w:val="00E41C99"/>
    <w:rsid w:val="00E423B5"/>
    <w:rsid w:val="00E4313E"/>
    <w:rsid w:val="00E43F59"/>
    <w:rsid w:val="00E518BB"/>
    <w:rsid w:val="00E57F9B"/>
    <w:rsid w:val="00E6726D"/>
    <w:rsid w:val="00E77BCA"/>
    <w:rsid w:val="00E81433"/>
    <w:rsid w:val="00E81C95"/>
    <w:rsid w:val="00E84B41"/>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02356"/>
    <w:rsid w:val="00F101B3"/>
    <w:rsid w:val="00F10A3C"/>
    <w:rsid w:val="00F13FDA"/>
    <w:rsid w:val="00F14982"/>
    <w:rsid w:val="00F14B6E"/>
    <w:rsid w:val="00F20D55"/>
    <w:rsid w:val="00F21D05"/>
    <w:rsid w:val="00F250B8"/>
    <w:rsid w:val="00F253CD"/>
    <w:rsid w:val="00F2598D"/>
    <w:rsid w:val="00F259AE"/>
    <w:rsid w:val="00F30F02"/>
    <w:rsid w:val="00F31B7E"/>
    <w:rsid w:val="00F336A2"/>
    <w:rsid w:val="00F33826"/>
    <w:rsid w:val="00F34E7C"/>
    <w:rsid w:val="00F3561E"/>
    <w:rsid w:val="00F36EC6"/>
    <w:rsid w:val="00F4229F"/>
    <w:rsid w:val="00F44AEB"/>
    <w:rsid w:val="00F45620"/>
    <w:rsid w:val="00F46BBD"/>
    <w:rsid w:val="00F51B95"/>
    <w:rsid w:val="00F5432C"/>
    <w:rsid w:val="00F5470D"/>
    <w:rsid w:val="00F5611C"/>
    <w:rsid w:val="00F637FB"/>
    <w:rsid w:val="00F66B41"/>
    <w:rsid w:val="00F712AB"/>
    <w:rsid w:val="00F77D7D"/>
    <w:rsid w:val="00F80CD0"/>
    <w:rsid w:val="00F82DDB"/>
    <w:rsid w:val="00F838FF"/>
    <w:rsid w:val="00F83CDB"/>
    <w:rsid w:val="00F8771B"/>
    <w:rsid w:val="00F90003"/>
    <w:rsid w:val="00F9173C"/>
    <w:rsid w:val="00F94180"/>
    <w:rsid w:val="00FA1C73"/>
    <w:rsid w:val="00FA6B22"/>
    <w:rsid w:val="00FA73E5"/>
    <w:rsid w:val="00FB18D0"/>
    <w:rsid w:val="00FB2ED6"/>
    <w:rsid w:val="00FB3309"/>
    <w:rsid w:val="00FB53F1"/>
    <w:rsid w:val="00FC0973"/>
    <w:rsid w:val="00FC23FE"/>
    <w:rsid w:val="00FC2522"/>
    <w:rsid w:val="00FC309B"/>
    <w:rsid w:val="00FC5B56"/>
    <w:rsid w:val="00FC7D97"/>
    <w:rsid w:val="00FD43E4"/>
    <w:rsid w:val="00FD4B12"/>
    <w:rsid w:val="00FD7195"/>
    <w:rsid w:val="00FD747A"/>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bcas.cz/o-nas/broker-consulting-index-spotrebitelskych-uve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40ED7-E167-45C3-85BB-E36FBB71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890</Words>
  <Characters>5253</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cp:revision>
  <dcterms:created xsi:type="dcterms:W3CDTF">2023-08-09T11:48:00Z</dcterms:created>
  <dcterms:modified xsi:type="dcterms:W3CDTF">2023-08-09T11:48:00Z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