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highlight w:val="yellow"/>
        </w:rPr>
        <w:id w:val="120037484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0"/>
          <w:szCs w:val="20"/>
        </w:rPr>
      </w:sdtEndPr>
      <w:sdtContent>
        <w:p w14:paraId="0553832B" w14:textId="6FCE0CCD" w:rsidR="008C5E3B" w:rsidRPr="007C7B64" w:rsidRDefault="008C5E3B" w:rsidP="00B27C5B">
          <w:pPr>
            <w:rPr>
              <w:rFonts w:ascii="Arial" w:hAnsi="Arial" w:cs="Arial"/>
              <w:b/>
              <w:sz w:val="20"/>
              <w:szCs w:val="20"/>
              <w:highlight w:val="yellow"/>
            </w:rPr>
          </w:pPr>
        </w:p>
        <w:p w14:paraId="35539C65" w14:textId="5E0FA483" w:rsidR="00D31127" w:rsidRPr="007C7B64" w:rsidRDefault="00B12A51" w:rsidP="0025264B">
          <w:pPr>
            <w:rPr>
              <w:rFonts w:ascii="Arial" w:hAnsi="Arial" w:cs="Arial"/>
              <w:b/>
              <w:sz w:val="20"/>
              <w:szCs w:val="20"/>
              <w:highlight w:val="yellow"/>
            </w:rPr>
            <w:sectPr w:rsidR="00D31127" w:rsidRPr="007C7B64" w:rsidSect="00D80B6D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10" w:h="16840"/>
              <w:pgMar w:top="1418" w:right="740" w:bottom="420" w:left="720" w:header="340" w:footer="223" w:gutter="0"/>
              <w:pgNumType w:start="0"/>
              <w:cols w:space="708"/>
              <w:titlePg/>
              <w:docGrid w:linePitch="299"/>
            </w:sectPr>
          </w:pPr>
        </w:p>
      </w:sdtContent>
    </w:sdt>
    <w:p w14:paraId="1B9D6608" w14:textId="08CFC705" w:rsidR="00B52241" w:rsidRDefault="00B52241" w:rsidP="00B27C5B">
      <w:pPr>
        <w:jc w:val="center"/>
        <w:rPr>
          <w:rFonts w:asciiTheme="minorHAnsi" w:hAnsiTheme="minorHAnsi" w:cstheme="minorHAnsi"/>
          <w:b/>
          <w:sz w:val="27"/>
          <w:szCs w:val="27"/>
        </w:rPr>
      </w:pPr>
    </w:p>
    <w:p w14:paraId="371E204D" w14:textId="47170D98" w:rsidR="00B52241" w:rsidRPr="00D544F0" w:rsidRDefault="00B52241" w:rsidP="00B52241">
      <w:pPr>
        <w:jc w:val="center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>Trhy v červnu zaznamenaly mírný růst</w:t>
      </w:r>
    </w:p>
    <w:p w14:paraId="2612B7B3" w14:textId="73DBBE44" w:rsidR="00B52241" w:rsidRDefault="00B52241" w:rsidP="00B27C5B">
      <w:pPr>
        <w:jc w:val="center"/>
        <w:rPr>
          <w:rFonts w:asciiTheme="minorHAnsi" w:hAnsiTheme="minorHAnsi" w:cstheme="minorHAnsi"/>
          <w:b/>
          <w:sz w:val="27"/>
          <w:szCs w:val="27"/>
        </w:rPr>
      </w:pPr>
    </w:p>
    <w:p w14:paraId="3D55B063" w14:textId="31ABCC71" w:rsidR="00940B5C" w:rsidRDefault="00940B5C" w:rsidP="00940B5C">
      <w:pPr>
        <w:pStyle w:val="Odstavecseseznamem"/>
        <w:numPr>
          <w:ilvl w:val="0"/>
          <w:numId w:val="3"/>
        </w:numPr>
        <w:spacing w:line="360" w:lineRule="auto"/>
        <w:ind w:left="357" w:right="40" w:hanging="357"/>
        <w:rPr>
          <w:rFonts w:asciiTheme="minorHAnsi" w:eastAsiaTheme="minorHAnsi" w:hAnsiTheme="minorHAnsi" w:cstheme="minorHAnsi"/>
          <w:b/>
          <w:lang w:bidi="ar-SA"/>
        </w:rPr>
      </w:pPr>
      <w:r>
        <w:rPr>
          <w:rFonts w:ascii="Arial" w:hAnsi="Arial" w:cs="Arial"/>
          <w:b/>
          <w:sz w:val="21"/>
          <w:szCs w:val="21"/>
        </w:rPr>
        <w:t xml:space="preserve">Akciové fondy posílily v průměru </w:t>
      </w:r>
      <w:r w:rsidRPr="00360581">
        <w:rPr>
          <w:rFonts w:ascii="Arial" w:hAnsi="Arial" w:cs="Arial"/>
          <w:b/>
          <w:sz w:val="21"/>
          <w:szCs w:val="21"/>
        </w:rPr>
        <w:t>o 2,88 procenta</w:t>
      </w:r>
      <w:r w:rsidRPr="00EA4104">
        <w:rPr>
          <w:rFonts w:asciiTheme="minorHAnsi" w:eastAsiaTheme="minorHAnsi" w:hAnsiTheme="minorHAnsi" w:cstheme="minorHAnsi"/>
          <w:b/>
          <w:lang w:bidi="ar-SA"/>
        </w:rPr>
        <w:t xml:space="preserve"> </w:t>
      </w:r>
    </w:p>
    <w:p w14:paraId="26CECA98" w14:textId="4EE22C15" w:rsidR="00940B5C" w:rsidRPr="00940B5C" w:rsidRDefault="00940B5C" w:rsidP="00940B5C">
      <w:pPr>
        <w:pStyle w:val="Odstavecseseznamem"/>
        <w:numPr>
          <w:ilvl w:val="0"/>
          <w:numId w:val="3"/>
        </w:numPr>
        <w:spacing w:line="360" w:lineRule="auto"/>
        <w:ind w:left="357" w:right="40" w:hanging="357"/>
        <w:rPr>
          <w:rFonts w:asciiTheme="minorHAnsi" w:eastAsiaTheme="minorHAnsi" w:hAnsiTheme="minorHAnsi" w:cstheme="minorHAnsi"/>
          <w:b/>
          <w:lang w:bidi="ar-SA"/>
        </w:rPr>
      </w:pPr>
      <w:r w:rsidRPr="00940B5C">
        <w:rPr>
          <w:rFonts w:ascii="Arial" w:hAnsi="Arial" w:cs="Arial"/>
          <w:b/>
          <w:sz w:val="21"/>
          <w:szCs w:val="21"/>
        </w:rPr>
        <w:t>Nižším tempem rostly komoditní i dluhopisové fondy a fondy peněžního trhu</w:t>
      </w:r>
    </w:p>
    <w:p w14:paraId="55C20A27" w14:textId="4F107050" w:rsidR="00940B5C" w:rsidRDefault="00940B5C" w:rsidP="00940B5C">
      <w:pPr>
        <w:pStyle w:val="Odstavecseseznamem"/>
        <w:numPr>
          <w:ilvl w:val="0"/>
          <w:numId w:val="3"/>
        </w:numPr>
        <w:spacing w:line="360" w:lineRule="auto"/>
        <w:ind w:left="357" w:right="40" w:hanging="357"/>
        <w:rPr>
          <w:rFonts w:asciiTheme="minorHAnsi" w:eastAsiaTheme="minorHAnsi" w:hAnsiTheme="minorHAnsi" w:cstheme="minorHAnsi"/>
          <w:b/>
          <w:lang w:bidi="ar-SA"/>
        </w:rPr>
      </w:pPr>
      <w:r>
        <w:rPr>
          <w:rFonts w:ascii="Arial" w:hAnsi="Arial" w:cs="Arial"/>
          <w:b/>
          <w:sz w:val="21"/>
          <w:szCs w:val="21"/>
        </w:rPr>
        <w:t>Pokles o 0,39 procentní</w:t>
      </w:r>
      <w:r w:rsidRPr="00360581">
        <w:rPr>
          <w:rFonts w:ascii="Arial" w:hAnsi="Arial" w:cs="Arial"/>
          <w:b/>
          <w:sz w:val="21"/>
          <w:szCs w:val="21"/>
        </w:rPr>
        <w:t>h</w:t>
      </w:r>
      <w:r>
        <w:rPr>
          <w:rFonts w:ascii="Arial" w:hAnsi="Arial" w:cs="Arial"/>
          <w:b/>
          <w:sz w:val="21"/>
          <w:szCs w:val="21"/>
        </w:rPr>
        <w:t xml:space="preserve">o bodu byl příznačný </w:t>
      </w:r>
      <w:r w:rsidRPr="00360581">
        <w:rPr>
          <w:rFonts w:ascii="Arial" w:hAnsi="Arial" w:cs="Arial"/>
          <w:b/>
          <w:sz w:val="21"/>
          <w:szCs w:val="21"/>
        </w:rPr>
        <w:t>pro nemovitostní fondy</w:t>
      </w:r>
    </w:p>
    <w:p w14:paraId="4784FB0C" w14:textId="77777777" w:rsidR="00B52241" w:rsidRDefault="00B52241" w:rsidP="00940B5C">
      <w:pPr>
        <w:spacing w:line="360" w:lineRule="auto"/>
      </w:pPr>
    </w:p>
    <w:p w14:paraId="599EB5A2" w14:textId="0F1D86E3" w:rsidR="00A62440" w:rsidRPr="00360581" w:rsidRDefault="00091AED" w:rsidP="001A3FCC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Praha, 11</w:t>
      </w:r>
      <w:r w:rsidR="00A91ACE" w:rsidRPr="00B81517">
        <w:rPr>
          <w:rFonts w:ascii="Arial" w:hAnsi="Arial" w:cs="Arial"/>
          <w:b/>
          <w:i/>
          <w:sz w:val="21"/>
          <w:szCs w:val="21"/>
        </w:rPr>
        <w:t xml:space="preserve">. července 2023 </w:t>
      </w:r>
      <w:r w:rsidR="00A91ACE" w:rsidRPr="00360581">
        <w:rPr>
          <w:rFonts w:ascii="Arial" w:hAnsi="Arial" w:cs="Arial"/>
          <w:i/>
          <w:sz w:val="21"/>
          <w:szCs w:val="21"/>
        </w:rPr>
        <w:t xml:space="preserve">- </w:t>
      </w:r>
      <w:r w:rsidR="00CB7A43">
        <w:rPr>
          <w:rFonts w:ascii="Arial" w:hAnsi="Arial" w:cs="Arial"/>
          <w:b/>
          <w:sz w:val="21"/>
          <w:szCs w:val="21"/>
        </w:rPr>
        <w:t xml:space="preserve">Většina </w:t>
      </w:r>
      <w:r w:rsidR="00A91ACE" w:rsidRPr="00360581">
        <w:rPr>
          <w:rFonts w:ascii="Arial" w:hAnsi="Arial" w:cs="Arial"/>
          <w:b/>
          <w:sz w:val="21"/>
          <w:szCs w:val="21"/>
        </w:rPr>
        <w:t xml:space="preserve">podílových fondů </w:t>
      </w:r>
      <w:proofErr w:type="gramStart"/>
      <w:r w:rsidR="00A91ACE" w:rsidRPr="00360581">
        <w:rPr>
          <w:rFonts w:ascii="Arial" w:hAnsi="Arial" w:cs="Arial"/>
          <w:b/>
          <w:sz w:val="21"/>
          <w:szCs w:val="21"/>
        </w:rPr>
        <w:t>dosáhl</w:t>
      </w:r>
      <w:r w:rsidR="00CB7A43">
        <w:rPr>
          <w:rFonts w:ascii="Arial" w:hAnsi="Arial" w:cs="Arial"/>
          <w:b/>
          <w:sz w:val="21"/>
          <w:szCs w:val="21"/>
        </w:rPr>
        <w:t>a</w:t>
      </w:r>
      <w:proofErr w:type="gramEnd"/>
      <w:r w:rsidR="00A91ACE" w:rsidRPr="00360581">
        <w:rPr>
          <w:rFonts w:ascii="Arial" w:hAnsi="Arial" w:cs="Arial"/>
          <w:b/>
          <w:sz w:val="21"/>
          <w:szCs w:val="21"/>
        </w:rPr>
        <w:t xml:space="preserve"> v červnu </w:t>
      </w:r>
      <w:r w:rsidR="00CB7A43">
        <w:rPr>
          <w:rFonts w:ascii="Arial" w:hAnsi="Arial" w:cs="Arial"/>
          <w:b/>
          <w:sz w:val="21"/>
          <w:szCs w:val="21"/>
        </w:rPr>
        <w:t xml:space="preserve">v rámci </w:t>
      </w:r>
      <w:r w:rsidR="00CB7A43" w:rsidRPr="00360581">
        <w:rPr>
          <w:rFonts w:ascii="Arial" w:hAnsi="Arial" w:cs="Arial"/>
          <w:b/>
          <w:sz w:val="21"/>
          <w:szCs w:val="21"/>
        </w:rPr>
        <w:t xml:space="preserve">Broker </w:t>
      </w:r>
      <w:proofErr w:type="spellStart"/>
      <w:r w:rsidR="00CB7A43" w:rsidRPr="00360581">
        <w:rPr>
          <w:rFonts w:ascii="Arial" w:hAnsi="Arial" w:cs="Arial"/>
          <w:b/>
          <w:sz w:val="21"/>
          <w:szCs w:val="21"/>
        </w:rPr>
        <w:t>Consulting</w:t>
      </w:r>
      <w:proofErr w:type="spellEnd"/>
      <w:r w:rsidR="00CB7A43" w:rsidRPr="00360581">
        <w:rPr>
          <w:rFonts w:ascii="Arial" w:hAnsi="Arial" w:cs="Arial"/>
          <w:b/>
          <w:sz w:val="21"/>
          <w:szCs w:val="21"/>
        </w:rPr>
        <w:t xml:space="preserve"> Index</w:t>
      </w:r>
      <w:r w:rsidR="00CB7A43">
        <w:rPr>
          <w:rFonts w:ascii="Arial" w:hAnsi="Arial" w:cs="Arial"/>
          <w:b/>
          <w:sz w:val="21"/>
          <w:szCs w:val="21"/>
        </w:rPr>
        <w:t>u</w:t>
      </w:r>
      <w:r w:rsidR="00CB7A43" w:rsidRPr="00360581">
        <w:rPr>
          <w:rFonts w:ascii="Arial" w:hAnsi="Arial" w:cs="Arial"/>
          <w:b/>
          <w:sz w:val="21"/>
          <w:szCs w:val="21"/>
        </w:rPr>
        <w:t xml:space="preserve"> </w:t>
      </w:r>
      <w:r w:rsidR="00A91ACE" w:rsidRPr="00360581">
        <w:rPr>
          <w:rFonts w:ascii="Arial" w:hAnsi="Arial" w:cs="Arial"/>
          <w:b/>
          <w:sz w:val="21"/>
          <w:szCs w:val="21"/>
        </w:rPr>
        <w:t>mírného růstu.</w:t>
      </w:r>
      <w:r w:rsidR="00627466" w:rsidRPr="00360581">
        <w:rPr>
          <w:rFonts w:ascii="Arial" w:hAnsi="Arial" w:cs="Arial"/>
          <w:b/>
          <w:sz w:val="21"/>
          <w:szCs w:val="21"/>
        </w:rPr>
        <w:t xml:space="preserve"> Nejvýkonně</w:t>
      </w:r>
      <w:r w:rsidR="002E0A80">
        <w:rPr>
          <w:rFonts w:ascii="Arial" w:hAnsi="Arial" w:cs="Arial"/>
          <w:b/>
          <w:sz w:val="21"/>
          <w:szCs w:val="21"/>
        </w:rPr>
        <w:t>jší byly v uvedeném měsíci akciové fondy</w:t>
      </w:r>
      <w:r w:rsidR="00627466" w:rsidRPr="00360581">
        <w:rPr>
          <w:rFonts w:ascii="Arial" w:hAnsi="Arial" w:cs="Arial"/>
          <w:b/>
          <w:sz w:val="21"/>
          <w:szCs w:val="21"/>
        </w:rPr>
        <w:t>, které</w:t>
      </w:r>
      <w:r w:rsidR="006D2FBD" w:rsidRPr="00360581">
        <w:rPr>
          <w:rFonts w:ascii="Arial" w:hAnsi="Arial" w:cs="Arial"/>
          <w:b/>
          <w:sz w:val="21"/>
          <w:szCs w:val="21"/>
        </w:rPr>
        <w:t xml:space="preserve"> kvůli posilování na americkém, evropském a zejména pak japonském trhu </w:t>
      </w:r>
      <w:r w:rsidR="00627466" w:rsidRPr="00360581">
        <w:rPr>
          <w:rFonts w:ascii="Arial" w:hAnsi="Arial" w:cs="Arial"/>
          <w:b/>
          <w:sz w:val="21"/>
          <w:szCs w:val="21"/>
        </w:rPr>
        <w:t>rostly v průměru o 2,88 procenta.</w:t>
      </w:r>
      <w:r w:rsidR="00940B5C">
        <w:rPr>
          <w:rFonts w:ascii="Arial" w:hAnsi="Arial" w:cs="Arial"/>
          <w:b/>
          <w:sz w:val="21"/>
          <w:szCs w:val="21"/>
        </w:rPr>
        <w:t xml:space="preserve"> Pokles o 0,39 procentní</w:t>
      </w:r>
      <w:r w:rsidR="00A62440" w:rsidRPr="00360581">
        <w:rPr>
          <w:rFonts w:ascii="Arial" w:hAnsi="Arial" w:cs="Arial"/>
          <w:b/>
          <w:sz w:val="21"/>
          <w:szCs w:val="21"/>
        </w:rPr>
        <w:t>h</w:t>
      </w:r>
      <w:r w:rsidR="00940B5C">
        <w:rPr>
          <w:rFonts w:ascii="Arial" w:hAnsi="Arial" w:cs="Arial"/>
          <w:b/>
          <w:sz w:val="21"/>
          <w:szCs w:val="21"/>
        </w:rPr>
        <w:t>o bodu</w:t>
      </w:r>
      <w:r w:rsidR="00A62440" w:rsidRPr="00360581">
        <w:rPr>
          <w:rFonts w:ascii="Arial" w:hAnsi="Arial" w:cs="Arial"/>
          <w:b/>
          <w:sz w:val="21"/>
          <w:szCs w:val="21"/>
        </w:rPr>
        <w:t xml:space="preserve"> byl</w:t>
      </w:r>
      <w:r w:rsidR="00F01C4E" w:rsidRPr="00360581">
        <w:rPr>
          <w:rFonts w:ascii="Arial" w:hAnsi="Arial" w:cs="Arial"/>
          <w:b/>
          <w:sz w:val="21"/>
          <w:szCs w:val="21"/>
        </w:rPr>
        <w:t xml:space="preserve"> z důvodu předpokládaného ochlazení realitního trhu</w:t>
      </w:r>
      <w:r w:rsidR="00CB7A43">
        <w:rPr>
          <w:rFonts w:ascii="Arial" w:hAnsi="Arial" w:cs="Arial"/>
          <w:b/>
          <w:sz w:val="21"/>
          <w:szCs w:val="21"/>
        </w:rPr>
        <w:t xml:space="preserve"> naopak charakteristický</w:t>
      </w:r>
      <w:r w:rsidR="00A62440" w:rsidRPr="00360581">
        <w:rPr>
          <w:rFonts w:ascii="Arial" w:hAnsi="Arial" w:cs="Arial"/>
          <w:b/>
          <w:sz w:val="21"/>
          <w:szCs w:val="21"/>
        </w:rPr>
        <w:t xml:space="preserve"> pro nemovitostní fondy.</w:t>
      </w:r>
    </w:p>
    <w:p w14:paraId="0FBDA82C" w14:textId="77777777" w:rsidR="00A62440" w:rsidRPr="00360581" w:rsidRDefault="00A62440" w:rsidP="001A3FCC">
      <w:pPr>
        <w:jc w:val="both"/>
        <w:rPr>
          <w:rFonts w:ascii="Arial" w:hAnsi="Arial" w:cs="Arial"/>
          <w:sz w:val="21"/>
          <w:szCs w:val="21"/>
        </w:rPr>
      </w:pPr>
    </w:p>
    <w:p w14:paraId="03D18434" w14:textId="77777777" w:rsidR="00627466" w:rsidRPr="00360581" w:rsidRDefault="00627466" w:rsidP="001A3FCC">
      <w:pPr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34F6C062" w14:textId="2C3BE348" w:rsidR="00B52241" w:rsidRPr="00360581" w:rsidRDefault="00A91ACE" w:rsidP="001A3FCC">
      <w:pPr>
        <w:jc w:val="both"/>
        <w:rPr>
          <w:rFonts w:ascii="Arial" w:hAnsi="Arial" w:cs="Arial"/>
          <w:sz w:val="21"/>
          <w:szCs w:val="21"/>
        </w:rPr>
      </w:pPr>
      <w:r w:rsidRPr="00360581">
        <w:rPr>
          <w:rFonts w:ascii="Arial" w:hAnsi="Arial" w:cs="Arial"/>
          <w:sz w:val="21"/>
          <w:szCs w:val="21"/>
        </w:rPr>
        <w:t>Hlavním důvodem</w:t>
      </w:r>
      <w:r w:rsidR="00627466" w:rsidRPr="00360581">
        <w:rPr>
          <w:rFonts w:ascii="Arial" w:hAnsi="Arial" w:cs="Arial"/>
          <w:sz w:val="21"/>
          <w:szCs w:val="21"/>
        </w:rPr>
        <w:t>, proč se v červnu dařilo akciovým fondům,</w:t>
      </w:r>
      <w:r w:rsidR="002E0A80">
        <w:rPr>
          <w:rFonts w:ascii="Arial" w:hAnsi="Arial" w:cs="Arial"/>
          <w:sz w:val="21"/>
          <w:szCs w:val="21"/>
        </w:rPr>
        <w:t xml:space="preserve"> byl</w:t>
      </w:r>
      <w:r w:rsidRPr="00360581">
        <w:rPr>
          <w:rFonts w:ascii="Arial" w:hAnsi="Arial" w:cs="Arial"/>
          <w:sz w:val="21"/>
          <w:szCs w:val="21"/>
        </w:rPr>
        <w:t xml:space="preserve"> především </w:t>
      </w:r>
      <w:r w:rsidR="006D2FBD" w:rsidRPr="00360581">
        <w:rPr>
          <w:rFonts w:ascii="Arial" w:hAnsi="Arial" w:cs="Arial"/>
          <w:sz w:val="21"/>
          <w:szCs w:val="21"/>
        </w:rPr>
        <w:t>pozitivní vývoj na trzích</w:t>
      </w:r>
      <w:r w:rsidR="00627466" w:rsidRPr="00360581">
        <w:rPr>
          <w:rFonts w:ascii="Arial" w:hAnsi="Arial" w:cs="Arial"/>
          <w:sz w:val="21"/>
          <w:szCs w:val="21"/>
        </w:rPr>
        <w:t xml:space="preserve"> s </w:t>
      </w:r>
      <w:r w:rsidRPr="00360581">
        <w:rPr>
          <w:rFonts w:ascii="Arial" w:hAnsi="Arial" w:cs="Arial"/>
          <w:sz w:val="21"/>
          <w:szCs w:val="21"/>
        </w:rPr>
        <w:t>americkým</w:t>
      </w:r>
      <w:r w:rsidR="00627466" w:rsidRPr="00360581">
        <w:rPr>
          <w:rFonts w:ascii="Arial" w:hAnsi="Arial" w:cs="Arial"/>
          <w:sz w:val="21"/>
          <w:szCs w:val="21"/>
        </w:rPr>
        <w:t>i</w:t>
      </w:r>
      <w:r w:rsidRPr="00360581">
        <w:rPr>
          <w:rFonts w:ascii="Arial" w:hAnsi="Arial" w:cs="Arial"/>
          <w:sz w:val="21"/>
          <w:szCs w:val="21"/>
        </w:rPr>
        <w:t xml:space="preserve"> a evropským</w:t>
      </w:r>
      <w:r w:rsidR="00627466" w:rsidRPr="00360581">
        <w:rPr>
          <w:rFonts w:ascii="Arial" w:hAnsi="Arial" w:cs="Arial"/>
          <w:sz w:val="21"/>
          <w:szCs w:val="21"/>
        </w:rPr>
        <w:t>i</w:t>
      </w:r>
      <w:r w:rsidRPr="00360581">
        <w:rPr>
          <w:rFonts w:ascii="Arial" w:hAnsi="Arial" w:cs="Arial"/>
          <w:sz w:val="21"/>
          <w:szCs w:val="21"/>
        </w:rPr>
        <w:t xml:space="preserve"> a</w:t>
      </w:r>
      <w:r w:rsidR="00627466" w:rsidRPr="00360581">
        <w:rPr>
          <w:rFonts w:ascii="Arial" w:hAnsi="Arial" w:cs="Arial"/>
          <w:sz w:val="21"/>
          <w:szCs w:val="21"/>
        </w:rPr>
        <w:t>kcie</w:t>
      </w:r>
      <w:r w:rsidRPr="00360581">
        <w:rPr>
          <w:rFonts w:ascii="Arial" w:hAnsi="Arial" w:cs="Arial"/>
          <w:sz w:val="21"/>
          <w:szCs w:val="21"/>
        </w:rPr>
        <w:t>m</w:t>
      </w:r>
      <w:r w:rsidR="00627466" w:rsidRPr="00360581">
        <w:rPr>
          <w:rFonts w:ascii="Arial" w:hAnsi="Arial" w:cs="Arial"/>
          <w:sz w:val="21"/>
          <w:szCs w:val="21"/>
        </w:rPr>
        <w:t>i</w:t>
      </w:r>
      <w:r w:rsidRPr="00360581">
        <w:rPr>
          <w:rFonts w:ascii="Arial" w:hAnsi="Arial" w:cs="Arial"/>
          <w:sz w:val="21"/>
          <w:szCs w:val="21"/>
        </w:rPr>
        <w:t xml:space="preserve">. </w:t>
      </w:r>
      <w:r w:rsidR="00627466" w:rsidRPr="00360581">
        <w:rPr>
          <w:rFonts w:ascii="Arial" w:hAnsi="Arial" w:cs="Arial"/>
          <w:sz w:val="21"/>
          <w:szCs w:val="21"/>
        </w:rPr>
        <w:t xml:space="preserve">Ještě lépe na tom byl </w:t>
      </w:r>
      <w:r w:rsidR="00A62440" w:rsidRPr="00360581">
        <w:rPr>
          <w:rFonts w:ascii="Arial" w:hAnsi="Arial" w:cs="Arial"/>
          <w:sz w:val="21"/>
          <w:szCs w:val="21"/>
        </w:rPr>
        <w:t xml:space="preserve">pak </w:t>
      </w:r>
      <w:r w:rsidR="00627466" w:rsidRPr="00360581">
        <w:rPr>
          <w:rFonts w:ascii="Arial" w:hAnsi="Arial" w:cs="Arial"/>
          <w:sz w:val="21"/>
          <w:szCs w:val="21"/>
        </w:rPr>
        <w:t>japonský trh, který zvedlo neočekávané oživení tamní ekonomiky</w:t>
      </w:r>
      <w:r w:rsidR="006F3A4F" w:rsidRPr="00360581">
        <w:rPr>
          <w:rFonts w:ascii="Arial" w:hAnsi="Arial" w:cs="Arial"/>
          <w:sz w:val="21"/>
          <w:szCs w:val="21"/>
        </w:rPr>
        <w:t>, zájem zahraničních inv</w:t>
      </w:r>
      <w:r w:rsidR="002E0A80">
        <w:rPr>
          <w:rFonts w:ascii="Arial" w:hAnsi="Arial" w:cs="Arial"/>
          <w:sz w:val="21"/>
          <w:szCs w:val="21"/>
        </w:rPr>
        <w:t>estorů a reformy, jimiž místní</w:t>
      </w:r>
      <w:r w:rsidR="006F3A4F" w:rsidRPr="00360581">
        <w:rPr>
          <w:rFonts w:ascii="Arial" w:hAnsi="Arial" w:cs="Arial"/>
          <w:sz w:val="21"/>
          <w:szCs w:val="21"/>
        </w:rPr>
        <w:t xml:space="preserve"> trh s cennými papíry v poslední době prochází</w:t>
      </w:r>
      <w:r w:rsidR="00627466" w:rsidRPr="00360581">
        <w:rPr>
          <w:rFonts w:ascii="Arial" w:hAnsi="Arial" w:cs="Arial"/>
          <w:sz w:val="21"/>
          <w:szCs w:val="21"/>
        </w:rPr>
        <w:t>.</w:t>
      </w:r>
    </w:p>
    <w:p w14:paraId="7F199BDC" w14:textId="147D3E96" w:rsidR="006F3A4F" w:rsidRPr="00360581" w:rsidRDefault="006F3A4F" w:rsidP="001A3FCC">
      <w:pPr>
        <w:jc w:val="both"/>
        <w:rPr>
          <w:rFonts w:ascii="Arial" w:hAnsi="Arial" w:cs="Arial"/>
          <w:sz w:val="21"/>
          <w:szCs w:val="21"/>
        </w:rPr>
      </w:pPr>
    </w:p>
    <w:p w14:paraId="458CCC28" w14:textId="267A17C8" w:rsidR="00A62440" w:rsidRPr="00360581" w:rsidRDefault="00A62440" w:rsidP="001A3FCC">
      <w:pPr>
        <w:jc w:val="both"/>
        <w:rPr>
          <w:rFonts w:ascii="Arial" w:hAnsi="Arial" w:cs="Arial"/>
          <w:b/>
          <w:sz w:val="21"/>
          <w:szCs w:val="21"/>
        </w:rPr>
      </w:pPr>
      <w:r w:rsidRPr="00360581">
        <w:rPr>
          <w:rFonts w:ascii="Arial" w:hAnsi="Arial" w:cs="Arial"/>
          <w:sz w:val="21"/>
          <w:szCs w:val="21"/>
        </w:rPr>
        <w:t>„</w:t>
      </w:r>
      <w:r w:rsidRPr="00360581">
        <w:rPr>
          <w:rFonts w:ascii="Arial" w:hAnsi="Arial" w:cs="Arial"/>
          <w:i/>
          <w:sz w:val="21"/>
          <w:szCs w:val="21"/>
        </w:rPr>
        <w:t xml:space="preserve">U akcií </w:t>
      </w:r>
      <w:r w:rsidR="00EE63A1" w:rsidRPr="00360581">
        <w:rPr>
          <w:rFonts w:ascii="Arial" w:hAnsi="Arial" w:cs="Arial"/>
          <w:i/>
          <w:sz w:val="21"/>
          <w:szCs w:val="21"/>
        </w:rPr>
        <w:t xml:space="preserve">evidujeme podle Broker </w:t>
      </w:r>
      <w:proofErr w:type="spellStart"/>
      <w:r w:rsidR="00EE63A1" w:rsidRPr="00360581">
        <w:rPr>
          <w:rFonts w:ascii="Arial" w:hAnsi="Arial" w:cs="Arial"/>
          <w:i/>
          <w:sz w:val="21"/>
          <w:szCs w:val="21"/>
        </w:rPr>
        <w:t>Consulting</w:t>
      </w:r>
      <w:proofErr w:type="spellEnd"/>
      <w:r w:rsidR="00EE63A1" w:rsidRPr="00360581">
        <w:rPr>
          <w:rFonts w:ascii="Arial" w:hAnsi="Arial" w:cs="Arial"/>
          <w:i/>
          <w:sz w:val="21"/>
          <w:szCs w:val="21"/>
        </w:rPr>
        <w:t xml:space="preserve"> I</w:t>
      </w:r>
      <w:r w:rsidRPr="00360581">
        <w:rPr>
          <w:rFonts w:ascii="Arial" w:hAnsi="Arial" w:cs="Arial"/>
          <w:i/>
          <w:sz w:val="21"/>
          <w:szCs w:val="21"/>
        </w:rPr>
        <w:t>ndexu</w:t>
      </w:r>
      <w:r w:rsidR="00EE63A1" w:rsidRPr="00360581">
        <w:rPr>
          <w:rFonts w:ascii="Arial" w:hAnsi="Arial" w:cs="Arial"/>
          <w:i/>
          <w:sz w:val="21"/>
          <w:szCs w:val="21"/>
        </w:rPr>
        <w:t xml:space="preserve"> podílových fondů</w:t>
      </w:r>
      <w:r w:rsidRPr="00360581">
        <w:rPr>
          <w:rFonts w:ascii="Arial" w:hAnsi="Arial" w:cs="Arial"/>
          <w:i/>
          <w:sz w:val="21"/>
          <w:szCs w:val="21"/>
        </w:rPr>
        <w:t xml:space="preserve"> růst v průměru o 2,88 procenta. Akcie se tak staly</w:t>
      </w:r>
      <w:r w:rsidR="006D2FBD" w:rsidRPr="00360581">
        <w:rPr>
          <w:rFonts w:ascii="Arial" w:hAnsi="Arial" w:cs="Arial"/>
          <w:i/>
          <w:sz w:val="21"/>
          <w:szCs w:val="21"/>
        </w:rPr>
        <w:t xml:space="preserve"> nejvýkonnějším aktivem uplynulého</w:t>
      </w:r>
      <w:r w:rsidRPr="00360581">
        <w:rPr>
          <w:rFonts w:ascii="Arial" w:hAnsi="Arial" w:cs="Arial"/>
          <w:i/>
          <w:sz w:val="21"/>
          <w:szCs w:val="21"/>
        </w:rPr>
        <w:t xml:space="preserve"> měsíc</w:t>
      </w:r>
      <w:r w:rsidR="006D2FBD" w:rsidRPr="00360581">
        <w:rPr>
          <w:rFonts w:ascii="Arial" w:hAnsi="Arial" w:cs="Arial"/>
          <w:i/>
          <w:sz w:val="21"/>
          <w:szCs w:val="21"/>
        </w:rPr>
        <w:t>e</w:t>
      </w:r>
      <w:r w:rsidRPr="00360581">
        <w:rPr>
          <w:rFonts w:ascii="Arial" w:hAnsi="Arial" w:cs="Arial"/>
          <w:sz w:val="21"/>
          <w:szCs w:val="21"/>
        </w:rPr>
        <w:t xml:space="preserve">,“ komentuje výsledky indexu </w:t>
      </w:r>
      <w:r w:rsidRPr="00360581">
        <w:rPr>
          <w:rFonts w:ascii="Arial" w:hAnsi="Arial" w:cs="Arial"/>
          <w:b/>
          <w:sz w:val="21"/>
          <w:szCs w:val="21"/>
        </w:rPr>
        <w:t xml:space="preserve">Martin Novák, hlavní analytik společnosti Broker </w:t>
      </w:r>
      <w:proofErr w:type="spellStart"/>
      <w:r w:rsidRPr="00360581">
        <w:rPr>
          <w:rFonts w:ascii="Arial" w:hAnsi="Arial" w:cs="Arial"/>
          <w:b/>
          <w:sz w:val="21"/>
          <w:szCs w:val="21"/>
        </w:rPr>
        <w:t>Consulting</w:t>
      </w:r>
      <w:proofErr w:type="spellEnd"/>
      <w:r w:rsidRPr="00360581">
        <w:rPr>
          <w:rFonts w:ascii="Arial" w:hAnsi="Arial" w:cs="Arial"/>
          <w:b/>
          <w:sz w:val="21"/>
          <w:szCs w:val="21"/>
        </w:rPr>
        <w:t xml:space="preserve">. </w:t>
      </w:r>
    </w:p>
    <w:p w14:paraId="4070E1A2" w14:textId="419A7218" w:rsidR="00A62440" w:rsidRDefault="00A62440" w:rsidP="00627466">
      <w:pPr>
        <w:rPr>
          <w:rFonts w:asciiTheme="minorHAnsi" w:hAnsiTheme="minorHAnsi" w:cstheme="minorHAnsi"/>
        </w:rPr>
      </w:pPr>
    </w:p>
    <w:p w14:paraId="5D17D6DD" w14:textId="4F29730F" w:rsidR="006D2FBD" w:rsidRPr="00A62440" w:rsidRDefault="006D2FBD" w:rsidP="002E0A80">
      <w:pPr>
        <w:jc w:val="center"/>
        <w:rPr>
          <w:rFonts w:asciiTheme="minorHAnsi" w:hAnsiTheme="minorHAnsi" w:cstheme="minorHAnsi"/>
        </w:rPr>
      </w:pPr>
      <w:r w:rsidRPr="00D264BC">
        <w:rPr>
          <w:noProof/>
          <w:lang w:bidi="ar-SA"/>
        </w:rPr>
        <w:drawing>
          <wp:inline distT="0" distB="0" distL="0" distR="0" wp14:anchorId="042FD846" wp14:editId="572920A3">
            <wp:extent cx="6388100" cy="1473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775" cy="148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FF34" w14:textId="77777777" w:rsidR="00B52241" w:rsidRDefault="00B52241" w:rsidP="00B52241"/>
    <w:p w14:paraId="772CABFA" w14:textId="77777777" w:rsidR="006D2FBD" w:rsidRDefault="006D2FBD" w:rsidP="00B52241"/>
    <w:p w14:paraId="6F61E1D1" w14:textId="661D0B6F" w:rsidR="00360581" w:rsidRDefault="00F7727A" w:rsidP="001A3FCC">
      <w:pPr>
        <w:jc w:val="both"/>
        <w:rPr>
          <w:rFonts w:ascii="Arial" w:hAnsi="Arial" w:cs="Arial"/>
          <w:sz w:val="21"/>
          <w:szCs w:val="21"/>
        </w:rPr>
      </w:pPr>
      <w:r w:rsidRPr="00360581">
        <w:rPr>
          <w:rFonts w:ascii="Arial" w:hAnsi="Arial" w:cs="Arial"/>
          <w:sz w:val="21"/>
          <w:szCs w:val="21"/>
        </w:rPr>
        <w:t>Nižším</w:t>
      </w:r>
      <w:r w:rsidR="006D2FBD" w:rsidRPr="00360581">
        <w:rPr>
          <w:rFonts w:ascii="Arial" w:hAnsi="Arial" w:cs="Arial"/>
          <w:sz w:val="21"/>
          <w:szCs w:val="21"/>
        </w:rPr>
        <w:t xml:space="preserve"> tempem</w:t>
      </w:r>
      <w:r w:rsidR="00034CE7" w:rsidRPr="00360581">
        <w:rPr>
          <w:rFonts w:ascii="Arial" w:hAnsi="Arial" w:cs="Arial"/>
          <w:sz w:val="21"/>
          <w:szCs w:val="21"/>
        </w:rPr>
        <w:t>, a to pouze o 0,22 procent</w:t>
      </w:r>
      <w:r w:rsidR="009F256D" w:rsidRPr="00360581">
        <w:rPr>
          <w:rFonts w:ascii="Arial" w:hAnsi="Arial" w:cs="Arial"/>
          <w:sz w:val="21"/>
          <w:szCs w:val="21"/>
        </w:rPr>
        <w:t>a</w:t>
      </w:r>
      <w:r w:rsidR="00034CE7" w:rsidRPr="00360581">
        <w:rPr>
          <w:rFonts w:ascii="Arial" w:hAnsi="Arial" w:cs="Arial"/>
          <w:sz w:val="21"/>
          <w:szCs w:val="21"/>
        </w:rPr>
        <w:t>,</w:t>
      </w:r>
      <w:r w:rsidR="006D2FBD" w:rsidRPr="00360581">
        <w:rPr>
          <w:rFonts w:ascii="Arial" w:hAnsi="Arial" w:cs="Arial"/>
          <w:sz w:val="21"/>
          <w:szCs w:val="21"/>
        </w:rPr>
        <w:t xml:space="preserve"> </w:t>
      </w:r>
      <w:r w:rsidR="00034CE7" w:rsidRPr="00360581">
        <w:rPr>
          <w:rFonts w:ascii="Arial" w:hAnsi="Arial" w:cs="Arial"/>
          <w:sz w:val="21"/>
          <w:szCs w:val="21"/>
        </w:rPr>
        <w:t xml:space="preserve">rostly </w:t>
      </w:r>
      <w:r w:rsidR="00B52241" w:rsidRPr="00360581">
        <w:rPr>
          <w:rFonts w:ascii="Arial" w:hAnsi="Arial" w:cs="Arial"/>
          <w:sz w:val="21"/>
          <w:szCs w:val="21"/>
        </w:rPr>
        <w:t xml:space="preserve">dluhopisové fondy. </w:t>
      </w:r>
      <w:r w:rsidR="00034CE7" w:rsidRPr="00360581">
        <w:rPr>
          <w:rFonts w:ascii="Arial" w:hAnsi="Arial" w:cs="Arial"/>
          <w:sz w:val="21"/>
          <w:szCs w:val="21"/>
        </w:rPr>
        <w:t xml:space="preserve">Pomohla jim zejména </w:t>
      </w:r>
      <w:r w:rsidR="00B52241" w:rsidRPr="00360581">
        <w:rPr>
          <w:rFonts w:ascii="Arial" w:hAnsi="Arial" w:cs="Arial"/>
          <w:sz w:val="21"/>
          <w:szCs w:val="21"/>
        </w:rPr>
        <w:t>makro</w:t>
      </w:r>
      <w:r w:rsidR="00034CE7" w:rsidRPr="00360581">
        <w:rPr>
          <w:rFonts w:ascii="Arial" w:hAnsi="Arial" w:cs="Arial"/>
          <w:sz w:val="21"/>
          <w:szCs w:val="21"/>
        </w:rPr>
        <w:t xml:space="preserve">ekonomická data, která signalizují </w:t>
      </w:r>
      <w:r w:rsidR="00B52241" w:rsidRPr="00360581">
        <w:rPr>
          <w:rFonts w:ascii="Arial" w:hAnsi="Arial" w:cs="Arial"/>
          <w:sz w:val="21"/>
          <w:szCs w:val="21"/>
        </w:rPr>
        <w:t>zpomalování</w:t>
      </w:r>
      <w:r w:rsidR="00034CE7" w:rsidRPr="00360581">
        <w:rPr>
          <w:rFonts w:ascii="Arial" w:hAnsi="Arial" w:cs="Arial"/>
          <w:sz w:val="21"/>
          <w:szCs w:val="21"/>
        </w:rPr>
        <w:t xml:space="preserve"> tempa</w:t>
      </w:r>
      <w:r w:rsidR="00B52241" w:rsidRPr="00360581">
        <w:rPr>
          <w:rFonts w:ascii="Arial" w:hAnsi="Arial" w:cs="Arial"/>
          <w:sz w:val="21"/>
          <w:szCs w:val="21"/>
        </w:rPr>
        <w:t xml:space="preserve"> inflace</w:t>
      </w:r>
      <w:r w:rsidR="009F256D" w:rsidRPr="00360581">
        <w:rPr>
          <w:rFonts w:ascii="Arial" w:hAnsi="Arial" w:cs="Arial"/>
          <w:sz w:val="21"/>
          <w:szCs w:val="21"/>
        </w:rPr>
        <w:t>. S uvedeným trendem</w:t>
      </w:r>
      <w:r w:rsidR="00034CE7" w:rsidRPr="00360581">
        <w:rPr>
          <w:rFonts w:ascii="Arial" w:hAnsi="Arial" w:cs="Arial"/>
          <w:sz w:val="21"/>
          <w:szCs w:val="21"/>
        </w:rPr>
        <w:t xml:space="preserve"> </w:t>
      </w:r>
      <w:r w:rsidR="009F256D" w:rsidRPr="00360581">
        <w:rPr>
          <w:rFonts w:ascii="Arial" w:hAnsi="Arial" w:cs="Arial"/>
          <w:sz w:val="21"/>
          <w:szCs w:val="21"/>
        </w:rPr>
        <w:t>by</w:t>
      </w:r>
      <w:r w:rsidR="00034CE7" w:rsidRPr="00360581">
        <w:rPr>
          <w:rFonts w:ascii="Arial" w:hAnsi="Arial" w:cs="Arial"/>
          <w:sz w:val="21"/>
          <w:szCs w:val="21"/>
        </w:rPr>
        <w:t xml:space="preserve"> mělo být </w:t>
      </w:r>
      <w:r w:rsidR="002E0A80">
        <w:rPr>
          <w:rFonts w:ascii="Arial" w:hAnsi="Arial" w:cs="Arial"/>
          <w:sz w:val="21"/>
          <w:szCs w:val="21"/>
        </w:rPr>
        <w:t xml:space="preserve">podle ekonomů navíc </w:t>
      </w:r>
      <w:r w:rsidR="00034CE7" w:rsidRPr="00360581">
        <w:rPr>
          <w:rFonts w:ascii="Arial" w:hAnsi="Arial" w:cs="Arial"/>
          <w:sz w:val="21"/>
          <w:szCs w:val="21"/>
        </w:rPr>
        <w:t>spojeno b</w:t>
      </w:r>
      <w:r w:rsidR="00B52241" w:rsidRPr="00360581">
        <w:rPr>
          <w:rFonts w:ascii="Arial" w:hAnsi="Arial" w:cs="Arial"/>
          <w:sz w:val="21"/>
          <w:szCs w:val="21"/>
        </w:rPr>
        <w:t>lížící se snižování úrokových sazeb.</w:t>
      </w:r>
    </w:p>
    <w:p w14:paraId="22DFC4FF" w14:textId="65D9CB87" w:rsidR="006D2FBD" w:rsidRPr="00360581" w:rsidRDefault="00B52241" w:rsidP="001A3FCC">
      <w:pPr>
        <w:jc w:val="both"/>
        <w:rPr>
          <w:rFonts w:ascii="Arial" w:hAnsi="Arial" w:cs="Arial"/>
          <w:sz w:val="21"/>
          <w:szCs w:val="21"/>
        </w:rPr>
      </w:pPr>
      <w:r w:rsidRPr="00360581">
        <w:rPr>
          <w:rFonts w:ascii="Arial" w:hAnsi="Arial" w:cs="Arial"/>
          <w:sz w:val="21"/>
          <w:szCs w:val="21"/>
        </w:rPr>
        <w:t xml:space="preserve"> </w:t>
      </w:r>
    </w:p>
    <w:p w14:paraId="2F8A7F2C" w14:textId="630C6CDE" w:rsidR="009F256D" w:rsidRPr="00360581" w:rsidRDefault="004B3198" w:rsidP="001A3FCC">
      <w:pPr>
        <w:jc w:val="both"/>
        <w:rPr>
          <w:rFonts w:ascii="Arial" w:hAnsi="Arial" w:cs="Arial"/>
          <w:sz w:val="21"/>
          <w:szCs w:val="21"/>
        </w:rPr>
      </w:pPr>
      <w:r w:rsidRPr="00360581">
        <w:rPr>
          <w:rFonts w:ascii="Arial" w:hAnsi="Arial" w:cs="Arial"/>
          <w:sz w:val="21"/>
          <w:szCs w:val="21"/>
        </w:rPr>
        <w:t xml:space="preserve">Dalším posilujícím </w:t>
      </w:r>
      <w:r w:rsidR="00E03E80" w:rsidRPr="00360581">
        <w:rPr>
          <w:rFonts w:ascii="Arial" w:hAnsi="Arial" w:cs="Arial"/>
          <w:sz w:val="21"/>
          <w:szCs w:val="21"/>
        </w:rPr>
        <w:t>segmentem byly f</w:t>
      </w:r>
      <w:r w:rsidR="00B52241" w:rsidRPr="00360581">
        <w:rPr>
          <w:rFonts w:ascii="Arial" w:hAnsi="Arial" w:cs="Arial"/>
          <w:sz w:val="21"/>
          <w:szCs w:val="21"/>
        </w:rPr>
        <w:t>ondy peněžního trhu</w:t>
      </w:r>
      <w:r w:rsidR="00E03E80" w:rsidRPr="00360581">
        <w:rPr>
          <w:rFonts w:ascii="Arial" w:hAnsi="Arial" w:cs="Arial"/>
          <w:sz w:val="21"/>
          <w:szCs w:val="21"/>
        </w:rPr>
        <w:t>, které</w:t>
      </w:r>
      <w:r w:rsidR="00B52241" w:rsidRPr="00360581">
        <w:rPr>
          <w:rFonts w:ascii="Arial" w:hAnsi="Arial" w:cs="Arial"/>
          <w:sz w:val="21"/>
          <w:szCs w:val="21"/>
        </w:rPr>
        <w:t xml:space="preserve"> </w:t>
      </w:r>
      <w:r w:rsidR="009F256D" w:rsidRPr="00360581">
        <w:rPr>
          <w:rFonts w:ascii="Arial" w:hAnsi="Arial" w:cs="Arial"/>
          <w:sz w:val="21"/>
          <w:szCs w:val="21"/>
        </w:rPr>
        <w:t>profitovaly z vysokých úrokových sazeb. Díky tomu dosáhly růstu 1,08 procenta, což bylo výrazně více, než tomu bylo v případě dlouhodobých dluhopisových fondů.</w:t>
      </w:r>
    </w:p>
    <w:p w14:paraId="21D8B2FC" w14:textId="77777777" w:rsidR="00360581" w:rsidRDefault="00360581" w:rsidP="001A3FCC">
      <w:pPr>
        <w:jc w:val="both"/>
        <w:rPr>
          <w:rFonts w:ascii="Arial" w:hAnsi="Arial" w:cs="Arial"/>
          <w:sz w:val="21"/>
          <w:szCs w:val="21"/>
        </w:rPr>
      </w:pPr>
    </w:p>
    <w:p w14:paraId="76C64982" w14:textId="2F7EF83A" w:rsidR="00F478FB" w:rsidRPr="00360581" w:rsidRDefault="00C6797F" w:rsidP="001A3FCC">
      <w:pPr>
        <w:jc w:val="both"/>
        <w:rPr>
          <w:rFonts w:ascii="Arial" w:hAnsi="Arial" w:cs="Arial"/>
          <w:sz w:val="21"/>
          <w:szCs w:val="21"/>
        </w:rPr>
      </w:pPr>
      <w:r w:rsidRPr="00360581">
        <w:rPr>
          <w:rFonts w:ascii="Arial" w:hAnsi="Arial" w:cs="Arial"/>
          <w:sz w:val="21"/>
          <w:szCs w:val="21"/>
        </w:rPr>
        <w:t>Dařilo se rovněž komoditním fondům, které se staly druhým nejvýkonnějším typem fondu</w:t>
      </w:r>
      <w:r w:rsidR="00F478FB" w:rsidRPr="00360581">
        <w:rPr>
          <w:rFonts w:ascii="Arial" w:hAnsi="Arial" w:cs="Arial"/>
          <w:sz w:val="21"/>
          <w:szCs w:val="21"/>
        </w:rPr>
        <w:t>. R</w:t>
      </w:r>
      <w:r w:rsidRPr="00360581">
        <w:rPr>
          <w:rFonts w:ascii="Arial" w:hAnsi="Arial" w:cs="Arial"/>
          <w:sz w:val="21"/>
          <w:szCs w:val="21"/>
        </w:rPr>
        <w:t>ostly v průměru o 1,69 procenta. Navzdory rozhodnutí Organiza</w:t>
      </w:r>
      <w:r w:rsidR="007306F8" w:rsidRPr="00360581">
        <w:rPr>
          <w:rFonts w:ascii="Arial" w:hAnsi="Arial" w:cs="Arial"/>
          <w:sz w:val="21"/>
          <w:szCs w:val="21"/>
        </w:rPr>
        <w:t>ce zemí vyvážejících ropu</w:t>
      </w:r>
      <w:r w:rsidRPr="00360581">
        <w:rPr>
          <w:rFonts w:ascii="Arial" w:hAnsi="Arial" w:cs="Arial"/>
          <w:sz w:val="21"/>
          <w:szCs w:val="21"/>
        </w:rPr>
        <w:t xml:space="preserve"> </w:t>
      </w:r>
      <w:r w:rsidR="00B52241" w:rsidRPr="00360581">
        <w:rPr>
          <w:rFonts w:ascii="Arial" w:hAnsi="Arial" w:cs="Arial"/>
          <w:sz w:val="21"/>
          <w:szCs w:val="21"/>
        </w:rPr>
        <w:t>snížit těžbu ropy na 9 mil</w:t>
      </w:r>
      <w:r w:rsidRPr="00360581">
        <w:rPr>
          <w:rFonts w:ascii="Arial" w:hAnsi="Arial" w:cs="Arial"/>
          <w:sz w:val="21"/>
          <w:szCs w:val="21"/>
        </w:rPr>
        <w:t>ionu</w:t>
      </w:r>
      <w:r w:rsidR="00B52241" w:rsidRPr="00360581">
        <w:rPr>
          <w:rFonts w:ascii="Arial" w:hAnsi="Arial" w:cs="Arial"/>
          <w:sz w:val="21"/>
          <w:szCs w:val="21"/>
        </w:rPr>
        <w:t xml:space="preserve"> barelů za den </w:t>
      </w:r>
      <w:r w:rsidRPr="00360581">
        <w:rPr>
          <w:rFonts w:ascii="Arial" w:hAnsi="Arial" w:cs="Arial"/>
          <w:sz w:val="21"/>
          <w:szCs w:val="21"/>
        </w:rPr>
        <w:t xml:space="preserve">cena ropy stagnovala. </w:t>
      </w:r>
      <w:r w:rsidR="00B52241" w:rsidRPr="00360581">
        <w:rPr>
          <w:rFonts w:ascii="Arial" w:hAnsi="Arial" w:cs="Arial"/>
          <w:sz w:val="21"/>
          <w:szCs w:val="21"/>
        </w:rPr>
        <w:t>Ostatní kom</w:t>
      </w:r>
      <w:r w:rsidRPr="00360581">
        <w:rPr>
          <w:rFonts w:ascii="Arial" w:hAnsi="Arial" w:cs="Arial"/>
          <w:sz w:val="21"/>
          <w:szCs w:val="21"/>
        </w:rPr>
        <w:t xml:space="preserve">odity </w:t>
      </w:r>
      <w:r w:rsidR="00083FAE">
        <w:rPr>
          <w:rFonts w:ascii="Arial" w:hAnsi="Arial" w:cs="Arial"/>
          <w:sz w:val="21"/>
          <w:szCs w:val="21"/>
        </w:rPr>
        <w:t xml:space="preserve">ve sledovaném měsíci </w:t>
      </w:r>
      <w:r w:rsidRPr="00360581">
        <w:rPr>
          <w:rFonts w:ascii="Arial" w:hAnsi="Arial" w:cs="Arial"/>
          <w:sz w:val="21"/>
          <w:szCs w:val="21"/>
        </w:rPr>
        <w:t>vykázaly</w:t>
      </w:r>
      <w:r w:rsidR="00B52241" w:rsidRPr="00360581">
        <w:rPr>
          <w:rFonts w:ascii="Arial" w:hAnsi="Arial" w:cs="Arial"/>
          <w:sz w:val="21"/>
          <w:szCs w:val="21"/>
        </w:rPr>
        <w:t xml:space="preserve"> smíšené výsledky</w:t>
      </w:r>
      <w:r w:rsidRPr="00360581">
        <w:rPr>
          <w:rFonts w:ascii="Arial" w:hAnsi="Arial" w:cs="Arial"/>
          <w:sz w:val="21"/>
          <w:szCs w:val="21"/>
        </w:rPr>
        <w:t xml:space="preserve">. </w:t>
      </w:r>
      <w:r w:rsidR="00B52241" w:rsidRPr="00360581">
        <w:rPr>
          <w:rFonts w:ascii="Arial" w:hAnsi="Arial" w:cs="Arial"/>
          <w:sz w:val="21"/>
          <w:szCs w:val="21"/>
        </w:rPr>
        <w:t xml:space="preserve">V meziročním srovnání </w:t>
      </w:r>
      <w:r w:rsidRPr="00360581">
        <w:rPr>
          <w:rFonts w:ascii="Arial" w:hAnsi="Arial" w:cs="Arial"/>
          <w:sz w:val="21"/>
          <w:szCs w:val="21"/>
        </w:rPr>
        <w:t xml:space="preserve">však můžeme </w:t>
      </w:r>
      <w:r w:rsidR="00B52241" w:rsidRPr="00360581">
        <w:rPr>
          <w:rFonts w:ascii="Arial" w:hAnsi="Arial" w:cs="Arial"/>
          <w:sz w:val="21"/>
          <w:szCs w:val="21"/>
        </w:rPr>
        <w:t>stále vidět razantní pokles cen komodit</w:t>
      </w:r>
      <w:r w:rsidRPr="00360581">
        <w:rPr>
          <w:rFonts w:ascii="Arial" w:hAnsi="Arial" w:cs="Arial"/>
          <w:sz w:val="21"/>
          <w:szCs w:val="21"/>
        </w:rPr>
        <w:t>, a to hlavně kvůli</w:t>
      </w:r>
      <w:r w:rsidR="00B52241" w:rsidRPr="00360581">
        <w:rPr>
          <w:rFonts w:ascii="Arial" w:hAnsi="Arial" w:cs="Arial"/>
          <w:sz w:val="21"/>
          <w:szCs w:val="21"/>
        </w:rPr>
        <w:t xml:space="preserve"> návratu energetických komodit k předkrizovým cenám a mírnému pokle</w:t>
      </w:r>
      <w:r w:rsidRPr="00360581">
        <w:rPr>
          <w:rFonts w:ascii="Arial" w:hAnsi="Arial" w:cs="Arial"/>
          <w:sz w:val="21"/>
          <w:szCs w:val="21"/>
        </w:rPr>
        <w:t>su</w:t>
      </w:r>
      <w:r w:rsidR="00083FAE">
        <w:rPr>
          <w:rFonts w:ascii="Arial" w:hAnsi="Arial" w:cs="Arial"/>
          <w:sz w:val="21"/>
          <w:szCs w:val="21"/>
        </w:rPr>
        <w:t xml:space="preserve"> cen</w:t>
      </w:r>
      <w:r w:rsidRPr="00360581">
        <w:rPr>
          <w:rFonts w:ascii="Arial" w:hAnsi="Arial" w:cs="Arial"/>
          <w:sz w:val="21"/>
          <w:szCs w:val="21"/>
        </w:rPr>
        <w:t xml:space="preserve"> zlata a stříbra</w:t>
      </w:r>
      <w:r w:rsidR="00F478FB" w:rsidRPr="00360581">
        <w:rPr>
          <w:rFonts w:ascii="Arial" w:hAnsi="Arial" w:cs="Arial"/>
          <w:sz w:val="21"/>
          <w:szCs w:val="21"/>
        </w:rPr>
        <w:t>.</w:t>
      </w:r>
    </w:p>
    <w:p w14:paraId="598EB2D6" w14:textId="77777777" w:rsidR="00360581" w:rsidRDefault="00360581" w:rsidP="001A3FCC">
      <w:pPr>
        <w:jc w:val="both"/>
        <w:rPr>
          <w:rFonts w:ascii="Arial" w:hAnsi="Arial" w:cs="Arial"/>
          <w:sz w:val="21"/>
          <w:szCs w:val="21"/>
        </w:rPr>
      </w:pPr>
    </w:p>
    <w:p w14:paraId="2BB7CE70" w14:textId="76DFDAAF" w:rsidR="00F478FB" w:rsidRPr="00360581" w:rsidRDefault="008525C9" w:rsidP="001A3FCC">
      <w:pPr>
        <w:jc w:val="both"/>
        <w:rPr>
          <w:rFonts w:ascii="Arial" w:hAnsi="Arial" w:cs="Arial"/>
          <w:sz w:val="21"/>
          <w:szCs w:val="21"/>
        </w:rPr>
      </w:pPr>
      <w:r w:rsidRPr="00360581">
        <w:rPr>
          <w:rFonts w:ascii="Arial" w:hAnsi="Arial" w:cs="Arial"/>
          <w:sz w:val="21"/>
          <w:szCs w:val="21"/>
        </w:rPr>
        <w:t>O</w:t>
      </w:r>
      <w:r w:rsidR="00F478FB" w:rsidRPr="00360581">
        <w:rPr>
          <w:rFonts w:ascii="Arial" w:hAnsi="Arial" w:cs="Arial"/>
          <w:sz w:val="21"/>
          <w:szCs w:val="21"/>
        </w:rPr>
        <w:t>pačný trend byl</w:t>
      </w:r>
      <w:r w:rsidR="00235395" w:rsidRPr="00360581">
        <w:rPr>
          <w:rFonts w:ascii="Arial" w:hAnsi="Arial" w:cs="Arial"/>
          <w:sz w:val="21"/>
          <w:szCs w:val="21"/>
        </w:rPr>
        <w:t xml:space="preserve"> v červnu</w:t>
      </w:r>
      <w:r w:rsidRPr="00360581">
        <w:rPr>
          <w:rFonts w:ascii="Arial" w:hAnsi="Arial" w:cs="Arial"/>
          <w:sz w:val="21"/>
          <w:szCs w:val="21"/>
        </w:rPr>
        <w:t xml:space="preserve"> </w:t>
      </w:r>
      <w:r w:rsidR="00F478FB" w:rsidRPr="00360581">
        <w:rPr>
          <w:rFonts w:ascii="Arial" w:hAnsi="Arial" w:cs="Arial"/>
          <w:sz w:val="21"/>
          <w:szCs w:val="21"/>
        </w:rPr>
        <w:t xml:space="preserve">spojený s </w:t>
      </w:r>
      <w:r w:rsidR="00B52241" w:rsidRPr="00360581">
        <w:rPr>
          <w:rFonts w:ascii="Arial" w:hAnsi="Arial" w:cs="Arial"/>
          <w:sz w:val="21"/>
          <w:szCs w:val="21"/>
        </w:rPr>
        <w:t>n</w:t>
      </w:r>
      <w:r w:rsidR="00F478FB" w:rsidRPr="00360581">
        <w:rPr>
          <w:rFonts w:ascii="Arial" w:hAnsi="Arial" w:cs="Arial"/>
          <w:sz w:val="21"/>
          <w:szCs w:val="21"/>
        </w:rPr>
        <w:t>emovitostními fondy</w:t>
      </w:r>
      <w:r w:rsidR="00B52241" w:rsidRPr="00360581">
        <w:rPr>
          <w:rFonts w:ascii="Arial" w:hAnsi="Arial" w:cs="Arial"/>
          <w:sz w:val="21"/>
          <w:szCs w:val="21"/>
        </w:rPr>
        <w:t>,</w:t>
      </w:r>
      <w:r w:rsidR="00235395" w:rsidRPr="00360581">
        <w:rPr>
          <w:rFonts w:ascii="Arial" w:hAnsi="Arial" w:cs="Arial"/>
          <w:sz w:val="21"/>
          <w:szCs w:val="21"/>
        </w:rPr>
        <w:t xml:space="preserve"> jež </w:t>
      </w:r>
      <w:r w:rsidR="00B52241" w:rsidRPr="00360581">
        <w:rPr>
          <w:rFonts w:ascii="Arial" w:hAnsi="Arial" w:cs="Arial"/>
          <w:sz w:val="21"/>
          <w:szCs w:val="21"/>
        </w:rPr>
        <w:t>po dlouhé době</w:t>
      </w:r>
      <w:r w:rsidR="006F3A4F" w:rsidRPr="00360581">
        <w:rPr>
          <w:rFonts w:ascii="Arial" w:hAnsi="Arial" w:cs="Arial"/>
          <w:sz w:val="21"/>
          <w:szCs w:val="21"/>
        </w:rPr>
        <w:t xml:space="preserve"> zaznamenaly</w:t>
      </w:r>
      <w:r w:rsidR="00235395" w:rsidRPr="00360581">
        <w:rPr>
          <w:rFonts w:ascii="Arial" w:hAnsi="Arial" w:cs="Arial"/>
          <w:sz w:val="21"/>
          <w:szCs w:val="21"/>
        </w:rPr>
        <w:t xml:space="preserve"> </w:t>
      </w:r>
      <w:r w:rsidR="00B52241" w:rsidRPr="00360581">
        <w:rPr>
          <w:rFonts w:ascii="Arial" w:hAnsi="Arial" w:cs="Arial"/>
          <w:sz w:val="21"/>
          <w:szCs w:val="21"/>
        </w:rPr>
        <w:t>meziměsíční pokles</w:t>
      </w:r>
      <w:r w:rsidR="00235395" w:rsidRPr="00360581">
        <w:rPr>
          <w:rFonts w:ascii="Arial" w:hAnsi="Arial" w:cs="Arial"/>
          <w:sz w:val="21"/>
          <w:szCs w:val="21"/>
        </w:rPr>
        <w:t xml:space="preserve"> o</w:t>
      </w:r>
      <w:r w:rsidR="00B52241" w:rsidRPr="00360581">
        <w:rPr>
          <w:rFonts w:ascii="Arial" w:hAnsi="Arial" w:cs="Arial"/>
          <w:sz w:val="21"/>
          <w:szCs w:val="21"/>
        </w:rPr>
        <w:t xml:space="preserve"> 0,39</w:t>
      </w:r>
      <w:r w:rsidR="00235395" w:rsidRPr="00360581">
        <w:rPr>
          <w:rFonts w:ascii="Arial" w:hAnsi="Arial" w:cs="Arial"/>
          <w:sz w:val="21"/>
          <w:szCs w:val="21"/>
        </w:rPr>
        <w:t xml:space="preserve"> procenta</w:t>
      </w:r>
      <w:r w:rsidR="00B52241" w:rsidRPr="00360581">
        <w:rPr>
          <w:rFonts w:ascii="Arial" w:hAnsi="Arial" w:cs="Arial"/>
          <w:sz w:val="21"/>
          <w:szCs w:val="21"/>
        </w:rPr>
        <w:t xml:space="preserve">. </w:t>
      </w:r>
      <w:r w:rsidR="00F478FB" w:rsidRPr="00360581">
        <w:rPr>
          <w:rFonts w:ascii="Arial" w:hAnsi="Arial" w:cs="Arial"/>
          <w:sz w:val="21"/>
          <w:szCs w:val="21"/>
        </w:rPr>
        <w:t>„</w:t>
      </w:r>
      <w:r w:rsidR="00B52241" w:rsidRPr="00360581">
        <w:rPr>
          <w:rFonts w:ascii="Arial" w:hAnsi="Arial" w:cs="Arial"/>
          <w:i/>
          <w:sz w:val="21"/>
          <w:szCs w:val="21"/>
        </w:rPr>
        <w:t>Je velice pravděpodobné, že se u těchto fondů začíná projevovat oc</w:t>
      </w:r>
      <w:r w:rsidR="00F478FB" w:rsidRPr="00360581">
        <w:rPr>
          <w:rFonts w:ascii="Arial" w:hAnsi="Arial" w:cs="Arial"/>
          <w:i/>
          <w:sz w:val="21"/>
          <w:szCs w:val="21"/>
        </w:rPr>
        <w:t>hlazení domácího nemovitostního trhu. Fondy však</w:t>
      </w:r>
      <w:r w:rsidR="00B52241" w:rsidRPr="00360581">
        <w:rPr>
          <w:rFonts w:ascii="Arial" w:hAnsi="Arial" w:cs="Arial"/>
          <w:i/>
          <w:sz w:val="21"/>
          <w:szCs w:val="21"/>
        </w:rPr>
        <w:t xml:space="preserve"> zatím nevykazují zvýšenou volatilitu, což může být </w:t>
      </w:r>
      <w:r w:rsidR="00F478FB" w:rsidRPr="00360581">
        <w:rPr>
          <w:rFonts w:ascii="Arial" w:hAnsi="Arial" w:cs="Arial"/>
          <w:i/>
          <w:sz w:val="21"/>
          <w:szCs w:val="21"/>
        </w:rPr>
        <w:t xml:space="preserve">výsledkem </w:t>
      </w:r>
      <w:r w:rsidR="00B52241" w:rsidRPr="00360581">
        <w:rPr>
          <w:rFonts w:ascii="Arial" w:hAnsi="Arial" w:cs="Arial"/>
          <w:i/>
          <w:sz w:val="21"/>
          <w:szCs w:val="21"/>
        </w:rPr>
        <w:t>razantního meziročního zvýšení výnosů z náj</w:t>
      </w:r>
      <w:r w:rsidR="00083FAE">
        <w:rPr>
          <w:rFonts w:ascii="Arial" w:hAnsi="Arial" w:cs="Arial"/>
          <w:i/>
          <w:sz w:val="21"/>
          <w:szCs w:val="21"/>
        </w:rPr>
        <w:t>mů prostřednictvím inflačních</w:t>
      </w:r>
      <w:r w:rsidR="00B52241" w:rsidRPr="00360581">
        <w:rPr>
          <w:rFonts w:ascii="Arial" w:hAnsi="Arial" w:cs="Arial"/>
          <w:i/>
          <w:sz w:val="21"/>
          <w:szCs w:val="21"/>
        </w:rPr>
        <w:t xml:space="preserve"> dolož</w:t>
      </w:r>
      <w:r w:rsidR="00083FAE">
        <w:rPr>
          <w:rFonts w:ascii="Arial" w:hAnsi="Arial" w:cs="Arial"/>
          <w:i/>
          <w:sz w:val="21"/>
          <w:szCs w:val="21"/>
        </w:rPr>
        <w:t>ek</w:t>
      </w:r>
      <w:r w:rsidR="00F478FB" w:rsidRPr="00360581">
        <w:rPr>
          <w:rFonts w:ascii="Arial" w:hAnsi="Arial" w:cs="Arial"/>
          <w:i/>
          <w:sz w:val="21"/>
          <w:szCs w:val="21"/>
        </w:rPr>
        <w:t>, o něž se většina těchto</w:t>
      </w:r>
      <w:r w:rsidR="00B52241" w:rsidRPr="00360581">
        <w:rPr>
          <w:rFonts w:ascii="Arial" w:hAnsi="Arial" w:cs="Arial"/>
          <w:i/>
          <w:sz w:val="21"/>
          <w:szCs w:val="21"/>
        </w:rPr>
        <w:t xml:space="preserve"> fondů v</w:t>
      </w:r>
      <w:r w:rsidR="00F478FB" w:rsidRPr="00360581">
        <w:rPr>
          <w:rFonts w:ascii="Arial" w:hAnsi="Arial" w:cs="Arial"/>
          <w:i/>
          <w:sz w:val="21"/>
          <w:szCs w:val="21"/>
        </w:rPr>
        <w:t>e svých</w:t>
      </w:r>
      <w:r w:rsidR="00B52241" w:rsidRPr="00360581">
        <w:rPr>
          <w:rFonts w:ascii="Arial" w:hAnsi="Arial" w:cs="Arial"/>
          <w:i/>
          <w:sz w:val="21"/>
          <w:szCs w:val="21"/>
        </w:rPr>
        <w:t xml:space="preserve"> nájemních smlouvách </w:t>
      </w:r>
      <w:r w:rsidR="00F478FB" w:rsidRPr="00360581">
        <w:rPr>
          <w:rFonts w:ascii="Arial" w:hAnsi="Arial" w:cs="Arial"/>
          <w:i/>
          <w:sz w:val="21"/>
          <w:szCs w:val="21"/>
        </w:rPr>
        <w:t>opírá</w:t>
      </w:r>
      <w:r w:rsidR="00F478FB" w:rsidRPr="00360581">
        <w:rPr>
          <w:rFonts w:ascii="Arial" w:hAnsi="Arial" w:cs="Arial"/>
          <w:sz w:val="21"/>
          <w:szCs w:val="21"/>
        </w:rPr>
        <w:t xml:space="preserve">,“ dodává </w:t>
      </w:r>
      <w:r w:rsidR="00F478FB" w:rsidRPr="00360581">
        <w:rPr>
          <w:rFonts w:ascii="Arial" w:hAnsi="Arial" w:cs="Arial"/>
          <w:b/>
          <w:sz w:val="21"/>
          <w:szCs w:val="21"/>
        </w:rPr>
        <w:t xml:space="preserve">Tadeáš Chmelíček, investiční analytik Broker </w:t>
      </w:r>
      <w:proofErr w:type="spellStart"/>
      <w:r w:rsidR="00F478FB" w:rsidRPr="00360581">
        <w:rPr>
          <w:rFonts w:ascii="Arial" w:hAnsi="Arial" w:cs="Arial"/>
          <w:b/>
          <w:sz w:val="21"/>
          <w:szCs w:val="21"/>
        </w:rPr>
        <w:t>Consulting</w:t>
      </w:r>
      <w:proofErr w:type="spellEnd"/>
      <w:r w:rsidR="00F478FB" w:rsidRPr="00360581">
        <w:rPr>
          <w:rFonts w:ascii="Arial" w:hAnsi="Arial" w:cs="Arial"/>
          <w:sz w:val="21"/>
          <w:szCs w:val="21"/>
        </w:rPr>
        <w:t xml:space="preserve">.   </w:t>
      </w:r>
    </w:p>
    <w:p w14:paraId="4A2C975E" w14:textId="77777777" w:rsidR="00F478FB" w:rsidRPr="00360581" w:rsidRDefault="00F478FB" w:rsidP="001A3FCC">
      <w:pPr>
        <w:jc w:val="both"/>
        <w:rPr>
          <w:rFonts w:ascii="Arial" w:hAnsi="Arial" w:cs="Arial"/>
          <w:sz w:val="21"/>
          <w:szCs w:val="21"/>
        </w:rPr>
      </w:pPr>
    </w:p>
    <w:p w14:paraId="6378212F" w14:textId="77777777" w:rsidR="00B52241" w:rsidRDefault="00B52241" w:rsidP="00B52241"/>
    <w:p w14:paraId="129DF566" w14:textId="6B51F114" w:rsidR="00B52241" w:rsidRDefault="00B52241" w:rsidP="00B52241"/>
    <w:p w14:paraId="50DBFE0E" w14:textId="77777777" w:rsidR="00B52241" w:rsidRDefault="00B52241" w:rsidP="00B52241"/>
    <w:p w14:paraId="2F4CF502" w14:textId="77777777" w:rsidR="00B52241" w:rsidRDefault="00B52241" w:rsidP="00B27C5B">
      <w:pPr>
        <w:jc w:val="center"/>
        <w:rPr>
          <w:rFonts w:asciiTheme="minorHAnsi" w:hAnsiTheme="minorHAnsi" w:cstheme="minorHAnsi"/>
          <w:b/>
          <w:sz w:val="27"/>
          <w:szCs w:val="27"/>
        </w:rPr>
      </w:pPr>
    </w:p>
    <w:p w14:paraId="34FEB54E" w14:textId="1EC96005" w:rsidR="001A5E5C" w:rsidRDefault="001A5E5C" w:rsidP="006061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20832F4B" w14:textId="77777777" w:rsidR="007D4A8D" w:rsidRDefault="007D4A8D" w:rsidP="00265810">
      <w:pPr>
        <w:jc w:val="both"/>
        <w:rPr>
          <w:rFonts w:asciiTheme="minorHAnsi" w:hAnsiTheme="minorHAnsi" w:cstheme="minorHAnsi"/>
          <w:b/>
        </w:rPr>
      </w:pPr>
    </w:p>
    <w:p w14:paraId="61087541" w14:textId="16E31EAF" w:rsidR="00CF090B" w:rsidRPr="00CF090B" w:rsidRDefault="00CF090B" w:rsidP="00CF090B">
      <w:pPr>
        <w:jc w:val="both"/>
        <w:rPr>
          <w:rFonts w:asciiTheme="minorHAnsi" w:eastAsia="Times New Roman" w:hAnsiTheme="minorHAnsi" w:cstheme="minorHAnsi"/>
        </w:rPr>
      </w:pPr>
      <w:r w:rsidRPr="00CF090B">
        <w:rPr>
          <w:rFonts w:asciiTheme="minorHAnsi" w:eastAsia="Times New Roman" w:hAnsiTheme="minorHAnsi" w:cstheme="minorHAnsi"/>
          <w:b/>
        </w:rPr>
        <w:t>Index podílových fondů</w:t>
      </w:r>
      <w:r w:rsidRPr="00CF090B">
        <w:rPr>
          <w:rFonts w:asciiTheme="minorHAnsi" w:eastAsia="Times New Roman" w:hAnsiTheme="minorHAnsi" w:cstheme="minorHAnsi"/>
        </w:rPr>
        <w:t xml:space="preserve"> reprezentuje portfolio převážně českého investora. U akciových fondů nebere v potaz úzké regionální či sektorové zaměření, ale zaměřuje se na globální akciový trh. Složení fondů v akciovém indexu reflektuje portfolio běžného českého investora investujícího do akciových fondů. Podobné je to také u komoditních fondů, kde index reflektuje výkonnost fondů investujících převážně do tradičních komodit. U dluhopisových fondů klade index větší důraz na české a evropské dluhopisové fondy, ale ve výkonnosti zohledňuje i dluhopisové fondy investující do státních dluhopisů různých ekonomik a také dluhopisové fondy zaměřující na rizikovější dluhopisy, ale již s menší vahou. U peněžních fondů a nemovitostních fondů je sledována pouze výkonnost českých podílových fondů.</w:t>
      </w:r>
    </w:p>
    <w:p w14:paraId="1C871B74" w14:textId="77777777" w:rsidR="00CF090B" w:rsidRPr="00CF090B" w:rsidRDefault="00CF090B" w:rsidP="00CF090B">
      <w:pPr>
        <w:jc w:val="both"/>
        <w:rPr>
          <w:rFonts w:asciiTheme="minorHAnsi" w:hAnsiTheme="minorHAnsi" w:cstheme="minorHAnsi"/>
        </w:rPr>
      </w:pPr>
      <w:r w:rsidRPr="00CF090B">
        <w:rPr>
          <w:rFonts w:asciiTheme="minorHAnsi" w:hAnsiTheme="minorHAnsi" w:cstheme="minorHAnsi"/>
          <w:b/>
        </w:rPr>
        <w:br/>
        <w:t xml:space="preserve">Proč je dobré tento index sledovat: </w:t>
      </w:r>
      <w:r w:rsidRPr="00CF090B">
        <w:rPr>
          <w:rFonts w:asciiTheme="minorHAnsi" w:hAnsiTheme="minorHAnsi" w:cstheme="minorHAnsi"/>
        </w:rPr>
        <w:t xml:space="preserve">Čeští investoři mají v podílových fondech zainvestován majetek ve výši zhruba 557 miliard korun. Fondy jsou velmi využívanou platformou pro dlouhodobé investování, zejména při vytváření rezerv pro období </w:t>
      </w:r>
      <w:proofErr w:type="spellStart"/>
      <w:r w:rsidRPr="00CF090B">
        <w:rPr>
          <w:rFonts w:asciiTheme="minorHAnsi" w:hAnsiTheme="minorHAnsi" w:cstheme="minorHAnsi"/>
        </w:rPr>
        <w:t>postaktivního</w:t>
      </w:r>
      <w:proofErr w:type="spellEnd"/>
      <w:r w:rsidRPr="00CF090B">
        <w:rPr>
          <w:rFonts w:asciiTheme="minorHAnsi" w:hAnsiTheme="minorHAnsi" w:cstheme="minorHAnsi"/>
        </w:rPr>
        <w:t xml:space="preserve"> věku (60+). Index ukazuje, jak se vede fondům dle jednotlivých tříd investičních aktiv. Investoři si mohou mimo jiné srovnávat,  jak si jimi vybrané fondy vedou v porovnání s průměrem trhu.</w:t>
      </w:r>
    </w:p>
    <w:p w14:paraId="3680EF94" w14:textId="39AEDB2D" w:rsidR="00CF090B" w:rsidRPr="00CF090B" w:rsidRDefault="00CF090B" w:rsidP="00CF090B">
      <w:pPr>
        <w:pStyle w:val="Zkladntext"/>
        <w:pBdr>
          <w:bottom w:val="single" w:sz="4" w:space="1" w:color="auto"/>
        </w:pBdr>
        <w:spacing w:before="33" w:line="237" w:lineRule="auto"/>
        <w:rPr>
          <w:rFonts w:asciiTheme="minorHAnsi" w:hAnsiTheme="minorHAnsi" w:cstheme="minorHAnsi"/>
          <w:b/>
        </w:rPr>
      </w:pPr>
    </w:p>
    <w:p w14:paraId="0B73DDFB" w14:textId="77777777" w:rsidR="00CF090B" w:rsidRPr="00CF090B" w:rsidRDefault="00CF090B" w:rsidP="00CF090B">
      <w:pPr>
        <w:spacing w:before="120" w:after="120"/>
        <w:rPr>
          <w:rFonts w:asciiTheme="minorHAnsi" w:hAnsiTheme="minorHAnsi" w:cstheme="minorHAnsi"/>
        </w:rPr>
      </w:pPr>
      <w:r w:rsidRPr="00CF090B">
        <w:rPr>
          <w:rFonts w:asciiTheme="minorHAnsi" w:hAnsiTheme="minorHAnsi" w:cstheme="minorHAnsi"/>
          <w:b/>
        </w:rPr>
        <w:t>Poznámka pro média:</w:t>
      </w:r>
      <w:r w:rsidRPr="00CF090B">
        <w:rPr>
          <w:rFonts w:asciiTheme="minorHAnsi" w:hAnsiTheme="minorHAnsi" w:cstheme="minorHAnsi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Broker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Consulting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Indexy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je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možné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volně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spacing w:val="2"/>
          <w:w w:val="105"/>
        </w:rPr>
        <w:t>publikovat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pouze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s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označením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„Broker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Consulting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Index“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spacing w:val="-3"/>
          <w:w w:val="105"/>
        </w:rPr>
        <w:t>(</w:t>
      </w:r>
      <w:r w:rsidRPr="00CF090B">
        <w:rPr>
          <w:rFonts w:asciiTheme="minorHAnsi" w:hAnsiTheme="minorHAnsi" w:cstheme="minorHAnsi"/>
          <w:i/>
          <w:color w:val="1D1D1B"/>
          <w:spacing w:val="-3"/>
          <w:w w:val="105"/>
        </w:rPr>
        <w:t>např.</w:t>
      </w:r>
      <w:r w:rsidRPr="00CF090B">
        <w:rPr>
          <w:rFonts w:asciiTheme="minorHAnsi" w:hAnsiTheme="minorHAnsi" w:cstheme="minorHAnsi"/>
          <w:i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i/>
          <w:color w:val="1D1D1B"/>
          <w:w w:val="105"/>
        </w:rPr>
        <w:t>Broker</w:t>
      </w:r>
      <w:r w:rsidRPr="00CF090B">
        <w:rPr>
          <w:rFonts w:asciiTheme="minorHAnsi" w:hAnsiTheme="minorHAnsi" w:cstheme="minorHAnsi"/>
          <w:i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i/>
          <w:color w:val="1D1D1B"/>
          <w:w w:val="105"/>
        </w:rPr>
        <w:t>Consulting</w:t>
      </w:r>
      <w:r w:rsidRPr="00CF090B">
        <w:rPr>
          <w:rFonts w:asciiTheme="minorHAnsi" w:hAnsiTheme="minorHAnsi" w:cstheme="minorHAnsi"/>
          <w:i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i/>
          <w:color w:val="1D1D1B"/>
          <w:w w:val="105"/>
        </w:rPr>
        <w:t xml:space="preserve">Index hypotečních úvěrů). Více informací najdete též na webu </w:t>
      </w:r>
      <w:r w:rsidRPr="00CF090B">
        <w:rPr>
          <w:rStyle w:val="Hypertextovodkaz"/>
          <w:rFonts w:asciiTheme="minorHAnsi" w:hAnsiTheme="minorHAnsi" w:cstheme="minorHAnsi"/>
          <w:i/>
          <w:w w:val="105"/>
        </w:rPr>
        <w:t>https://www.bcas.cz/onas/pro-media/</w:t>
      </w:r>
      <w:r w:rsidRPr="00CF090B">
        <w:rPr>
          <w:rFonts w:asciiTheme="minorHAnsi" w:hAnsiTheme="minorHAnsi" w:cstheme="minorHAnsi"/>
          <w:i/>
          <w:color w:val="1D1D1B"/>
          <w:w w:val="105"/>
        </w:rPr>
        <w:t xml:space="preserve">. </w:t>
      </w:r>
    </w:p>
    <w:p w14:paraId="5F353CA7" w14:textId="60E263C1" w:rsidR="00CF090B" w:rsidRPr="00CF090B" w:rsidRDefault="00CF090B" w:rsidP="00CF090B">
      <w:pPr>
        <w:jc w:val="both"/>
        <w:rPr>
          <w:rFonts w:asciiTheme="minorHAnsi" w:eastAsia="Calibri" w:hAnsiTheme="minorHAnsi" w:cstheme="minorHAnsi"/>
          <w:b/>
          <w:bCs/>
          <w:noProof/>
        </w:rPr>
      </w:pPr>
    </w:p>
    <w:p w14:paraId="1864B1E8" w14:textId="77777777" w:rsidR="00CF090B" w:rsidRPr="00CF090B" w:rsidRDefault="00CF090B" w:rsidP="00CF090B">
      <w:pPr>
        <w:jc w:val="both"/>
        <w:rPr>
          <w:rFonts w:asciiTheme="minorHAnsi" w:eastAsia="Calibri" w:hAnsiTheme="minorHAnsi" w:cstheme="minorHAnsi"/>
          <w:b/>
          <w:bCs/>
          <w:noProof/>
        </w:rPr>
      </w:pPr>
      <w:r w:rsidRPr="00CF090B">
        <w:rPr>
          <w:rFonts w:asciiTheme="minorHAnsi" w:eastAsia="Calibri" w:hAnsiTheme="minorHAnsi" w:cstheme="minorHAnsi"/>
          <w:b/>
          <w:bCs/>
          <w:noProof/>
        </w:rPr>
        <w:t>Kontakt pro média:</w:t>
      </w:r>
    </w:p>
    <w:p w14:paraId="6A09BF96" w14:textId="77777777" w:rsidR="00CF090B" w:rsidRPr="00CF090B" w:rsidRDefault="00CF090B" w:rsidP="00CF090B">
      <w:pPr>
        <w:jc w:val="both"/>
        <w:rPr>
          <w:rFonts w:asciiTheme="minorHAnsi" w:eastAsia="Calibri" w:hAnsiTheme="minorHAnsi" w:cstheme="minorHAnsi"/>
          <w:bCs/>
          <w:noProof/>
          <w:lang w:bidi="ar-SA"/>
        </w:rPr>
      </w:pPr>
      <w:r w:rsidRPr="00CF090B">
        <w:rPr>
          <w:rFonts w:asciiTheme="minorHAnsi" w:hAnsiTheme="minorHAnsi" w:cstheme="minorHAnsi"/>
        </w:rPr>
        <w:br/>
      </w:r>
      <w:r w:rsidRPr="00CF090B">
        <w:rPr>
          <w:rFonts w:asciiTheme="minorHAnsi" w:eastAsia="Calibri" w:hAnsiTheme="minorHAnsi" w:cstheme="minorHAnsi"/>
          <w:bCs/>
          <w:noProof/>
        </w:rPr>
        <w:t>Michaela Sahulová</w:t>
      </w:r>
    </w:p>
    <w:p w14:paraId="1307C113" w14:textId="77777777" w:rsidR="00CF090B" w:rsidRPr="00CF090B" w:rsidRDefault="00CF090B" w:rsidP="00CF090B">
      <w:pPr>
        <w:pStyle w:val="Bezmezer"/>
        <w:rPr>
          <w:rFonts w:eastAsia="Calibri" w:cstheme="minorHAnsi"/>
          <w:bCs/>
          <w:noProof/>
        </w:rPr>
      </w:pPr>
      <w:r w:rsidRPr="00CF090B">
        <w:rPr>
          <w:rFonts w:eastAsia="Calibri" w:cstheme="minorHAnsi"/>
          <w:noProof/>
        </w:rPr>
        <w:t xml:space="preserve">specialistka PR a </w:t>
      </w:r>
      <w:r w:rsidRPr="00CF090B">
        <w:rPr>
          <w:rFonts w:eastAsia="Calibri" w:cstheme="minorHAnsi"/>
          <w:bCs/>
          <w:noProof/>
        </w:rPr>
        <w:t>externí komunikace</w:t>
      </w:r>
    </w:p>
    <w:p w14:paraId="2B86B8BD" w14:textId="77777777" w:rsidR="00CF090B" w:rsidRPr="00CF090B" w:rsidRDefault="00CF090B" w:rsidP="00CF090B">
      <w:pPr>
        <w:pStyle w:val="Bezmezer"/>
        <w:rPr>
          <w:rFonts w:eastAsia="Calibri" w:cstheme="minorHAnsi"/>
          <w:bCs/>
          <w:noProof/>
        </w:rPr>
      </w:pPr>
      <w:r w:rsidRPr="00CF090B">
        <w:rPr>
          <w:rFonts w:eastAsia="Calibri" w:cstheme="minorHAnsi"/>
          <w:bCs/>
          <w:noProof/>
        </w:rPr>
        <w:t>mobil: +420</w:t>
      </w:r>
      <w:r w:rsidRPr="00CF090B">
        <w:rPr>
          <w:rFonts w:eastAsia="Calibri" w:cstheme="minorHAnsi"/>
          <w:noProof/>
        </w:rPr>
        <w:t> 731 538 373</w:t>
      </w:r>
    </w:p>
    <w:p w14:paraId="6A6A0565" w14:textId="77777777" w:rsidR="00CF090B" w:rsidRPr="00CF090B" w:rsidRDefault="00CF090B" w:rsidP="00CF090B">
      <w:pPr>
        <w:pStyle w:val="Bezmezer"/>
        <w:rPr>
          <w:rFonts w:eastAsia="Calibri" w:cstheme="minorHAnsi"/>
          <w:bCs/>
          <w:noProof/>
        </w:rPr>
      </w:pPr>
      <w:r w:rsidRPr="00CF090B">
        <w:rPr>
          <w:rFonts w:eastAsia="Calibri" w:cstheme="minorHAnsi"/>
          <w:noProof/>
        </w:rPr>
        <w:t xml:space="preserve">e-mail: </w:t>
      </w:r>
      <w:hyperlink r:id="rId15" w:history="1">
        <w:r w:rsidRPr="00CF090B">
          <w:rPr>
            <w:rStyle w:val="Hypertextovodkaz"/>
            <w:rFonts w:eastAsia="Calibri" w:cstheme="minorHAnsi"/>
            <w:noProof/>
          </w:rPr>
          <w:t>michaela.sahulova@bcas.cz</w:t>
        </w:r>
      </w:hyperlink>
      <w:r w:rsidRPr="00CF090B">
        <w:rPr>
          <w:rFonts w:eastAsia="Calibri" w:cstheme="minorHAnsi"/>
          <w:noProof/>
        </w:rPr>
        <w:t xml:space="preserve"> </w:t>
      </w:r>
    </w:p>
    <w:p w14:paraId="025F1B2F" w14:textId="552299C1" w:rsidR="00D60D98" w:rsidRPr="00CF090B" w:rsidRDefault="00D60D98" w:rsidP="000B0291">
      <w:pPr>
        <w:pStyle w:val="Bezmezer"/>
        <w:rPr>
          <w:rFonts w:eastAsia="Calibri" w:cstheme="minorHAnsi"/>
          <w:bCs/>
          <w:noProof/>
        </w:rPr>
      </w:pPr>
    </w:p>
    <w:sectPr w:rsidR="00D60D98" w:rsidRPr="00CF090B" w:rsidSect="001675AF">
      <w:type w:val="continuous"/>
      <w:pgSz w:w="11910" w:h="16840"/>
      <w:pgMar w:top="960" w:right="740" w:bottom="2127" w:left="720" w:header="708" w:footer="11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F7EC8" w14:textId="77777777" w:rsidR="00B12A51" w:rsidRDefault="00B12A51">
      <w:r>
        <w:separator/>
      </w:r>
    </w:p>
  </w:endnote>
  <w:endnote w:type="continuationSeparator" w:id="0">
    <w:p w14:paraId="2549E20D" w14:textId="77777777" w:rsidR="00B12A51" w:rsidRDefault="00B1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F015TEEMed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20D6" w14:textId="77777777" w:rsidR="00D80B6D" w:rsidRDefault="00D80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C53E" w14:textId="0E45F0AC" w:rsidR="00D31127" w:rsidRPr="001675AF" w:rsidRDefault="00D31127" w:rsidP="001675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6B16" w14:textId="77777777" w:rsidR="00D80B6D" w:rsidRDefault="00D8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AA135" w14:textId="77777777" w:rsidR="00B12A51" w:rsidRDefault="00B12A51">
      <w:r>
        <w:separator/>
      </w:r>
    </w:p>
  </w:footnote>
  <w:footnote w:type="continuationSeparator" w:id="0">
    <w:p w14:paraId="6D17BFF8" w14:textId="77777777" w:rsidR="00B12A51" w:rsidRDefault="00B1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9CAA" w14:textId="77777777" w:rsidR="00D80B6D" w:rsidRDefault="00D80B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68EBE" w14:textId="080E7B52" w:rsidR="00B65A3B" w:rsidRDefault="00B65A3B">
    <w:pPr>
      <w:pStyle w:val="Zhlav"/>
    </w:pPr>
    <w:r w:rsidRPr="00B65A3B">
      <w:rPr>
        <w:rFonts w:ascii="Arial" w:hAnsi="Arial" w:cs="Arial"/>
        <w:noProof/>
        <w:sz w:val="28"/>
        <w:szCs w:val="28"/>
        <w:lang w:bidi="ar-SA"/>
      </w:rPr>
      <w:drawing>
        <wp:anchor distT="0" distB="0" distL="0" distR="0" simplePos="0" relativeHeight="251651072" behindDoc="0" locked="0" layoutInCell="1" allowOverlap="1" wp14:anchorId="31BAF93D" wp14:editId="6CF85B5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01425" cy="648000"/>
          <wp:effectExtent l="0" t="0" r="8255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425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EE69E" w14:textId="77777777" w:rsidR="00B65A3B" w:rsidRPr="00B65A3B" w:rsidRDefault="00B65A3B" w:rsidP="00B65A3B">
    <w:pPr>
      <w:pStyle w:val="Nadpis2"/>
      <w:ind w:left="1440" w:firstLine="720"/>
      <w:rPr>
        <w:rFonts w:ascii="Arial" w:hAnsi="Arial" w:cs="Arial"/>
      </w:rPr>
    </w:pPr>
    <w:r w:rsidRPr="00B65A3B">
      <w:rPr>
        <w:rFonts w:ascii="Arial" w:hAnsi="Arial" w:cs="Arial"/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ED4418B" wp14:editId="7FE32292">
              <wp:simplePos x="0" y="0"/>
              <wp:positionH relativeFrom="page">
                <wp:posOffset>1589405</wp:posOffset>
              </wp:positionH>
              <wp:positionV relativeFrom="paragraph">
                <wp:posOffset>74295</wp:posOffset>
              </wp:positionV>
              <wp:extent cx="0" cy="450850"/>
              <wp:effectExtent l="8255" t="12065" r="10795" b="13335"/>
              <wp:wrapNone/>
              <wp:docPr id="119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08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D171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0D45A71" id="Line 3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15pt,5.85pt" to="125.1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" strokecolor="#cd1719" strokeweight="1pt">
              <w10:wrap anchorx="page"/>
            </v:line>
          </w:pict>
        </mc:Fallback>
      </mc:AlternateContent>
    </w:r>
    <w:r w:rsidRPr="00B65A3B">
      <w:rPr>
        <w:rFonts w:ascii="Arial" w:hAnsi="Arial" w:cs="Arial"/>
        <w:noProof/>
        <w:lang w:bidi="ar-SA"/>
      </w:rPr>
      <w:drawing>
        <wp:anchor distT="0" distB="0" distL="0" distR="0" simplePos="0" relativeHeight="251649024" behindDoc="0" locked="0" layoutInCell="1" allowOverlap="1" wp14:anchorId="47B23A44" wp14:editId="1B722D07">
          <wp:simplePos x="0" y="0"/>
          <wp:positionH relativeFrom="margin">
            <wp:align>left</wp:align>
          </wp:positionH>
          <wp:positionV relativeFrom="paragraph">
            <wp:posOffset>63500</wp:posOffset>
          </wp:positionV>
          <wp:extent cx="958324" cy="360000"/>
          <wp:effectExtent l="0" t="0" r="0" b="254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32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5A3B">
      <w:rPr>
        <w:rFonts w:ascii="Arial" w:hAnsi="Arial" w:cs="Arial"/>
        <w:color w:val="1D1D1B"/>
      </w:rPr>
      <w:t>BROKER CONSULTING</w:t>
    </w:r>
  </w:p>
  <w:p w14:paraId="2AE1FBD7" w14:textId="2E9D9ACF" w:rsidR="00B65A3B" w:rsidRDefault="009F2CEE" w:rsidP="009F2CEE">
    <w:pPr>
      <w:spacing w:before="85"/>
      <w:ind w:left="1440" w:firstLine="720"/>
      <w:rPr>
        <w:rFonts w:ascii="Arial" w:hAnsi="Arial" w:cs="Arial"/>
        <w:color w:val="E52713"/>
        <w:sz w:val="28"/>
        <w:szCs w:val="28"/>
      </w:rPr>
    </w:pPr>
    <w:r w:rsidRPr="00B65A3B">
      <w:rPr>
        <w:rFonts w:ascii="Arial" w:hAnsi="Arial" w:cs="Arial"/>
        <w:color w:val="E52713"/>
        <w:sz w:val="28"/>
        <w:szCs w:val="28"/>
      </w:rPr>
      <w:t xml:space="preserve">INDEX </w:t>
    </w:r>
    <w:r>
      <w:rPr>
        <w:rFonts w:ascii="Arial" w:hAnsi="Arial" w:cs="Arial"/>
        <w:color w:val="E52713"/>
        <w:sz w:val="28"/>
        <w:szCs w:val="28"/>
      </w:rPr>
      <w:t>PODÍLOVÝCH FONDŮ</w:t>
    </w:r>
  </w:p>
  <w:p w14:paraId="6F48BC81" w14:textId="77777777" w:rsidR="00A02308" w:rsidRPr="00B65A3B" w:rsidRDefault="00A02308" w:rsidP="009F2CEE">
    <w:pPr>
      <w:spacing w:before="85"/>
      <w:ind w:left="1440" w:firstLine="72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B739" w14:textId="77777777" w:rsidR="009F59EE" w:rsidRDefault="009F59EE" w:rsidP="009F59EE">
    <w:pPr>
      <w:pStyle w:val="Zhlav"/>
    </w:pPr>
    <w:r w:rsidRPr="00B65A3B">
      <w:rPr>
        <w:rFonts w:ascii="Arial" w:hAnsi="Arial" w:cs="Arial"/>
        <w:noProof/>
        <w:sz w:val="28"/>
        <w:szCs w:val="28"/>
        <w:lang w:bidi="ar-SA"/>
      </w:rPr>
      <w:drawing>
        <wp:anchor distT="0" distB="0" distL="0" distR="0" simplePos="0" relativeHeight="251663360" behindDoc="0" locked="0" layoutInCell="1" allowOverlap="1" wp14:anchorId="5B141BE4" wp14:editId="2D7EF3B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01425" cy="648000"/>
          <wp:effectExtent l="0" t="0" r="8255" b="0"/>
          <wp:wrapNone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425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9D881" w14:textId="77777777" w:rsidR="009F59EE" w:rsidRPr="00D544F0" w:rsidRDefault="009F59EE" w:rsidP="009F59EE">
    <w:pPr>
      <w:pStyle w:val="Nadpis2"/>
      <w:ind w:left="1440" w:firstLine="720"/>
      <w:rPr>
        <w:rFonts w:asciiTheme="minorHAnsi" w:hAnsiTheme="minorHAnsi" w:cstheme="minorHAnsi"/>
      </w:rPr>
    </w:pPr>
    <w:r w:rsidRPr="00D544F0">
      <w:rPr>
        <w:rFonts w:asciiTheme="minorHAnsi" w:hAnsiTheme="minorHAnsi" w:cstheme="minorHAnsi"/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596170" wp14:editId="51FC0657">
              <wp:simplePos x="0" y="0"/>
              <wp:positionH relativeFrom="page">
                <wp:posOffset>1589405</wp:posOffset>
              </wp:positionH>
              <wp:positionV relativeFrom="paragraph">
                <wp:posOffset>74295</wp:posOffset>
              </wp:positionV>
              <wp:extent cx="0" cy="450850"/>
              <wp:effectExtent l="8255" t="12065" r="10795" b="13335"/>
              <wp:wrapNone/>
              <wp:docPr id="24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08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D171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59852D"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15pt,5.85pt" to="125.1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" strokecolor="#cd1719" strokeweight="1pt">
              <w10:wrap anchorx="page"/>
            </v:line>
          </w:pict>
        </mc:Fallback>
      </mc:AlternateContent>
    </w:r>
    <w:r w:rsidRPr="00D544F0">
      <w:rPr>
        <w:rFonts w:asciiTheme="minorHAnsi" w:hAnsiTheme="minorHAnsi" w:cstheme="minorHAnsi"/>
        <w:noProof/>
        <w:lang w:bidi="ar-SA"/>
      </w:rPr>
      <w:drawing>
        <wp:anchor distT="0" distB="0" distL="0" distR="0" simplePos="0" relativeHeight="251661312" behindDoc="0" locked="0" layoutInCell="1" allowOverlap="1" wp14:anchorId="4C8C0CCC" wp14:editId="33D3DC1B">
          <wp:simplePos x="0" y="0"/>
          <wp:positionH relativeFrom="margin">
            <wp:align>left</wp:align>
          </wp:positionH>
          <wp:positionV relativeFrom="paragraph">
            <wp:posOffset>63500</wp:posOffset>
          </wp:positionV>
          <wp:extent cx="958324" cy="360000"/>
          <wp:effectExtent l="0" t="0" r="0" b="254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32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44F0">
      <w:rPr>
        <w:rFonts w:asciiTheme="minorHAnsi" w:hAnsiTheme="minorHAnsi" w:cstheme="minorHAnsi"/>
        <w:color w:val="1D1D1B"/>
      </w:rPr>
      <w:t>BROKER CONSULTING</w:t>
    </w:r>
  </w:p>
  <w:p w14:paraId="07739BB1" w14:textId="6D5E6F51" w:rsidR="00D80B6D" w:rsidRPr="00D544F0" w:rsidRDefault="009F59EE" w:rsidP="009F59EE">
    <w:pPr>
      <w:spacing w:before="85"/>
      <w:ind w:left="1440" w:firstLine="720"/>
      <w:rPr>
        <w:rFonts w:asciiTheme="minorHAnsi" w:hAnsiTheme="minorHAnsi" w:cstheme="minorHAnsi"/>
        <w:sz w:val="28"/>
        <w:szCs w:val="28"/>
      </w:rPr>
    </w:pPr>
    <w:r w:rsidRPr="00D544F0">
      <w:rPr>
        <w:rFonts w:asciiTheme="minorHAnsi" w:hAnsiTheme="minorHAnsi" w:cstheme="minorHAnsi"/>
        <w:color w:val="E52713"/>
        <w:sz w:val="28"/>
        <w:szCs w:val="28"/>
      </w:rPr>
      <w:t xml:space="preserve">INDEX </w:t>
    </w:r>
    <w:r w:rsidR="009F2CEE" w:rsidRPr="00D544F0">
      <w:rPr>
        <w:rFonts w:asciiTheme="minorHAnsi" w:hAnsiTheme="minorHAnsi" w:cstheme="minorHAnsi"/>
        <w:color w:val="E52713"/>
        <w:sz w:val="28"/>
        <w:szCs w:val="28"/>
      </w:rPr>
      <w:t>PODÍLOVÝCH FONDŮ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0F06"/>
    <w:multiLevelType w:val="hybridMultilevel"/>
    <w:tmpl w:val="31B0B806"/>
    <w:lvl w:ilvl="0" w:tplc="3356DF0A">
      <w:numFmt w:val="bullet"/>
      <w:lvlText w:val=""/>
      <w:lvlJc w:val="left"/>
      <w:pPr>
        <w:ind w:left="341" w:hanging="211"/>
      </w:pPr>
      <w:rPr>
        <w:rFonts w:ascii="Wingdings" w:eastAsia="Wingdings" w:hAnsi="Wingdings" w:cs="Wingdings" w:hint="default"/>
        <w:color w:val="CD1719"/>
        <w:w w:val="100"/>
        <w:sz w:val="22"/>
        <w:szCs w:val="22"/>
        <w:lang w:val="cs-CZ" w:eastAsia="cs-CZ" w:bidi="cs-CZ"/>
      </w:rPr>
    </w:lvl>
    <w:lvl w:ilvl="1" w:tplc="1DF000FE">
      <w:numFmt w:val="bullet"/>
      <w:lvlText w:val="•"/>
      <w:lvlJc w:val="left"/>
      <w:pPr>
        <w:ind w:left="813" w:hanging="211"/>
      </w:pPr>
      <w:rPr>
        <w:rFonts w:hint="default"/>
        <w:lang w:val="cs-CZ" w:eastAsia="cs-CZ" w:bidi="cs-CZ"/>
      </w:rPr>
    </w:lvl>
    <w:lvl w:ilvl="2" w:tplc="80FCB91A">
      <w:numFmt w:val="bullet"/>
      <w:lvlText w:val="•"/>
      <w:lvlJc w:val="left"/>
      <w:pPr>
        <w:ind w:left="1286" w:hanging="211"/>
      </w:pPr>
      <w:rPr>
        <w:rFonts w:hint="default"/>
        <w:lang w:val="cs-CZ" w:eastAsia="cs-CZ" w:bidi="cs-CZ"/>
      </w:rPr>
    </w:lvl>
    <w:lvl w:ilvl="3" w:tplc="95182F9E">
      <w:numFmt w:val="bullet"/>
      <w:lvlText w:val="•"/>
      <w:lvlJc w:val="left"/>
      <w:pPr>
        <w:ind w:left="1760" w:hanging="211"/>
      </w:pPr>
      <w:rPr>
        <w:rFonts w:hint="default"/>
        <w:lang w:val="cs-CZ" w:eastAsia="cs-CZ" w:bidi="cs-CZ"/>
      </w:rPr>
    </w:lvl>
    <w:lvl w:ilvl="4" w:tplc="46A6BAA6">
      <w:numFmt w:val="bullet"/>
      <w:lvlText w:val="•"/>
      <w:lvlJc w:val="left"/>
      <w:pPr>
        <w:ind w:left="2233" w:hanging="211"/>
      </w:pPr>
      <w:rPr>
        <w:rFonts w:hint="default"/>
        <w:lang w:val="cs-CZ" w:eastAsia="cs-CZ" w:bidi="cs-CZ"/>
      </w:rPr>
    </w:lvl>
    <w:lvl w:ilvl="5" w:tplc="EDF4598C">
      <w:numFmt w:val="bullet"/>
      <w:lvlText w:val="•"/>
      <w:lvlJc w:val="left"/>
      <w:pPr>
        <w:ind w:left="2707" w:hanging="211"/>
      </w:pPr>
      <w:rPr>
        <w:rFonts w:hint="default"/>
        <w:lang w:val="cs-CZ" w:eastAsia="cs-CZ" w:bidi="cs-CZ"/>
      </w:rPr>
    </w:lvl>
    <w:lvl w:ilvl="6" w:tplc="EAA42A0A">
      <w:numFmt w:val="bullet"/>
      <w:lvlText w:val="•"/>
      <w:lvlJc w:val="left"/>
      <w:pPr>
        <w:ind w:left="3180" w:hanging="211"/>
      </w:pPr>
      <w:rPr>
        <w:rFonts w:hint="default"/>
        <w:lang w:val="cs-CZ" w:eastAsia="cs-CZ" w:bidi="cs-CZ"/>
      </w:rPr>
    </w:lvl>
    <w:lvl w:ilvl="7" w:tplc="24E25A2C">
      <w:numFmt w:val="bullet"/>
      <w:lvlText w:val="•"/>
      <w:lvlJc w:val="left"/>
      <w:pPr>
        <w:ind w:left="3654" w:hanging="211"/>
      </w:pPr>
      <w:rPr>
        <w:rFonts w:hint="default"/>
        <w:lang w:val="cs-CZ" w:eastAsia="cs-CZ" w:bidi="cs-CZ"/>
      </w:rPr>
    </w:lvl>
    <w:lvl w:ilvl="8" w:tplc="A382597A">
      <w:numFmt w:val="bullet"/>
      <w:lvlText w:val="•"/>
      <w:lvlJc w:val="left"/>
      <w:pPr>
        <w:ind w:left="4127" w:hanging="211"/>
      </w:pPr>
      <w:rPr>
        <w:rFonts w:hint="default"/>
        <w:lang w:val="cs-CZ" w:eastAsia="cs-CZ" w:bidi="cs-CZ"/>
      </w:rPr>
    </w:lvl>
  </w:abstractNum>
  <w:abstractNum w:abstractNumId="1" w15:restartNumberingAfterBreak="0">
    <w:nsid w:val="5C917C90"/>
    <w:multiLevelType w:val="hybridMultilevel"/>
    <w:tmpl w:val="40D80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63C89"/>
    <w:multiLevelType w:val="hybridMultilevel"/>
    <w:tmpl w:val="03AAFA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27"/>
    <w:rsid w:val="00002221"/>
    <w:rsid w:val="00003FF5"/>
    <w:rsid w:val="000053DF"/>
    <w:rsid w:val="00014E09"/>
    <w:rsid w:val="00020EC7"/>
    <w:rsid w:val="000220E4"/>
    <w:rsid w:val="000239F7"/>
    <w:rsid w:val="00025AB1"/>
    <w:rsid w:val="00026F23"/>
    <w:rsid w:val="000277AC"/>
    <w:rsid w:val="0003028F"/>
    <w:rsid w:val="000313E1"/>
    <w:rsid w:val="000324E2"/>
    <w:rsid w:val="00032D62"/>
    <w:rsid w:val="00032D94"/>
    <w:rsid w:val="00034CE7"/>
    <w:rsid w:val="000356FA"/>
    <w:rsid w:val="000374D7"/>
    <w:rsid w:val="00037DAF"/>
    <w:rsid w:val="000400E4"/>
    <w:rsid w:val="000474CD"/>
    <w:rsid w:val="000479F1"/>
    <w:rsid w:val="0005423A"/>
    <w:rsid w:val="00054A18"/>
    <w:rsid w:val="00056D05"/>
    <w:rsid w:val="00057E7F"/>
    <w:rsid w:val="000600DC"/>
    <w:rsid w:val="0006012F"/>
    <w:rsid w:val="000611E3"/>
    <w:rsid w:val="000663B6"/>
    <w:rsid w:val="00070DAC"/>
    <w:rsid w:val="00073AD9"/>
    <w:rsid w:val="00074539"/>
    <w:rsid w:val="0007624D"/>
    <w:rsid w:val="000766E7"/>
    <w:rsid w:val="00080BB8"/>
    <w:rsid w:val="00081616"/>
    <w:rsid w:val="0008288F"/>
    <w:rsid w:val="00083FAE"/>
    <w:rsid w:val="000853D4"/>
    <w:rsid w:val="00090CF3"/>
    <w:rsid w:val="00091AED"/>
    <w:rsid w:val="0009776B"/>
    <w:rsid w:val="000A60B9"/>
    <w:rsid w:val="000A7CEE"/>
    <w:rsid w:val="000B0291"/>
    <w:rsid w:val="000B060E"/>
    <w:rsid w:val="000B6B6D"/>
    <w:rsid w:val="000C45C7"/>
    <w:rsid w:val="000C5411"/>
    <w:rsid w:val="000D14E2"/>
    <w:rsid w:val="000D3E1D"/>
    <w:rsid w:val="000D46D7"/>
    <w:rsid w:val="000E1018"/>
    <w:rsid w:val="000E1085"/>
    <w:rsid w:val="000E1337"/>
    <w:rsid w:val="000E3086"/>
    <w:rsid w:val="000E3D86"/>
    <w:rsid w:val="000E60BE"/>
    <w:rsid w:val="000E672C"/>
    <w:rsid w:val="000E79A9"/>
    <w:rsid w:val="000F0B3D"/>
    <w:rsid w:val="000F265E"/>
    <w:rsid w:val="000F4E1D"/>
    <w:rsid w:val="000F5AB4"/>
    <w:rsid w:val="000F6249"/>
    <w:rsid w:val="000F7333"/>
    <w:rsid w:val="00105D3A"/>
    <w:rsid w:val="001068FC"/>
    <w:rsid w:val="001103A6"/>
    <w:rsid w:val="00110812"/>
    <w:rsid w:val="00111C28"/>
    <w:rsid w:val="0011234F"/>
    <w:rsid w:val="00113A0A"/>
    <w:rsid w:val="00114C29"/>
    <w:rsid w:val="001152A6"/>
    <w:rsid w:val="00117FB4"/>
    <w:rsid w:val="00120F6A"/>
    <w:rsid w:val="00122CD1"/>
    <w:rsid w:val="001253CC"/>
    <w:rsid w:val="0013044E"/>
    <w:rsid w:val="0013130F"/>
    <w:rsid w:val="00131A69"/>
    <w:rsid w:val="00132BF9"/>
    <w:rsid w:val="00132F04"/>
    <w:rsid w:val="00136D8D"/>
    <w:rsid w:val="00137003"/>
    <w:rsid w:val="0013717C"/>
    <w:rsid w:val="00145B8B"/>
    <w:rsid w:val="001464F4"/>
    <w:rsid w:val="00154277"/>
    <w:rsid w:val="00156082"/>
    <w:rsid w:val="00157FA9"/>
    <w:rsid w:val="0016145E"/>
    <w:rsid w:val="00161879"/>
    <w:rsid w:val="00162672"/>
    <w:rsid w:val="00164CE5"/>
    <w:rsid w:val="001665D8"/>
    <w:rsid w:val="00166AB1"/>
    <w:rsid w:val="001675AF"/>
    <w:rsid w:val="00170034"/>
    <w:rsid w:val="0017084B"/>
    <w:rsid w:val="00174F7A"/>
    <w:rsid w:val="001767A5"/>
    <w:rsid w:val="001809F6"/>
    <w:rsid w:val="00180D72"/>
    <w:rsid w:val="00192716"/>
    <w:rsid w:val="001937DD"/>
    <w:rsid w:val="0019453C"/>
    <w:rsid w:val="00197879"/>
    <w:rsid w:val="001A0318"/>
    <w:rsid w:val="001A3FCC"/>
    <w:rsid w:val="001A4EE2"/>
    <w:rsid w:val="001A54DD"/>
    <w:rsid w:val="001A5E5C"/>
    <w:rsid w:val="001A5E76"/>
    <w:rsid w:val="001A607A"/>
    <w:rsid w:val="001A613B"/>
    <w:rsid w:val="001B088B"/>
    <w:rsid w:val="001B21B5"/>
    <w:rsid w:val="001B501B"/>
    <w:rsid w:val="001B530D"/>
    <w:rsid w:val="001B669D"/>
    <w:rsid w:val="001B6EFB"/>
    <w:rsid w:val="001C4721"/>
    <w:rsid w:val="001C4B7D"/>
    <w:rsid w:val="001C58A4"/>
    <w:rsid w:val="001C603A"/>
    <w:rsid w:val="001D015A"/>
    <w:rsid w:val="001D03BA"/>
    <w:rsid w:val="001D2646"/>
    <w:rsid w:val="001D3DFC"/>
    <w:rsid w:val="001D5D27"/>
    <w:rsid w:val="001D720F"/>
    <w:rsid w:val="001E1D9D"/>
    <w:rsid w:val="001E2D49"/>
    <w:rsid w:val="001E4209"/>
    <w:rsid w:val="001E48DE"/>
    <w:rsid w:val="001E54E2"/>
    <w:rsid w:val="001E763B"/>
    <w:rsid w:val="001F032C"/>
    <w:rsid w:val="001F66AD"/>
    <w:rsid w:val="001F6C24"/>
    <w:rsid w:val="001F7194"/>
    <w:rsid w:val="001F71BA"/>
    <w:rsid w:val="00206A37"/>
    <w:rsid w:val="002141AF"/>
    <w:rsid w:val="002150CB"/>
    <w:rsid w:val="002152A7"/>
    <w:rsid w:val="002217AA"/>
    <w:rsid w:val="00221820"/>
    <w:rsid w:val="002225C6"/>
    <w:rsid w:val="00224E8A"/>
    <w:rsid w:val="00235395"/>
    <w:rsid w:val="00235EDC"/>
    <w:rsid w:val="002360AE"/>
    <w:rsid w:val="002368F3"/>
    <w:rsid w:val="002368FB"/>
    <w:rsid w:val="00241313"/>
    <w:rsid w:val="0025264B"/>
    <w:rsid w:val="0025428A"/>
    <w:rsid w:val="002601CA"/>
    <w:rsid w:val="00265810"/>
    <w:rsid w:val="0026621E"/>
    <w:rsid w:val="002662AC"/>
    <w:rsid w:val="002674EF"/>
    <w:rsid w:val="00267551"/>
    <w:rsid w:val="00270DB3"/>
    <w:rsid w:val="0027305C"/>
    <w:rsid w:val="002745EF"/>
    <w:rsid w:val="002761EE"/>
    <w:rsid w:val="00276593"/>
    <w:rsid w:val="00276C57"/>
    <w:rsid w:val="002831A1"/>
    <w:rsid w:val="00283D28"/>
    <w:rsid w:val="00292A70"/>
    <w:rsid w:val="00294A7A"/>
    <w:rsid w:val="00295407"/>
    <w:rsid w:val="002974F0"/>
    <w:rsid w:val="00297CEA"/>
    <w:rsid w:val="002A4750"/>
    <w:rsid w:val="002A4BC3"/>
    <w:rsid w:val="002A5439"/>
    <w:rsid w:val="002A5C74"/>
    <w:rsid w:val="002A7937"/>
    <w:rsid w:val="002B03FE"/>
    <w:rsid w:val="002B2EDF"/>
    <w:rsid w:val="002B43B8"/>
    <w:rsid w:val="002B46FF"/>
    <w:rsid w:val="002B7C0A"/>
    <w:rsid w:val="002C01FF"/>
    <w:rsid w:val="002C35D8"/>
    <w:rsid w:val="002C582E"/>
    <w:rsid w:val="002C5910"/>
    <w:rsid w:val="002D2A18"/>
    <w:rsid w:val="002D539D"/>
    <w:rsid w:val="002D6378"/>
    <w:rsid w:val="002D76B4"/>
    <w:rsid w:val="002D7A2E"/>
    <w:rsid w:val="002E0A80"/>
    <w:rsid w:val="002E0C7C"/>
    <w:rsid w:val="002E2954"/>
    <w:rsid w:val="002E2A85"/>
    <w:rsid w:val="002E6311"/>
    <w:rsid w:val="002F002B"/>
    <w:rsid w:val="002F2E49"/>
    <w:rsid w:val="002F3074"/>
    <w:rsid w:val="002F485A"/>
    <w:rsid w:val="002F7EC2"/>
    <w:rsid w:val="00301F39"/>
    <w:rsid w:val="0030348B"/>
    <w:rsid w:val="0030505E"/>
    <w:rsid w:val="003071C4"/>
    <w:rsid w:val="00307229"/>
    <w:rsid w:val="00307E95"/>
    <w:rsid w:val="00310DBC"/>
    <w:rsid w:val="003128F8"/>
    <w:rsid w:val="00313082"/>
    <w:rsid w:val="00313891"/>
    <w:rsid w:val="0031770F"/>
    <w:rsid w:val="00321009"/>
    <w:rsid w:val="00322A3F"/>
    <w:rsid w:val="003247B0"/>
    <w:rsid w:val="003278AC"/>
    <w:rsid w:val="00330918"/>
    <w:rsid w:val="0033197C"/>
    <w:rsid w:val="003326F9"/>
    <w:rsid w:val="00334048"/>
    <w:rsid w:val="0034220D"/>
    <w:rsid w:val="0034220F"/>
    <w:rsid w:val="003426AA"/>
    <w:rsid w:val="00342F85"/>
    <w:rsid w:val="00346375"/>
    <w:rsid w:val="00347557"/>
    <w:rsid w:val="00347D68"/>
    <w:rsid w:val="00352515"/>
    <w:rsid w:val="00355366"/>
    <w:rsid w:val="00355B3D"/>
    <w:rsid w:val="00355D3E"/>
    <w:rsid w:val="003579F4"/>
    <w:rsid w:val="0036040B"/>
    <w:rsid w:val="00360581"/>
    <w:rsid w:val="003606D5"/>
    <w:rsid w:val="003606E0"/>
    <w:rsid w:val="00360D43"/>
    <w:rsid w:val="003629B6"/>
    <w:rsid w:val="00362CEF"/>
    <w:rsid w:val="003655AB"/>
    <w:rsid w:val="003721AD"/>
    <w:rsid w:val="003747DC"/>
    <w:rsid w:val="00376855"/>
    <w:rsid w:val="003805E6"/>
    <w:rsid w:val="00383DC5"/>
    <w:rsid w:val="003842CE"/>
    <w:rsid w:val="00385EED"/>
    <w:rsid w:val="00390522"/>
    <w:rsid w:val="00390B58"/>
    <w:rsid w:val="00391240"/>
    <w:rsid w:val="003917B0"/>
    <w:rsid w:val="003A4F52"/>
    <w:rsid w:val="003A5757"/>
    <w:rsid w:val="003A6435"/>
    <w:rsid w:val="003A689B"/>
    <w:rsid w:val="003A7953"/>
    <w:rsid w:val="003B02A7"/>
    <w:rsid w:val="003B0E4F"/>
    <w:rsid w:val="003B2168"/>
    <w:rsid w:val="003B46D1"/>
    <w:rsid w:val="003C0CBE"/>
    <w:rsid w:val="003C724D"/>
    <w:rsid w:val="003D10B1"/>
    <w:rsid w:val="003D1987"/>
    <w:rsid w:val="003D2036"/>
    <w:rsid w:val="003D733D"/>
    <w:rsid w:val="003E3311"/>
    <w:rsid w:val="003E64E9"/>
    <w:rsid w:val="003E7356"/>
    <w:rsid w:val="003E77AF"/>
    <w:rsid w:val="003F0400"/>
    <w:rsid w:val="003F1100"/>
    <w:rsid w:val="003F1CE8"/>
    <w:rsid w:val="003F2732"/>
    <w:rsid w:val="003F652F"/>
    <w:rsid w:val="003F79EC"/>
    <w:rsid w:val="00403571"/>
    <w:rsid w:val="00407541"/>
    <w:rsid w:val="0040784A"/>
    <w:rsid w:val="00410B0C"/>
    <w:rsid w:val="00412828"/>
    <w:rsid w:val="0041306B"/>
    <w:rsid w:val="00413BEC"/>
    <w:rsid w:val="00417787"/>
    <w:rsid w:val="00421847"/>
    <w:rsid w:val="0042193A"/>
    <w:rsid w:val="00421BEC"/>
    <w:rsid w:val="00423383"/>
    <w:rsid w:val="00425687"/>
    <w:rsid w:val="00426084"/>
    <w:rsid w:val="0042653C"/>
    <w:rsid w:val="00427549"/>
    <w:rsid w:val="0043067D"/>
    <w:rsid w:val="004313F1"/>
    <w:rsid w:val="00442C87"/>
    <w:rsid w:val="004438D9"/>
    <w:rsid w:val="004440FA"/>
    <w:rsid w:val="004443E3"/>
    <w:rsid w:val="00445D0A"/>
    <w:rsid w:val="004478A0"/>
    <w:rsid w:val="004513DC"/>
    <w:rsid w:val="0045405B"/>
    <w:rsid w:val="00454843"/>
    <w:rsid w:val="004553A8"/>
    <w:rsid w:val="00455445"/>
    <w:rsid w:val="004571C1"/>
    <w:rsid w:val="004627B9"/>
    <w:rsid w:val="004628B4"/>
    <w:rsid w:val="004632E5"/>
    <w:rsid w:val="004707BA"/>
    <w:rsid w:val="004735E9"/>
    <w:rsid w:val="00475191"/>
    <w:rsid w:val="004766EC"/>
    <w:rsid w:val="00476C50"/>
    <w:rsid w:val="004815B1"/>
    <w:rsid w:val="0048788A"/>
    <w:rsid w:val="00495C10"/>
    <w:rsid w:val="00497374"/>
    <w:rsid w:val="004A0A3B"/>
    <w:rsid w:val="004A4DE4"/>
    <w:rsid w:val="004B1CE6"/>
    <w:rsid w:val="004B2AFA"/>
    <w:rsid w:val="004B3198"/>
    <w:rsid w:val="004B5797"/>
    <w:rsid w:val="004C1296"/>
    <w:rsid w:val="004C398C"/>
    <w:rsid w:val="004C3F71"/>
    <w:rsid w:val="004C6265"/>
    <w:rsid w:val="004C7DDE"/>
    <w:rsid w:val="004D00AF"/>
    <w:rsid w:val="004D3977"/>
    <w:rsid w:val="004E18FD"/>
    <w:rsid w:val="004E458A"/>
    <w:rsid w:val="004E55FE"/>
    <w:rsid w:val="004E7AEB"/>
    <w:rsid w:val="004E7E0B"/>
    <w:rsid w:val="00500F93"/>
    <w:rsid w:val="00501A9E"/>
    <w:rsid w:val="005031AA"/>
    <w:rsid w:val="005051FB"/>
    <w:rsid w:val="00505697"/>
    <w:rsid w:val="0050659B"/>
    <w:rsid w:val="00507504"/>
    <w:rsid w:val="00512B46"/>
    <w:rsid w:val="00512F01"/>
    <w:rsid w:val="005139C3"/>
    <w:rsid w:val="005140FB"/>
    <w:rsid w:val="005153F7"/>
    <w:rsid w:val="00517A29"/>
    <w:rsid w:val="005218FE"/>
    <w:rsid w:val="005224C1"/>
    <w:rsid w:val="005256D0"/>
    <w:rsid w:val="00526D02"/>
    <w:rsid w:val="0053153F"/>
    <w:rsid w:val="00536954"/>
    <w:rsid w:val="00537697"/>
    <w:rsid w:val="00537FE0"/>
    <w:rsid w:val="00540606"/>
    <w:rsid w:val="00540F3B"/>
    <w:rsid w:val="00541870"/>
    <w:rsid w:val="005436EC"/>
    <w:rsid w:val="00544A37"/>
    <w:rsid w:val="00547867"/>
    <w:rsid w:val="00550064"/>
    <w:rsid w:val="0055263D"/>
    <w:rsid w:val="00554A42"/>
    <w:rsid w:val="005575DE"/>
    <w:rsid w:val="00560C6D"/>
    <w:rsid w:val="00563745"/>
    <w:rsid w:val="005655BD"/>
    <w:rsid w:val="005663AE"/>
    <w:rsid w:val="00576F53"/>
    <w:rsid w:val="00577D19"/>
    <w:rsid w:val="005809D3"/>
    <w:rsid w:val="0058369A"/>
    <w:rsid w:val="005842ED"/>
    <w:rsid w:val="005966D4"/>
    <w:rsid w:val="005A29CA"/>
    <w:rsid w:val="005A3473"/>
    <w:rsid w:val="005A37E5"/>
    <w:rsid w:val="005A481B"/>
    <w:rsid w:val="005A4F61"/>
    <w:rsid w:val="005A5BBA"/>
    <w:rsid w:val="005A5F08"/>
    <w:rsid w:val="005B0AEF"/>
    <w:rsid w:val="005B16D3"/>
    <w:rsid w:val="005B24EB"/>
    <w:rsid w:val="005B31D7"/>
    <w:rsid w:val="005C009A"/>
    <w:rsid w:val="005C0189"/>
    <w:rsid w:val="005C22F8"/>
    <w:rsid w:val="005C5B9E"/>
    <w:rsid w:val="005D34CC"/>
    <w:rsid w:val="005D57C1"/>
    <w:rsid w:val="005E4D88"/>
    <w:rsid w:val="005E51C5"/>
    <w:rsid w:val="005E6778"/>
    <w:rsid w:val="005E78C4"/>
    <w:rsid w:val="005E7952"/>
    <w:rsid w:val="005F0E46"/>
    <w:rsid w:val="005F1DB3"/>
    <w:rsid w:val="005F2623"/>
    <w:rsid w:val="005F6C1E"/>
    <w:rsid w:val="005F7090"/>
    <w:rsid w:val="00600436"/>
    <w:rsid w:val="00600E58"/>
    <w:rsid w:val="00603538"/>
    <w:rsid w:val="006061BD"/>
    <w:rsid w:val="0061103B"/>
    <w:rsid w:val="00611905"/>
    <w:rsid w:val="006121A8"/>
    <w:rsid w:val="0061253F"/>
    <w:rsid w:val="006135FD"/>
    <w:rsid w:val="00614133"/>
    <w:rsid w:val="006172AA"/>
    <w:rsid w:val="006203C4"/>
    <w:rsid w:val="006232B8"/>
    <w:rsid w:val="0062480B"/>
    <w:rsid w:val="00627466"/>
    <w:rsid w:val="0062747C"/>
    <w:rsid w:val="006307A5"/>
    <w:rsid w:val="00630C84"/>
    <w:rsid w:val="006318CC"/>
    <w:rsid w:val="00631E38"/>
    <w:rsid w:val="00631E80"/>
    <w:rsid w:val="006321D6"/>
    <w:rsid w:val="006337CD"/>
    <w:rsid w:val="00633E13"/>
    <w:rsid w:val="00637BCA"/>
    <w:rsid w:val="0064160C"/>
    <w:rsid w:val="0064286C"/>
    <w:rsid w:val="00645171"/>
    <w:rsid w:val="00650189"/>
    <w:rsid w:val="00650654"/>
    <w:rsid w:val="00650DD6"/>
    <w:rsid w:val="00650DEB"/>
    <w:rsid w:val="00654E3E"/>
    <w:rsid w:val="0065659A"/>
    <w:rsid w:val="00657EE5"/>
    <w:rsid w:val="0066135D"/>
    <w:rsid w:val="00663038"/>
    <w:rsid w:val="00666D21"/>
    <w:rsid w:val="00667012"/>
    <w:rsid w:val="00667776"/>
    <w:rsid w:val="00670237"/>
    <w:rsid w:val="0067176D"/>
    <w:rsid w:val="0067414D"/>
    <w:rsid w:val="00676653"/>
    <w:rsid w:val="00676757"/>
    <w:rsid w:val="006768F0"/>
    <w:rsid w:val="00677078"/>
    <w:rsid w:val="0068195B"/>
    <w:rsid w:val="00681C88"/>
    <w:rsid w:val="006829B7"/>
    <w:rsid w:val="00683626"/>
    <w:rsid w:val="0068537C"/>
    <w:rsid w:val="00685FBC"/>
    <w:rsid w:val="0068617E"/>
    <w:rsid w:val="00686364"/>
    <w:rsid w:val="00687F4F"/>
    <w:rsid w:val="006909B5"/>
    <w:rsid w:val="0069177B"/>
    <w:rsid w:val="00692F5F"/>
    <w:rsid w:val="006939E4"/>
    <w:rsid w:val="00694DBB"/>
    <w:rsid w:val="00695452"/>
    <w:rsid w:val="00697EB5"/>
    <w:rsid w:val="006A2F6C"/>
    <w:rsid w:val="006A3BE2"/>
    <w:rsid w:val="006A4030"/>
    <w:rsid w:val="006A48F1"/>
    <w:rsid w:val="006A6681"/>
    <w:rsid w:val="006B4780"/>
    <w:rsid w:val="006B48B2"/>
    <w:rsid w:val="006B57CB"/>
    <w:rsid w:val="006C61E8"/>
    <w:rsid w:val="006D192A"/>
    <w:rsid w:val="006D2FBD"/>
    <w:rsid w:val="006D603F"/>
    <w:rsid w:val="006D65EC"/>
    <w:rsid w:val="006D7BF3"/>
    <w:rsid w:val="006E12FE"/>
    <w:rsid w:val="006E26DC"/>
    <w:rsid w:val="006E50C3"/>
    <w:rsid w:val="006E564C"/>
    <w:rsid w:val="006F052D"/>
    <w:rsid w:val="006F07E3"/>
    <w:rsid w:val="006F1124"/>
    <w:rsid w:val="006F2045"/>
    <w:rsid w:val="006F32FB"/>
    <w:rsid w:val="006F3A4F"/>
    <w:rsid w:val="0070141F"/>
    <w:rsid w:val="00705D83"/>
    <w:rsid w:val="00710523"/>
    <w:rsid w:val="0071058C"/>
    <w:rsid w:val="007142D0"/>
    <w:rsid w:val="00717780"/>
    <w:rsid w:val="0072112F"/>
    <w:rsid w:val="0072115C"/>
    <w:rsid w:val="007306F8"/>
    <w:rsid w:val="00732F8D"/>
    <w:rsid w:val="0073328E"/>
    <w:rsid w:val="00734305"/>
    <w:rsid w:val="0073706E"/>
    <w:rsid w:val="007373A6"/>
    <w:rsid w:val="0073790D"/>
    <w:rsid w:val="00737D83"/>
    <w:rsid w:val="00740D2F"/>
    <w:rsid w:val="00740E22"/>
    <w:rsid w:val="00740FE3"/>
    <w:rsid w:val="00744343"/>
    <w:rsid w:val="0074449D"/>
    <w:rsid w:val="00745FFD"/>
    <w:rsid w:val="0075099B"/>
    <w:rsid w:val="00750BD4"/>
    <w:rsid w:val="007556C6"/>
    <w:rsid w:val="00755700"/>
    <w:rsid w:val="00757D8B"/>
    <w:rsid w:val="00760B0E"/>
    <w:rsid w:val="00761868"/>
    <w:rsid w:val="00761D9B"/>
    <w:rsid w:val="00762D33"/>
    <w:rsid w:val="007641F7"/>
    <w:rsid w:val="00765FD4"/>
    <w:rsid w:val="00767C3D"/>
    <w:rsid w:val="00771B91"/>
    <w:rsid w:val="00771DFE"/>
    <w:rsid w:val="007733DB"/>
    <w:rsid w:val="0077535C"/>
    <w:rsid w:val="00776CBE"/>
    <w:rsid w:val="007824F4"/>
    <w:rsid w:val="00782D03"/>
    <w:rsid w:val="00784109"/>
    <w:rsid w:val="007853F8"/>
    <w:rsid w:val="00785FC5"/>
    <w:rsid w:val="0078631B"/>
    <w:rsid w:val="00786BA5"/>
    <w:rsid w:val="007905D5"/>
    <w:rsid w:val="00791A2B"/>
    <w:rsid w:val="00792EE9"/>
    <w:rsid w:val="0079572A"/>
    <w:rsid w:val="00796334"/>
    <w:rsid w:val="007A0849"/>
    <w:rsid w:val="007A1121"/>
    <w:rsid w:val="007A1122"/>
    <w:rsid w:val="007A15A6"/>
    <w:rsid w:val="007A43BC"/>
    <w:rsid w:val="007A5987"/>
    <w:rsid w:val="007B026B"/>
    <w:rsid w:val="007B048D"/>
    <w:rsid w:val="007B1F73"/>
    <w:rsid w:val="007B232E"/>
    <w:rsid w:val="007B358E"/>
    <w:rsid w:val="007B3E55"/>
    <w:rsid w:val="007B435F"/>
    <w:rsid w:val="007B4E88"/>
    <w:rsid w:val="007B6899"/>
    <w:rsid w:val="007B7AF5"/>
    <w:rsid w:val="007B7E44"/>
    <w:rsid w:val="007C0BC2"/>
    <w:rsid w:val="007C32F8"/>
    <w:rsid w:val="007C3AAA"/>
    <w:rsid w:val="007C5CE8"/>
    <w:rsid w:val="007C7073"/>
    <w:rsid w:val="007C7B64"/>
    <w:rsid w:val="007D05B3"/>
    <w:rsid w:val="007D29E5"/>
    <w:rsid w:val="007D3D51"/>
    <w:rsid w:val="007D3E32"/>
    <w:rsid w:val="007D4A8D"/>
    <w:rsid w:val="007E1FBA"/>
    <w:rsid w:val="007E3355"/>
    <w:rsid w:val="007E5614"/>
    <w:rsid w:val="007F048B"/>
    <w:rsid w:val="007F7409"/>
    <w:rsid w:val="008005EB"/>
    <w:rsid w:val="00807CDD"/>
    <w:rsid w:val="00812E77"/>
    <w:rsid w:val="00813300"/>
    <w:rsid w:val="0081387C"/>
    <w:rsid w:val="0081466F"/>
    <w:rsid w:val="00821B36"/>
    <w:rsid w:val="008242F9"/>
    <w:rsid w:val="0083053E"/>
    <w:rsid w:val="00831B5E"/>
    <w:rsid w:val="00833A44"/>
    <w:rsid w:val="00833ECF"/>
    <w:rsid w:val="008348A0"/>
    <w:rsid w:val="00834D4D"/>
    <w:rsid w:val="00835880"/>
    <w:rsid w:val="00836812"/>
    <w:rsid w:val="00840704"/>
    <w:rsid w:val="0084178F"/>
    <w:rsid w:val="00845A18"/>
    <w:rsid w:val="00845A34"/>
    <w:rsid w:val="00846F99"/>
    <w:rsid w:val="00851C45"/>
    <w:rsid w:val="008525C9"/>
    <w:rsid w:val="00855897"/>
    <w:rsid w:val="0085591D"/>
    <w:rsid w:val="00860290"/>
    <w:rsid w:val="00860837"/>
    <w:rsid w:val="00860EE4"/>
    <w:rsid w:val="00863B54"/>
    <w:rsid w:val="00866600"/>
    <w:rsid w:val="00870F82"/>
    <w:rsid w:val="0088035D"/>
    <w:rsid w:val="0088046D"/>
    <w:rsid w:val="00880547"/>
    <w:rsid w:val="008807C3"/>
    <w:rsid w:val="00882D8E"/>
    <w:rsid w:val="008831E8"/>
    <w:rsid w:val="0088326D"/>
    <w:rsid w:val="00883A3E"/>
    <w:rsid w:val="00883FFA"/>
    <w:rsid w:val="00885B2F"/>
    <w:rsid w:val="00886F0E"/>
    <w:rsid w:val="00890117"/>
    <w:rsid w:val="00891790"/>
    <w:rsid w:val="008926E5"/>
    <w:rsid w:val="008926F3"/>
    <w:rsid w:val="00892C78"/>
    <w:rsid w:val="00893577"/>
    <w:rsid w:val="0089587C"/>
    <w:rsid w:val="00895B78"/>
    <w:rsid w:val="00896B59"/>
    <w:rsid w:val="008A04D3"/>
    <w:rsid w:val="008A14E4"/>
    <w:rsid w:val="008A2132"/>
    <w:rsid w:val="008A476C"/>
    <w:rsid w:val="008A6F1B"/>
    <w:rsid w:val="008B37D1"/>
    <w:rsid w:val="008B480A"/>
    <w:rsid w:val="008B60CB"/>
    <w:rsid w:val="008B67CB"/>
    <w:rsid w:val="008C0E53"/>
    <w:rsid w:val="008C1795"/>
    <w:rsid w:val="008C4A0A"/>
    <w:rsid w:val="008C4B0D"/>
    <w:rsid w:val="008C57BA"/>
    <w:rsid w:val="008C5A69"/>
    <w:rsid w:val="008C5E3B"/>
    <w:rsid w:val="008C60E2"/>
    <w:rsid w:val="008C6335"/>
    <w:rsid w:val="008D397B"/>
    <w:rsid w:val="008D556E"/>
    <w:rsid w:val="008D767A"/>
    <w:rsid w:val="008E065B"/>
    <w:rsid w:val="008E19F3"/>
    <w:rsid w:val="008E2945"/>
    <w:rsid w:val="008E4894"/>
    <w:rsid w:val="008F1F50"/>
    <w:rsid w:val="008F241C"/>
    <w:rsid w:val="008F36F5"/>
    <w:rsid w:val="008F6AAF"/>
    <w:rsid w:val="00903105"/>
    <w:rsid w:val="00904004"/>
    <w:rsid w:val="009051BB"/>
    <w:rsid w:val="00906176"/>
    <w:rsid w:val="00906C63"/>
    <w:rsid w:val="00906E67"/>
    <w:rsid w:val="00913530"/>
    <w:rsid w:val="00915ADA"/>
    <w:rsid w:val="00915DB2"/>
    <w:rsid w:val="00921B44"/>
    <w:rsid w:val="009220A7"/>
    <w:rsid w:val="009222C9"/>
    <w:rsid w:val="00924BDE"/>
    <w:rsid w:val="00927B66"/>
    <w:rsid w:val="00927EB8"/>
    <w:rsid w:val="00932625"/>
    <w:rsid w:val="00934023"/>
    <w:rsid w:val="009344C2"/>
    <w:rsid w:val="00935552"/>
    <w:rsid w:val="009356F6"/>
    <w:rsid w:val="00937539"/>
    <w:rsid w:val="00940B5C"/>
    <w:rsid w:val="00941A60"/>
    <w:rsid w:val="00941B52"/>
    <w:rsid w:val="009439C3"/>
    <w:rsid w:val="0094705C"/>
    <w:rsid w:val="00947476"/>
    <w:rsid w:val="00957B41"/>
    <w:rsid w:val="00957DEA"/>
    <w:rsid w:val="00965500"/>
    <w:rsid w:val="00967D7E"/>
    <w:rsid w:val="00977040"/>
    <w:rsid w:val="0098121D"/>
    <w:rsid w:val="00982987"/>
    <w:rsid w:val="0098362A"/>
    <w:rsid w:val="009858E1"/>
    <w:rsid w:val="00986B30"/>
    <w:rsid w:val="0098747F"/>
    <w:rsid w:val="00990864"/>
    <w:rsid w:val="00991554"/>
    <w:rsid w:val="009954D0"/>
    <w:rsid w:val="009A4F6D"/>
    <w:rsid w:val="009A6705"/>
    <w:rsid w:val="009A69B1"/>
    <w:rsid w:val="009A71FE"/>
    <w:rsid w:val="009B043D"/>
    <w:rsid w:val="009B07EF"/>
    <w:rsid w:val="009B608A"/>
    <w:rsid w:val="009B691E"/>
    <w:rsid w:val="009C08B7"/>
    <w:rsid w:val="009C0DA6"/>
    <w:rsid w:val="009C0ECA"/>
    <w:rsid w:val="009C0F81"/>
    <w:rsid w:val="009C17C7"/>
    <w:rsid w:val="009C45BA"/>
    <w:rsid w:val="009C6DD2"/>
    <w:rsid w:val="009D05AD"/>
    <w:rsid w:val="009D2821"/>
    <w:rsid w:val="009D2ECE"/>
    <w:rsid w:val="009D68F9"/>
    <w:rsid w:val="009D6A2C"/>
    <w:rsid w:val="009D6ABF"/>
    <w:rsid w:val="009E0062"/>
    <w:rsid w:val="009E317D"/>
    <w:rsid w:val="009E3B52"/>
    <w:rsid w:val="009E5916"/>
    <w:rsid w:val="009F0267"/>
    <w:rsid w:val="009F256D"/>
    <w:rsid w:val="009F2CB2"/>
    <w:rsid w:val="009F2CEE"/>
    <w:rsid w:val="009F4695"/>
    <w:rsid w:val="009F59EE"/>
    <w:rsid w:val="009F5B6E"/>
    <w:rsid w:val="00A00251"/>
    <w:rsid w:val="00A0060A"/>
    <w:rsid w:val="00A02308"/>
    <w:rsid w:val="00A025BA"/>
    <w:rsid w:val="00A04189"/>
    <w:rsid w:val="00A069E2"/>
    <w:rsid w:val="00A1093F"/>
    <w:rsid w:val="00A11C0F"/>
    <w:rsid w:val="00A11C90"/>
    <w:rsid w:val="00A12A99"/>
    <w:rsid w:val="00A13346"/>
    <w:rsid w:val="00A14661"/>
    <w:rsid w:val="00A15E33"/>
    <w:rsid w:val="00A1653A"/>
    <w:rsid w:val="00A16F18"/>
    <w:rsid w:val="00A2214C"/>
    <w:rsid w:val="00A23DCC"/>
    <w:rsid w:val="00A30D93"/>
    <w:rsid w:val="00A31FAC"/>
    <w:rsid w:val="00A35524"/>
    <w:rsid w:val="00A355AB"/>
    <w:rsid w:val="00A36D79"/>
    <w:rsid w:val="00A36E5B"/>
    <w:rsid w:val="00A37B91"/>
    <w:rsid w:val="00A37D04"/>
    <w:rsid w:val="00A4066D"/>
    <w:rsid w:val="00A40B94"/>
    <w:rsid w:val="00A41715"/>
    <w:rsid w:val="00A41942"/>
    <w:rsid w:val="00A46073"/>
    <w:rsid w:val="00A4618A"/>
    <w:rsid w:val="00A5254F"/>
    <w:rsid w:val="00A541A1"/>
    <w:rsid w:val="00A55879"/>
    <w:rsid w:val="00A55E01"/>
    <w:rsid w:val="00A55E85"/>
    <w:rsid w:val="00A56CD6"/>
    <w:rsid w:val="00A574A6"/>
    <w:rsid w:val="00A61996"/>
    <w:rsid w:val="00A62440"/>
    <w:rsid w:val="00A63FF7"/>
    <w:rsid w:val="00A7081D"/>
    <w:rsid w:val="00A726DE"/>
    <w:rsid w:val="00A75776"/>
    <w:rsid w:val="00A77932"/>
    <w:rsid w:val="00A7796E"/>
    <w:rsid w:val="00A77CA3"/>
    <w:rsid w:val="00A80480"/>
    <w:rsid w:val="00A82DA1"/>
    <w:rsid w:val="00A84486"/>
    <w:rsid w:val="00A860EC"/>
    <w:rsid w:val="00A87479"/>
    <w:rsid w:val="00A91ACE"/>
    <w:rsid w:val="00A9461D"/>
    <w:rsid w:val="00AA1259"/>
    <w:rsid w:val="00AA218A"/>
    <w:rsid w:val="00AA35AF"/>
    <w:rsid w:val="00AA6BC7"/>
    <w:rsid w:val="00AB5142"/>
    <w:rsid w:val="00AC614D"/>
    <w:rsid w:val="00AC7E34"/>
    <w:rsid w:val="00AD2CA1"/>
    <w:rsid w:val="00AD61C2"/>
    <w:rsid w:val="00AE406C"/>
    <w:rsid w:val="00AE548F"/>
    <w:rsid w:val="00B00BCA"/>
    <w:rsid w:val="00B02A9F"/>
    <w:rsid w:val="00B03575"/>
    <w:rsid w:val="00B05444"/>
    <w:rsid w:val="00B058E3"/>
    <w:rsid w:val="00B0678D"/>
    <w:rsid w:val="00B07144"/>
    <w:rsid w:val="00B11974"/>
    <w:rsid w:val="00B12A51"/>
    <w:rsid w:val="00B12CF8"/>
    <w:rsid w:val="00B15519"/>
    <w:rsid w:val="00B244B9"/>
    <w:rsid w:val="00B27178"/>
    <w:rsid w:val="00B27C5B"/>
    <w:rsid w:val="00B3476A"/>
    <w:rsid w:val="00B36BED"/>
    <w:rsid w:val="00B40418"/>
    <w:rsid w:val="00B41CE5"/>
    <w:rsid w:val="00B42E81"/>
    <w:rsid w:val="00B43ABC"/>
    <w:rsid w:val="00B4711F"/>
    <w:rsid w:val="00B47199"/>
    <w:rsid w:val="00B51125"/>
    <w:rsid w:val="00B52241"/>
    <w:rsid w:val="00B52CDF"/>
    <w:rsid w:val="00B612E7"/>
    <w:rsid w:val="00B62371"/>
    <w:rsid w:val="00B6412F"/>
    <w:rsid w:val="00B646D6"/>
    <w:rsid w:val="00B6504A"/>
    <w:rsid w:val="00B65A3B"/>
    <w:rsid w:val="00B65FF3"/>
    <w:rsid w:val="00B731F5"/>
    <w:rsid w:val="00B75627"/>
    <w:rsid w:val="00B7769E"/>
    <w:rsid w:val="00B80A35"/>
    <w:rsid w:val="00B81517"/>
    <w:rsid w:val="00B824E9"/>
    <w:rsid w:val="00B84424"/>
    <w:rsid w:val="00B86CEE"/>
    <w:rsid w:val="00B87498"/>
    <w:rsid w:val="00B90112"/>
    <w:rsid w:val="00B90487"/>
    <w:rsid w:val="00B90BE1"/>
    <w:rsid w:val="00B92246"/>
    <w:rsid w:val="00B927D5"/>
    <w:rsid w:val="00B95BB2"/>
    <w:rsid w:val="00B95EBA"/>
    <w:rsid w:val="00B97868"/>
    <w:rsid w:val="00B979B6"/>
    <w:rsid w:val="00BA1FA3"/>
    <w:rsid w:val="00BA23D8"/>
    <w:rsid w:val="00BA6317"/>
    <w:rsid w:val="00BA7246"/>
    <w:rsid w:val="00BA7889"/>
    <w:rsid w:val="00BB1CB8"/>
    <w:rsid w:val="00BB23EC"/>
    <w:rsid w:val="00BB3F93"/>
    <w:rsid w:val="00BB4AC1"/>
    <w:rsid w:val="00BB4D49"/>
    <w:rsid w:val="00BB524F"/>
    <w:rsid w:val="00BB6439"/>
    <w:rsid w:val="00BB675F"/>
    <w:rsid w:val="00BC24F3"/>
    <w:rsid w:val="00BC3FF4"/>
    <w:rsid w:val="00BC66B5"/>
    <w:rsid w:val="00BC671F"/>
    <w:rsid w:val="00BC79B3"/>
    <w:rsid w:val="00BD17B0"/>
    <w:rsid w:val="00BD3970"/>
    <w:rsid w:val="00BD50AA"/>
    <w:rsid w:val="00BD5735"/>
    <w:rsid w:val="00BD5A47"/>
    <w:rsid w:val="00BE1DA6"/>
    <w:rsid w:val="00BE4FDB"/>
    <w:rsid w:val="00BE55F1"/>
    <w:rsid w:val="00BF4A15"/>
    <w:rsid w:val="00BF6A33"/>
    <w:rsid w:val="00BF7A45"/>
    <w:rsid w:val="00C005B5"/>
    <w:rsid w:val="00C005D8"/>
    <w:rsid w:val="00C00BE3"/>
    <w:rsid w:val="00C04E58"/>
    <w:rsid w:val="00C103CC"/>
    <w:rsid w:val="00C15B3C"/>
    <w:rsid w:val="00C16B89"/>
    <w:rsid w:val="00C20A13"/>
    <w:rsid w:val="00C2215A"/>
    <w:rsid w:val="00C22A46"/>
    <w:rsid w:val="00C23E32"/>
    <w:rsid w:val="00C2463C"/>
    <w:rsid w:val="00C248C1"/>
    <w:rsid w:val="00C24953"/>
    <w:rsid w:val="00C31207"/>
    <w:rsid w:val="00C3171F"/>
    <w:rsid w:val="00C36515"/>
    <w:rsid w:val="00C407C4"/>
    <w:rsid w:val="00C42FAF"/>
    <w:rsid w:val="00C437E1"/>
    <w:rsid w:val="00C45467"/>
    <w:rsid w:val="00C47123"/>
    <w:rsid w:val="00C54507"/>
    <w:rsid w:val="00C54A87"/>
    <w:rsid w:val="00C57D56"/>
    <w:rsid w:val="00C60B08"/>
    <w:rsid w:val="00C64CE4"/>
    <w:rsid w:val="00C6797F"/>
    <w:rsid w:val="00C67FA7"/>
    <w:rsid w:val="00C8156B"/>
    <w:rsid w:val="00C82309"/>
    <w:rsid w:val="00C864DC"/>
    <w:rsid w:val="00C878E5"/>
    <w:rsid w:val="00CA1041"/>
    <w:rsid w:val="00CA1722"/>
    <w:rsid w:val="00CA27C3"/>
    <w:rsid w:val="00CA4711"/>
    <w:rsid w:val="00CA6621"/>
    <w:rsid w:val="00CA6B02"/>
    <w:rsid w:val="00CA6C68"/>
    <w:rsid w:val="00CB18B1"/>
    <w:rsid w:val="00CB2780"/>
    <w:rsid w:val="00CB38CA"/>
    <w:rsid w:val="00CB6F2B"/>
    <w:rsid w:val="00CB7A43"/>
    <w:rsid w:val="00CC1067"/>
    <w:rsid w:val="00CC12D5"/>
    <w:rsid w:val="00CC580E"/>
    <w:rsid w:val="00CC5BA3"/>
    <w:rsid w:val="00CC727D"/>
    <w:rsid w:val="00CD01FE"/>
    <w:rsid w:val="00CD293E"/>
    <w:rsid w:val="00CD3324"/>
    <w:rsid w:val="00CE2505"/>
    <w:rsid w:val="00CE2BEB"/>
    <w:rsid w:val="00CE3AD1"/>
    <w:rsid w:val="00CE6480"/>
    <w:rsid w:val="00CE6C6E"/>
    <w:rsid w:val="00CE7090"/>
    <w:rsid w:val="00CF090B"/>
    <w:rsid w:val="00CF2CAF"/>
    <w:rsid w:val="00CF4242"/>
    <w:rsid w:val="00D00E37"/>
    <w:rsid w:val="00D01832"/>
    <w:rsid w:val="00D04723"/>
    <w:rsid w:val="00D110AD"/>
    <w:rsid w:val="00D118CC"/>
    <w:rsid w:val="00D17042"/>
    <w:rsid w:val="00D21C96"/>
    <w:rsid w:val="00D21E1C"/>
    <w:rsid w:val="00D22A12"/>
    <w:rsid w:val="00D2667D"/>
    <w:rsid w:val="00D27558"/>
    <w:rsid w:val="00D2771F"/>
    <w:rsid w:val="00D303DC"/>
    <w:rsid w:val="00D30854"/>
    <w:rsid w:val="00D310CA"/>
    <w:rsid w:val="00D31127"/>
    <w:rsid w:val="00D32EE1"/>
    <w:rsid w:val="00D33258"/>
    <w:rsid w:val="00D40116"/>
    <w:rsid w:val="00D41DF2"/>
    <w:rsid w:val="00D43451"/>
    <w:rsid w:val="00D453BF"/>
    <w:rsid w:val="00D45C7A"/>
    <w:rsid w:val="00D46B40"/>
    <w:rsid w:val="00D46B44"/>
    <w:rsid w:val="00D4735E"/>
    <w:rsid w:val="00D47CC8"/>
    <w:rsid w:val="00D50703"/>
    <w:rsid w:val="00D51372"/>
    <w:rsid w:val="00D544F0"/>
    <w:rsid w:val="00D56BD6"/>
    <w:rsid w:val="00D60628"/>
    <w:rsid w:val="00D60D98"/>
    <w:rsid w:val="00D63BC0"/>
    <w:rsid w:val="00D737C7"/>
    <w:rsid w:val="00D750F3"/>
    <w:rsid w:val="00D759AC"/>
    <w:rsid w:val="00D76C6E"/>
    <w:rsid w:val="00D80B6D"/>
    <w:rsid w:val="00D80FAF"/>
    <w:rsid w:val="00D83938"/>
    <w:rsid w:val="00D8513A"/>
    <w:rsid w:val="00D85BBB"/>
    <w:rsid w:val="00D93F1C"/>
    <w:rsid w:val="00D94CEA"/>
    <w:rsid w:val="00D95929"/>
    <w:rsid w:val="00D9690A"/>
    <w:rsid w:val="00DA13A4"/>
    <w:rsid w:val="00DA2DAA"/>
    <w:rsid w:val="00DA7B87"/>
    <w:rsid w:val="00DA7DAC"/>
    <w:rsid w:val="00DB0367"/>
    <w:rsid w:val="00DB37EF"/>
    <w:rsid w:val="00DB5F9C"/>
    <w:rsid w:val="00DB63D9"/>
    <w:rsid w:val="00DB6CC3"/>
    <w:rsid w:val="00DB7E77"/>
    <w:rsid w:val="00DC0784"/>
    <w:rsid w:val="00DC0E36"/>
    <w:rsid w:val="00DC20EE"/>
    <w:rsid w:val="00DC30D0"/>
    <w:rsid w:val="00DC3F71"/>
    <w:rsid w:val="00DC5C33"/>
    <w:rsid w:val="00DC5F84"/>
    <w:rsid w:val="00DD154C"/>
    <w:rsid w:val="00DD205C"/>
    <w:rsid w:val="00DD4BDD"/>
    <w:rsid w:val="00DD52C1"/>
    <w:rsid w:val="00DD6E74"/>
    <w:rsid w:val="00DE1A7D"/>
    <w:rsid w:val="00DE5847"/>
    <w:rsid w:val="00DE69CC"/>
    <w:rsid w:val="00DF04DA"/>
    <w:rsid w:val="00DF1FFF"/>
    <w:rsid w:val="00DF6AE1"/>
    <w:rsid w:val="00DF72D4"/>
    <w:rsid w:val="00E00DC6"/>
    <w:rsid w:val="00E02292"/>
    <w:rsid w:val="00E02CCE"/>
    <w:rsid w:val="00E02ED1"/>
    <w:rsid w:val="00E02FC7"/>
    <w:rsid w:val="00E03E80"/>
    <w:rsid w:val="00E044EC"/>
    <w:rsid w:val="00E05471"/>
    <w:rsid w:val="00E05804"/>
    <w:rsid w:val="00E058A3"/>
    <w:rsid w:val="00E1461A"/>
    <w:rsid w:val="00E151F3"/>
    <w:rsid w:val="00E15A82"/>
    <w:rsid w:val="00E17539"/>
    <w:rsid w:val="00E2306C"/>
    <w:rsid w:val="00E32181"/>
    <w:rsid w:val="00E42296"/>
    <w:rsid w:val="00E44495"/>
    <w:rsid w:val="00E52C11"/>
    <w:rsid w:val="00E55827"/>
    <w:rsid w:val="00E57F9B"/>
    <w:rsid w:val="00E6319B"/>
    <w:rsid w:val="00E63BFA"/>
    <w:rsid w:val="00E64D70"/>
    <w:rsid w:val="00E6726D"/>
    <w:rsid w:val="00E67581"/>
    <w:rsid w:val="00E7333B"/>
    <w:rsid w:val="00E744BC"/>
    <w:rsid w:val="00E81433"/>
    <w:rsid w:val="00E81C95"/>
    <w:rsid w:val="00E85297"/>
    <w:rsid w:val="00E852A3"/>
    <w:rsid w:val="00E854FA"/>
    <w:rsid w:val="00E855B1"/>
    <w:rsid w:val="00E85B77"/>
    <w:rsid w:val="00E85C1F"/>
    <w:rsid w:val="00E909E2"/>
    <w:rsid w:val="00E92A9E"/>
    <w:rsid w:val="00E97A43"/>
    <w:rsid w:val="00EA0C1C"/>
    <w:rsid w:val="00EA23EC"/>
    <w:rsid w:val="00EA2EF1"/>
    <w:rsid w:val="00EA3BA2"/>
    <w:rsid w:val="00EA477A"/>
    <w:rsid w:val="00EB1F74"/>
    <w:rsid w:val="00EB6810"/>
    <w:rsid w:val="00EB7229"/>
    <w:rsid w:val="00EB7AB1"/>
    <w:rsid w:val="00EC039E"/>
    <w:rsid w:val="00EC2121"/>
    <w:rsid w:val="00EC304A"/>
    <w:rsid w:val="00EC3BD3"/>
    <w:rsid w:val="00EC4F4C"/>
    <w:rsid w:val="00EC6133"/>
    <w:rsid w:val="00EC73D3"/>
    <w:rsid w:val="00EC7F0E"/>
    <w:rsid w:val="00ED0273"/>
    <w:rsid w:val="00ED10B9"/>
    <w:rsid w:val="00ED10FD"/>
    <w:rsid w:val="00ED2D1F"/>
    <w:rsid w:val="00ED58E9"/>
    <w:rsid w:val="00ED6B34"/>
    <w:rsid w:val="00ED79D6"/>
    <w:rsid w:val="00EE1831"/>
    <w:rsid w:val="00EE2EA3"/>
    <w:rsid w:val="00EE63A1"/>
    <w:rsid w:val="00EE6DD8"/>
    <w:rsid w:val="00EF213B"/>
    <w:rsid w:val="00EF2F7C"/>
    <w:rsid w:val="00F00576"/>
    <w:rsid w:val="00F01C4E"/>
    <w:rsid w:val="00F01CBF"/>
    <w:rsid w:val="00F03F85"/>
    <w:rsid w:val="00F04C6B"/>
    <w:rsid w:val="00F056CD"/>
    <w:rsid w:val="00F1101A"/>
    <w:rsid w:val="00F1156B"/>
    <w:rsid w:val="00F123DF"/>
    <w:rsid w:val="00F14155"/>
    <w:rsid w:val="00F14982"/>
    <w:rsid w:val="00F14F6A"/>
    <w:rsid w:val="00F17CF8"/>
    <w:rsid w:val="00F21322"/>
    <w:rsid w:val="00F215FE"/>
    <w:rsid w:val="00F225DC"/>
    <w:rsid w:val="00F23006"/>
    <w:rsid w:val="00F24929"/>
    <w:rsid w:val="00F24AA5"/>
    <w:rsid w:val="00F2598D"/>
    <w:rsid w:val="00F27E5C"/>
    <w:rsid w:val="00F336A2"/>
    <w:rsid w:val="00F338C4"/>
    <w:rsid w:val="00F360BC"/>
    <w:rsid w:val="00F42045"/>
    <w:rsid w:val="00F4472C"/>
    <w:rsid w:val="00F44AEB"/>
    <w:rsid w:val="00F45620"/>
    <w:rsid w:val="00F478FB"/>
    <w:rsid w:val="00F50CA6"/>
    <w:rsid w:val="00F50E79"/>
    <w:rsid w:val="00F53DEC"/>
    <w:rsid w:val="00F5470D"/>
    <w:rsid w:val="00F55A81"/>
    <w:rsid w:val="00F569B4"/>
    <w:rsid w:val="00F57F9B"/>
    <w:rsid w:val="00F63CCA"/>
    <w:rsid w:val="00F64000"/>
    <w:rsid w:val="00F71092"/>
    <w:rsid w:val="00F7238C"/>
    <w:rsid w:val="00F7727A"/>
    <w:rsid w:val="00F80EE8"/>
    <w:rsid w:val="00F81DA7"/>
    <w:rsid w:val="00F852D9"/>
    <w:rsid w:val="00F87177"/>
    <w:rsid w:val="00F90767"/>
    <w:rsid w:val="00F9173C"/>
    <w:rsid w:val="00F9256E"/>
    <w:rsid w:val="00F9588D"/>
    <w:rsid w:val="00F967A1"/>
    <w:rsid w:val="00F96EED"/>
    <w:rsid w:val="00F97B53"/>
    <w:rsid w:val="00FA0081"/>
    <w:rsid w:val="00FA00DD"/>
    <w:rsid w:val="00FA1F74"/>
    <w:rsid w:val="00FB062E"/>
    <w:rsid w:val="00FB18D0"/>
    <w:rsid w:val="00FB2ED6"/>
    <w:rsid w:val="00FB3A74"/>
    <w:rsid w:val="00FC00C6"/>
    <w:rsid w:val="00FC02D8"/>
    <w:rsid w:val="00FC0368"/>
    <w:rsid w:val="00FC1486"/>
    <w:rsid w:val="00FC2522"/>
    <w:rsid w:val="00FC31B6"/>
    <w:rsid w:val="00FC4324"/>
    <w:rsid w:val="00FC5B56"/>
    <w:rsid w:val="00FD4B12"/>
    <w:rsid w:val="00FD7D67"/>
    <w:rsid w:val="00FE494C"/>
    <w:rsid w:val="00FF176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3993B"/>
  <w15:docId w15:val="{19EBBF94-DEBD-48A3-A240-2A3F6A43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F015TEELig" w:eastAsia="F015TEELig" w:hAnsi="F015TEELig" w:cs="F015TEELig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0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97"/>
      <w:ind w:left="2851"/>
      <w:outlineLvl w:val="1"/>
    </w:pPr>
    <w:rPr>
      <w:rFonts w:ascii="F015TEEMed" w:eastAsia="F015TEEMed" w:hAnsi="F015TEEMed" w:cs="F015TEEMed"/>
      <w:sz w:val="28"/>
      <w:szCs w:val="28"/>
    </w:rPr>
  </w:style>
  <w:style w:type="paragraph" w:styleId="Nadpis3">
    <w:name w:val="heading 3"/>
    <w:basedOn w:val="Normln"/>
    <w:uiPriority w:val="1"/>
    <w:qFormat/>
    <w:pPr>
      <w:ind w:left="161"/>
      <w:jc w:val="center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341" w:right="38" w:hanging="211"/>
    </w:pPr>
  </w:style>
  <w:style w:type="paragraph" w:customStyle="1" w:styleId="TableParagraph">
    <w:name w:val="Table Paragraph"/>
    <w:basedOn w:val="Normln"/>
    <w:uiPriority w:val="1"/>
    <w:qFormat/>
    <w:pPr>
      <w:spacing w:before="8" w:line="178" w:lineRule="exact"/>
      <w:ind w:left="56"/>
      <w:jc w:val="center"/>
    </w:pPr>
  </w:style>
  <w:style w:type="paragraph" w:styleId="Normlnweb">
    <w:name w:val="Normal (Web)"/>
    <w:basedOn w:val="Normln"/>
    <w:uiPriority w:val="99"/>
    <w:semiHidden/>
    <w:unhideWhenUsed/>
    <w:rsid w:val="009E317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Zhlav">
    <w:name w:val="header"/>
    <w:basedOn w:val="Normln"/>
    <w:link w:val="ZhlavChar"/>
    <w:uiPriority w:val="99"/>
    <w:unhideWhenUsed/>
    <w:rsid w:val="00B65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A3B"/>
    <w:rPr>
      <w:rFonts w:ascii="F015TEELig" w:eastAsia="F015TEELig" w:hAnsi="F015TEELig" w:cs="F015TEELig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65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A3B"/>
    <w:rPr>
      <w:rFonts w:ascii="F015TEELig" w:eastAsia="F015TEELig" w:hAnsi="F015TEELig" w:cs="F015TEELig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0374D7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D80B6D"/>
    <w:pPr>
      <w:widowControl/>
      <w:autoSpaceDE/>
      <w:autoSpaceDN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80B6D"/>
    <w:rPr>
      <w:rFonts w:eastAsiaTheme="minorEastAsia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80B6D"/>
    <w:rPr>
      <w:rFonts w:ascii="F015TEELig" w:eastAsia="F015TEELig" w:hAnsi="F015TEELig" w:cs="F015TEELig"/>
      <w:lang w:val="cs-CZ" w:eastAsia="cs-CZ" w:bidi="cs-CZ"/>
    </w:rPr>
  </w:style>
  <w:style w:type="character" w:customStyle="1" w:styleId="dn">
    <w:name w:val="Žádný"/>
    <w:rsid w:val="00D80B6D"/>
    <w:rPr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0977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7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76B"/>
    <w:rPr>
      <w:rFonts w:ascii="F015TEELig" w:eastAsia="F015TEELig" w:hAnsi="F015TEELig" w:cs="F015TEELig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7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76B"/>
    <w:rPr>
      <w:rFonts w:ascii="F015TEELig" w:eastAsia="F015TEELig" w:hAnsi="F015TEELig" w:cs="F015TEELig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7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6B"/>
    <w:rPr>
      <w:rFonts w:ascii="Segoe UI" w:eastAsia="F015TEELig" w:hAnsi="Segoe UI" w:cs="Segoe UI"/>
      <w:sz w:val="18"/>
      <w:szCs w:val="18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6F3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ichaela.sahulova@bcas.c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6DD1-DA37-46E4-9A0E-2DD77060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Baštýřová</dc:creator>
  <cp:lastModifiedBy>Radek Polák</cp:lastModifiedBy>
  <cp:revision>2</cp:revision>
  <dcterms:created xsi:type="dcterms:W3CDTF">2023-07-11T07:00:00Z</dcterms:created>
  <dcterms:modified xsi:type="dcterms:W3CDTF">2023-07-11T07:00:00Z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2019-08-12T00:00:00Z</vt:filetime>
  </property>
</Properties>
</file>