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14DBE9" w14:textId="6E0639B0" w:rsidR="00677C07" w:rsidRDefault="00677C07">
      <w:pPr>
        <w:rPr>
          <w:highlight w:val="yellow"/>
        </w:rPr>
      </w:pPr>
    </w:p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p w14:paraId="7ED014A1" w14:textId="55F827D2" w:rsidR="00D80B6D" w:rsidRPr="00B346ED" w:rsidRDefault="00D80B6D" w:rsidP="00B346ED">
          <w:pPr>
            <w:rPr>
              <w:highlight w:val="yellow"/>
            </w:rPr>
          </w:pPr>
        </w:p>
        <w:p w14:paraId="0FB45B67" w14:textId="77777777" w:rsidR="00D80B6D" w:rsidRPr="007443AD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b/>
              <w:sz w:val="24"/>
            </w:rPr>
            <w:t>INDEX HYPOTEČNÍCH ÚVĚRŮ</w:t>
          </w:r>
          <w:r w:rsidRPr="007443AD">
            <w:rPr>
              <w:rFonts w:asciiTheme="minorHAnsi" w:hAnsiTheme="minorHAnsi" w:cstheme="minorHAnsi"/>
              <w:sz w:val="24"/>
            </w:rPr>
            <w:t xml:space="preserve"> | </w:t>
          </w:r>
          <w:r w:rsidRPr="007443AD">
            <w:rPr>
              <w:rFonts w:asciiTheme="minorHAnsi" w:hAnsiTheme="minorHAnsi" w:cstheme="minorHAnsi"/>
              <w:b/>
              <w:sz w:val="24"/>
            </w:rPr>
            <w:t xml:space="preserve">FIXINDEX </w:t>
          </w:r>
        </w:p>
        <w:p w14:paraId="03C4DE47" w14:textId="137DE246" w:rsidR="0009776B" w:rsidRDefault="00D80B6D" w:rsidP="005F65A1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 xml:space="preserve">INDEX PODÍLOVÝCH FONDŮ </w:t>
          </w:r>
        </w:p>
        <w:p w14:paraId="5F5E486E" w14:textId="2A454C45" w:rsidR="004B5B94" w:rsidRPr="007443AD" w:rsidRDefault="004B5B94" w:rsidP="005F65A1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>
            <w:rPr>
              <w:rFonts w:asciiTheme="minorHAnsi" w:hAnsiTheme="minorHAnsi" w:cstheme="minorHAnsi"/>
              <w:sz w:val="24"/>
            </w:rPr>
            <w:t>REALINDEX</w:t>
          </w:r>
        </w:p>
        <w:p w14:paraId="32900BCE" w14:textId="5904F9FC" w:rsidR="00D80B6D" w:rsidRPr="007443AD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>P</w:t>
          </w:r>
          <w:r w:rsidR="005F65A1" w:rsidRPr="007443AD">
            <w:rPr>
              <w:rFonts w:asciiTheme="minorHAnsi" w:hAnsiTheme="minorHAnsi" w:cstheme="minorHAnsi"/>
              <w:sz w:val="24"/>
            </w:rPr>
            <w:t>OV</w:t>
          </w:r>
          <w:r w:rsidRPr="007443AD">
            <w:rPr>
              <w:rFonts w:asciiTheme="minorHAnsi" w:hAnsiTheme="minorHAnsi" w:cstheme="minorHAnsi"/>
              <w:sz w:val="24"/>
            </w:rPr>
            <w:t xml:space="preserve">INDEX </w:t>
          </w:r>
        </w:p>
        <w:p w14:paraId="5B21B8A6" w14:textId="77777777" w:rsidR="00D80B6D" w:rsidRPr="007443AD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 xml:space="preserve">INDEX SPOTŘEBITELSKÝCH ÚVĚRŮ  </w:t>
          </w:r>
        </w:p>
        <w:p w14:paraId="720CCDBB" w14:textId="77777777" w:rsidR="00D80B6D" w:rsidRPr="00D84B7D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  <w:r w:rsidRPr="00D84B7D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18EE6C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</w:pPr>
        </w:p>
        <w:p w14:paraId="5193A52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D84B7D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660AEB6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51D468A4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2F2ED302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6C828C12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49B23CF7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7EC9300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1132A3F" w14:textId="5D367D7A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D84B7D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7485CC6" w14:textId="77777777" w:rsidR="00D80B6D" w:rsidRPr="005B7E46" w:rsidRDefault="00D80B6D" w:rsidP="00D80B6D">
          <w:pPr>
            <w:jc w:val="both"/>
            <w:rPr>
              <w:rFonts w:asciiTheme="minorHAnsi" w:hAnsiTheme="minorHAnsi" w:cstheme="minorHAnsi"/>
              <w:sz w:val="20"/>
              <w:szCs w:val="20"/>
            </w:rPr>
          </w:pPr>
        </w:p>
        <w:p w14:paraId="08070DCC" w14:textId="074612C4" w:rsidR="00792EE9" w:rsidRPr="005B7E46" w:rsidRDefault="00792EE9" w:rsidP="00792EE9">
          <w:pPr>
            <w:jc w:val="both"/>
            <w:rPr>
              <w:rStyle w:val="dn"/>
              <w:rFonts w:asciiTheme="minorHAnsi" w:hAnsiTheme="minorHAnsi" w:cstheme="minorHAnsi"/>
              <w:sz w:val="20"/>
              <w:szCs w:val="20"/>
            </w:rPr>
          </w:pPr>
          <w:r w:rsidRPr="005B7E46">
            <w:rPr>
              <w:rFonts w:asciiTheme="minorHAnsi" w:hAnsiTheme="minorHAnsi" w:cstheme="minorHAnsi"/>
              <w:sz w:val="20"/>
              <w:szCs w:val="20"/>
            </w:rPr>
            <w:t>Broker Consulting je jednou z největších společností na českém a slovenském trhu, která poskytuje služby v oblasti financí a realit. Od roku 1998 získala důvěru více než 600 000 klientů. Poskytuje také služby přes 4 000 firmám. Distribuci služeb zajišťuje přibližně 2 000 konzultantů (profesionální konzultanti, zaměstnanci, konzultanti v zapra</w:t>
          </w:r>
          <w:r w:rsidR="00734FAA">
            <w:rPr>
              <w:rFonts w:asciiTheme="minorHAnsi" w:hAnsiTheme="minorHAnsi" w:cstheme="minorHAnsi"/>
              <w:sz w:val="20"/>
              <w:szCs w:val="20"/>
            </w:rPr>
            <w:t>cování v ČR i SR) ve více než 15</w:t>
          </w:r>
          <w:r w:rsidRPr="005B7E46">
            <w:rPr>
              <w:rFonts w:asciiTheme="minorHAnsi" w:hAnsiTheme="minorHAnsi" w:cstheme="minorHAnsi"/>
              <w:sz w:val="20"/>
              <w:szCs w:val="20"/>
            </w:rPr>
            <w:t xml:space="preserve">0 kancelářích a </w:t>
          </w:r>
          <w:r w:rsidR="00734FAA">
            <w:rPr>
              <w:rFonts w:asciiTheme="minorHAnsi" w:hAnsiTheme="minorHAnsi" w:cstheme="minorHAnsi"/>
              <w:sz w:val="20"/>
              <w:szCs w:val="20"/>
            </w:rPr>
            <w:t>v několika desítkách poboček</w:t>
          </w:r>
          <w:bookmarkStart w:id="0" w:name="_GoBack"/>
          <w:bookmarkEnd w:id="0"/>
          <w:r w:rsidRPr="005B7E46">
            <w:rPr>
              <w:rFonts w:asciiTheme="minorHAnsi" w:hAnsiTheme="minorHAnsi" w:cstheme="minorHAnsi"/>
              <w:sz w:val="20"/>
              <w:szCs w:val="20"/>
            </w:rPr>
            <w:t xml:space="preserve"> OK POINT.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POINT, který přináší společnost Broker Consultin</w:t>
          </w:r>
          <w:r w:rsidR="008D373A" w:rsidRPr="005B7E46">
            <w:rPr>
              <w:rFonts w:asciiTheme="minorHAnsi" w:hAnsiTheme="minorHAnsi" w:cstheme="minorHAnsi"/>
              <w:sz w:val="20"/>
              <w:szCs w:val="20"/>
            </w:rPr>
            <w:t xml:space="preserve">g.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Více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na </w:t>
          </w:r>
          <w:hyperlink r:id="rId9" w:history="1"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bcas.cz</w:t>
            </w:r>
          </w:hyperlink>
          <w:r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, </w:t>
          </w:r>
          <w:hyperlink r:id="rId10" w:history="1"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okpointy.cz</w:t>
            </w:r>
          </w:hyperlink>
          <w:r w:rsidR="007B232E"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, </w:t>
          </w:r>
          <w:hyperlink r:id="rId11" w:history="1"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okpoint.tv</w:t>
            </w:r>
          </w:hyperlink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a na </w:t>
          </w:r>
          <w:hyperlink r:id="rId12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realityspolu.cz</w:t>
            </w:r>
          </w:hyperlink>
          <w:r w:rsidR="007B232E"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.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Navštivte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také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náš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hyperlink r:id="rId13" w:history="1">
            <w:proofErr w:type="spellStart"/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Facebook</w:t>
            </w:r>
            <w:proofErr w:type="spellEnd"/>
          </w:hyperlink>
          <w:r w:rsidR="005B7E46"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, </w:t>
          </w:r>
          <w:hyperlink r:id="rId14" w:history="1">
            <w:proofErr w:type="spellStart"/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LinkedIN</w:t>
            </w:r>
            <w:proofErr w:type="spellEnd"/>
          </w:hyperlink>
          <w:r w:rsidR="005B7E46"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Broker Consulting, Twitter </w:t>
          </w:r>
          <w:r w:rsidR="005B7E46" w:rsidRPr="005B7E46">
            <w:rPr>
              <w:rFonts w:asciiTheme="minorHAnsi" w:hAnsiTheme="minorHAnsi" w:cstheme="minorHAnsi"/>
              <w:sz w:val="20"/>
              <w:szCs w:val="20"/>
              <w:shd w:val="clear" w:color="auto" w:fill="FFFFFF"/>
            </w:rPr>
            <w:t>@</w:t>
          </w:r>
          <w:proofErr w:type="spellStart"/>
          <w:r w:rsidR="005B7E46" w:rsidRPr="005B7E46">
            <w:rPr>
              <w:rFonts w:asciiTheme="minorHAnsi" w:hAnsiTheme="minorHAnsi" w:cstheme="minorHAnsi"/>
              <w:sz w:val="20"/>
              <w:szCs w:val="20"/>
              <w:shd w:val="clear" w:color="auto" w:fill="FFFFFF"/>
            </w:rPr>
            <w:t>BC_oficialni</w:t>
          </w:r>
          <w:proofErr w:type="spellEnd"/>
          <w:r w:rsidR="005B7E46" w:rsidRPr="005B7E46">
            <w:rPr>
              <w:rFonts w:asciiTheme="minorHAnsi" w:hAnsiTheme="minorHAnsi" w:cstheme="minorHAnsi"/>
              <w:sz w:val="20"/>
              <w:szCs w:val="20"/>
              <w:shd w:val="clear" w:color="auto" w:fill="FFFFFF"/>
            </w:rPr>
            <w:t xml:space="preserve">, 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hyperlink r:id="rId15" w:history="1">
            <w:proofErr w:type="spellStart"/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Facebook</w:t>
            </w:r>
            <w:proofErr w:type="spellEnd"/>
          </w:hyperlink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a </w:t>
          </w:r>
          <w:hyperlink r:id="rId16" w:history="1">
            <w:proofErr w:type="spellStart"/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LinkedI</w:t>
            </w:r>
          </w:hyperlink>
          <w:r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</w:rPr>
            <w:t>N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OK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POINTů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. </w:t>
          </w:r>
        </w:p>
        <w:p w14:paraId="3F0EC976" w14:textId="3496D289" w:rsidR="00D80B6D" w:rsidRPr="006545F8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6545F8" w:rsidSect="00D80B6D">
              <w:headerReference w:type="default" r:id="rId17"/>
              <w:footerReference w:type="default" r:id="rId18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4F038982" w14:textId="77777777" w:rsidR="00203BD4" w:rsidRDefault="00203BD4" w:rsidP="0025264B">
          <w:pPr>
            <w:rPr>
              <w:rFonts w:ascii="Arial" w:hAnsi="Arial" w:cs="Arial"/>
              <w:sz w:val="20"/>
              <w:szCs w:val="20"/>
              <w:highlight w:val="yellow"/>
            </w:rPr>
          </w:pPr>
        </w:p>
        <w:p w14:paraId="35539C65" w14:textId="06F0629B" w:rsidR="00D31127" w:rsidRPr="006545F8" w:rsidRDefault="005235C5" w:rsidP="0025264B">
          <w:pPr>
            <w:rPr>
              <w:rFonts w:ascii="Arial" w:hAnsi="Arial" w:cs="Arial"/>
              <w:sz w:val="20"/>
              <w:szCs w:val="20"/>
              <w:highlight w:val="yellow"/>
            </w:rPr>
            <w:sectPr w:rsidR="00D31127" w:rsidRPr="006545F8" w:rsidSect="00D80B6D">
              <w:headerReference w:type="even" r:id="rId19"/>
              <w:headerReference w:type="default" r:id="rId20"/>
              <w:footerReference w:type="even" r:id="rId21"/>
              <w:footerReference w:type="default" r:id="rId22"/>
              <w:headerReference w:type="first" r:id="rId23"/>
              <w:footerReference w:type="first" r:id="rId24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4B4B99E6" w14:textId="369BC9A1" w:rsidR="005E3E4C" w:rsidRPr="00563604" w:rsidRDefault="005E3E4C" w:rsidP="005E3E4C">
      <w:pPr>
        <w:shd w:val="clear" w:color="auto" w:fill="FFFFFF" w:themeFill="background1"/>
        <w:spacing w:after="24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63604">
        <w:rPr>
          <w:rFonts w:asciiTheme="minorHAnsi" w:hAnsiTheme="minorHAnsi" w:cstheme="minorHAnsi"/>
          <w:b/>
          <w:sz w:val="28"/>
          <w:szCs w:val="28"/>
        </w:rPr>
        <w:t>Průměrné sazby hypoték potvrdily stagnaci</w:t>
      </w:r>
    </w:p>
    <w:p w14:paraId="2E5BE2B9" w14:textId="77777777" w:rsidR="005E3E4C" w:rsidRPr="00EA4104" w:rsidRDefault="005E3E4C" w:rsidP="005E3E4C">
      <w:pPr>
        <w:pStyle w:val="Odstavecseseznamem"/>
        <w:numPr>
          <w:ilvl w:val="0"/>
          <w:numId w:val="3"/>
        </w:numPr>
        <w:ind w:left="357" w:right="40" w:hanging="357"/>
        <w:rPr>
          <w:rFonts w:asciiTheme="minorHAnsi" w:eastAsiaTheme="minorHAnsi" w:hAnsiTheme="minorHAnsi" w:cstheme="minorHAnsi"/>
          <w:b/>
          <w:lang w:bidi="ar-SA"/>
        </w:rPr>
      </w:pPr>
      <w:r w:rsidRPr="00EA4104">
        <w:rPr>
          <w:rFonts w:asciiTheme="minorHAnsi" w:eastAsiaTheme="minorHAnsi" w:hAnsiTheme="minorHAnsi" w:cstheme="minorHAnsi"/>
          <w:b/>
          <w:lang w:bidi="ar-SA"/>
        </w:rPr>
        <w:t>H</w:t>
      </w:r>
      <w:r w:rsidRPr="00EA4104">
        <w:rPr>
          <w:rFonts w:asciiTheme="minorHAnsi" w:hAnsiTheme="minorHAnsi" w:cstheme="minorHAnsi"/>
          <w:b/>
        </w:rPr>
        <w:t>odnota</w:t>
      </w:r>
      <w:r w:rsidRPr="00EA4104">
        <w:rPr>
          <w:rFonts w:asciiTheme="minorHAnsi" w:hAnsiTheme="minorHAnsi" w:cstheme="minorHAnsi"/>
          <w:b/>
          <w:color w:val="000000"/>
        </w:rPr>
        <w:t xml:space="preserve"> Broker Consulting Index hypotečních úvěrů se v červnu snížila je</w:t>
      </w:r>
      <w:r>
        <w:rPr>
          <w:rFonts w:asciiTheme="minorHAnsi" w:hAnsiTheme="minorHAnsi" w:cstheme="minorHAnsi"/>
          <w:b/>
          <w:color w:val="000000"/>
        </w:rPr>
        <w:t>n</w:t>
      </w:r>
      <w:r w:rsidRPr="00EA4104">
        <w:rPr>
          <w:rFonts w:asciiTheme="minorHAnsi" w:hAnsiTheme="minorHAnsi" w:cstheme="minorHAnsi"/>
          <w:b/>
          <w:color w:val="000000"/>
        </w:rPr>
        <w:t xml:space="preserve"> mírně, a to na 5,87 procenta</w:t>
      </w:r>
    </w:p>
    <w:p w14:paraId="1615A8B4" w14:textId="77777777" w:rsidR="005E3E4C" w:rsidRPr="00EA4104" w:rsidRDefault="005E3E4C" w:rsidP="005E3E4C">
      <w:pPr>
        <w:pStyle w:val="Odstavecseseznamem"/>
        <w:numPr>
          <w:ilvl w:val="0"/>
          <w:numId w:val="3"/>
        </w:numPr>
        <w:ind w:left="357" w:right="40" w:hanging="357"/>
        <w:rPr>
          <w:rFonts w:asciiTheme="minorHAnsi" w:eastAsiaTheme="minorHAnsi" w:hAnsiTheme="minorHAnsi" w:cstheme="minorHAnsi"/>
          <w:b/>
          <w:lang w:bidi="ar-SA"/>
        </w:rPr>
      </w:pPr>
      <w:r w:rsidRPr="00EA4104">
        <w:rPr>
          <w:rFonts w:asciiTheme="minorHAnsi" w:hAnsiTheme="minorHAnsi" w:cstheme="minorHAnsi"/>
          <w:b/>
          <w:color w:val="000000"/>
        </w:rPr>
        <w:t>Zájem o hypotéky přesto v posledním období roste</w:t>
      </w:r>
    </w:p>
    <w:p w14:paraId="57F5BE88" w14:textId="77777777" w:rsidR="005E3E4C" w:rsidRPr="00EA4104" w:rsidRDefault="005E3E4C" w:rsidP="005E3E4C">
      <w:pPr>
        <w:pStyle w:val="Odstavecseseznamem"/>
        <w:numPr>
          <w:ilvl w:val="0"/>
          <w:numId w:val="3"/>
        </w:numPr>
        <w:shd w:val="clear" w:color="auto" w:fill="FFFFFF" w:themeFill="background1"/>
        <w:ind w:left="357" w:right="40" w:hanging="357"/>
        <w:rPr>
          <w:b/>
        </w:rPr>
      </w:pPr>
      <w:r w:rsidRPr="00EA4104">
        <w:rPr>
          <w:rStyle w:val="Siln"/>
          <w:rFonts w:asciiTheme="minorHAnsi" w:hAnsiTheme="minorHAnsi" w:cstheme="minorHAnsi"/>
          <w:color w:val="0D0D0D" w:themeColor="text1" w:themeTint="F2"/>
          <w:shd w:val="clear" w:color="auto" w:fill="FAFBF7"/>
        </w:rPr>
        <w:t xml:space="preserve">Od července již není </w:t>
      </w:r>
      <w:r w:rsidRPr="00EA4104">
        <w:rPr>
          <w:rFonts w:asciiTheme="minorHAnsi" w:hAnsiTheme="minorHAnsi" w:cstheme="minorHAnsi"/>
          <w:b/>
          <w:color w:val="0D0D0D" w:themeColor="text1" w:themeTint="F2"/>
        </w:rPr>
        <w:t xml:space="preserve">pro poskytované hypotéky uplatňován limit DSTI </w:t>
      </w:r>
    </w:p>
    <w:p w14:paraId="099B49A4" w14:textId="77777777" w:rsidR="005E3E4C" w:rsidRPr="00EA4104" w:rsidRDefault="005E3E4C" w:rsidP="005E3E4C">
      <w:pPr>
        <w:pStyle w:val="Odstavecseseznamem"/>
        <w:shd w:val="clear" w:color="auto" w:fill="FFFFFF" w:themeFill="background1"/>
        <w:ind w:left="357" w:right="40" w:firstLine="0"/>
        <w:rPr>
          <w:b/>
        </w:rPr>
      </w:pPr>
    </w:p>
    <w:p w14:paraId="2564D113" w14:textId="5A8517BF" w:rsidR="005E3E4C" w:rsidRPr="00F835D7" w:rsidRDefault="00805F19" w:rsidP="005E3E4C">
      <w:pPr>
        <w:jc w:val="both"/>
        <w:rPr>
          <w:rFonts w:asciiTheme="minorHAnsi" w:hAnsiTheme="minorHAnsi" w:cstheme="minorHAnsi"/>
          <w:b/>
        </w:rPr>
      </w:pPr>
      <w:r w:rsidRPr="007B3DA0">
        <w:rPr>
          <w:rFonts w:asciiTheme="minorHAnsi" w:hAnsiTheme="minorHAnsi" w:cstheme="minorHAnsi"/>
          <w:b/>
          <w:i/>
        </w:rPr>
        <w:t>Praha, 4.</w:t>
      </w:r>
      <w:r w:rsidR="005E3E4C" w:rsidRPr="007B3DA0">
        <w:rPr>
          <w:rFonts w:asciiTheme="minorHAnsi" w:hAnsiTheme="minorHAnsi" w:cstheme="minorHAnsi"/>
          <w:b/>
          <w:i/>
        </w:rPr>
        <w:t xml:space="preserve"> července 2023</w:t>
      </w:r>
      <w:r w:rsidR="005E3E4C" w:rsidRPr="00F835D7">
        <w:rPr>
          <w:rFonts w:asciiTheme="minorHAnsi" w:hAnsiTheme="minorHAnsi" w:cstheme="minorHAnsi"/>
          <w:b/>
        </w:rPr>
        <w:t xml:space="preserve"> - Červnové výsledky Broker Consulting Indexu hypotečních úvěrů ukazují, že na trhu hypotečních úvěrů převažuje stabilita. Hodnota indexu totiž jen mírně klesla, a to o 0,05 procentního bodu na 5,87 procenta. Průměrné úrokové sazby tak i po červnovém zasedání bankovní rady České národní banky stále zůstávají jen mírně pod hranicí šesti procent.</w:t>
      </w:r>
    </w:p>
    <w:p w14:paraId="27B59E18" w14:textId="77777777" w:rsidR="005E3E4C" w:rsidRPr="00F835D7" w:rsidRDefault="005E3E4C" w:rsidP="005E3E4C">
      <w:pPr>
        <w:jc w:val="both"/>
        <w:rPr>
          <w:rFonts w:asciiTheme="minorHAnsi" w:hAnsiTheme="minorHAnsi" w:cstheme="minorHAnsi"/>
        </w:rPr>
      </w:pPr>
    </w:p>
    <w:p w14:paraId="7D7ED089" w14:textId="77777777" w:rsidR="005E3E4C" w:rsidRPr="00F835D7" w:rsidRDefault="005E3E4C" w:rsidP="005E3E4C">
      <w:pPr>
        <w:jc w:val="both"/>
        <w:rPr>
          <w:rFonts w:asciiTheme="minorHAnsi" w:hAnsiTheme="minorHAnsi" w:cstheme="minorHAnsi"/>
        </w:rPr>
      </w:pPr>
      <w:r w:rsidRPr="00F835D7">
        <w:rPr>
          <w:rFonts w:asciiTheme="minorHAnsi" w:hAnsiTheme="minorHAnsi" w:cstheme="minorHAnsi"/>
        </w:rPr>
        <w:t xml:space="preserve">Hodnota Broker Consulting Indexu hypotečních úvěrů od loňského léta až na drobné výkyvy stagnuje, což se promítlo i do červnových výsledků. Hodnota 5,87 procenta byla přitom tentokrát stejná, jako tomu bylo v říjnu minulého roku. </w:t>
      </w:r>
    </w:p>
    <w:p w14:paraId="05132576" w14:textId="05077EC9" w:rsidR="005E3E4C" w:rsidRPr="00F835D7" w:rsidRDefault="005E3E4C" w:rsidP="005E3E4C">
      <w:pPr>
        <w:spacing w:before="200" w:after="200"/>
        <w:jc w:val="both"/>
        <w:rPr>
          <w:rFonts w:asciiTheme="minorHAnsi" w:hAnsiTheme="minorHAnsi" w:cstheme="minorHAnsi"/>
          <w:color w:val="000000"/>
          <w:shd w:val="clear" w:color="auto" w:fill="FAFBF7"/>
        </w:rPr>
      </w:pPr>
      <w:r w:rsidRPr="00F835D7">
        <w:rPr>
          <w:rFonts w:asciiTheme="minorHAnsi" w:hAnsiTheme="minorHAnsi" w:cstheme="minorHAnsi"/>
          <w:color w:val="0D0D0D" w:themeColor="text1" w:themeTint="F2"/>
        </w:rPr>
        <w:t>„</w:t>
      </w:r>
      <w:r w:rsidRPr="00F835D7">
        <w:rPr>
          <w:rFonts w:asciiTheme="minorHAnsi" w:hAnsiTheme="minorHAnsi" w:cstheme="minorHAnsi"/>
          <w:i/>
          <w:color w:val="0D0D0D" w:themeColor="text1" w:themeTint="F2"/>
        </w:rPr>
        <w:t xml:space="preserve">Poslední červnové zasedání České národní banky nepřineslo žádné překvapení. Dvoutýdenní </w:t>
      </w:r>
      <w:proofErr w:type="spellStart"/>
      <w:r w:rsidRPr="00F835D7">
        <w:rPr>
          <w:rFonts w:asciiTheme="minorHAnsi" w:hAnsiTheme="minorHAnsi" w:cstheme="minorHAnsi"/>
          <w:i/>
          <w:color w:val="0D0D0D" w:themeColor="text1" w:themeTint="F2"/>
        </w:rPr>
        <w:t>repo</w:t>
      </w:r>
      <w:proofErr w:type="spellEnd"/>
      <w:r w:rsidRPr="00F835D7">
        <w:rPr>
          <w:rFonts w:asciiTheme="minorHAnsi" w:hAnsiTheme="minorHAnsi" w:cstheme="minorHAnsi"/>
          <w:i/>
          <w:color w:val="0D0D0D" w:themeColor="text1" w:themeTint="F2"/>
        </w:rPr>
        <w:t xml:space="preserve"> sazba tak opět zůstává na 7 procentech. I proto v nejbližších měsících neočekáváme změny v podobě většího poklesu či naopak růstu úroků hypoték. Stále platí, že se vyplatí spíše kratší doba fixace.</w:t>
      </w:r>
      <w:r w:rsidRPr="00F835D7">
        <w:rPr>
          <w:rFonts w:asciiTheme="minorHAnsi" w:hAnsiTheme="minorHAnsi" w:cstheme="minorHAnsi"/>
          <w:color w:val="172B4D"/>
        </w:rPr>
        <w:t xml:space="preserve"> </w:t>
      </w:r>
      <w:r w:rsidRPr="00F835D7">
        <w:rPr>
          <w:rFonts w:asciiTheme="minorHAnsi" w:hAnsiTheme="minorHAnsi" w:cstheme="minorHAnsi"/>
          <w:i/>
          <w:color w:val="0D0D0D" w:themeColor="text1" w:themeTint="F2"/>
        </w:rPr>
        <w:t>Vhodné jsou tři roky</w:t>
      </w:r>
      <w:r w:rsidRPr="00F835D7">
        <w:rPr>
          <w:rFonts w:asciiTheme="minorHAnsi" w:hAnsiTheme="minorHAnsi" w:cstheme="minorHAnsi"/>
          <w:color w:val="0D0D0D" w:themeColor="text1" w:themeTint="F2"/>
        </w:rPr>
        <w:t xml:space="preserve">,“ </w:t>
      </w:r>
      <w:r w:rsidRPr="00F835D7">
        <w:rPr>
          <w:rFonts w:asciiTheme="minorHAnsi" w:hAnsiTheme="minorHAnsi" w:cstheme="minorHAnsi"/>
          <w:color w:val="000000"/>
        </w:rPr>
        <w:t>vysvětluje</w:t>
      </w:r>
      <w:r w:rsidR="00805F19">
        <w:rPr>
          <w:rFonts w:asciiTheme="minorHAnsi" w:hAnsiTheme="minorHAnsi" w:cstheme="minorHAnsi"/>
          <w:color w:val="000000"/>
        </w:rPr>
        <w:t xml:space="preserve"> </w:t>
      </w:r>
      <w:r w:rsidR="00805F19" w:rsidRPr="00805F19">
        <w:rPr>
          <w:rFonts w:asciiTheme="minorHAnsi" w:hAnsiTheme="minorHAnsi" w:cstheme="minorHAnsi"/>
          <w:b/>
          <w:color w:val="000000"/>
        </w:rPr>
        <w:t>Michaela Pudilová, analytička hypotečních a spotřebitelských úvěrů společnosti Broker Consulting</w:t>
      </w:r>
      <w:r w:rsidR="00805F19">
        <w:rPr>
          <w:rFonts w:asciiTheme="minorHAnsi" w:hAnsiTheme="minorHAnsi" w:cstheme="minorHAnsi"/>
          <w:color w:val="000000"/>
        </w:rPr>
        <w:t>.</w:t>
      </w:r>
    </w:p>
    <w:p w14:paraId="4A90E5ED" w14:textId="77777777" w:rsidR="005E3E4C" w:rsidRPr="00F835D7" w:rsidRDefault="005E3E4C" w:rsidP="005E3E4C">
      <w:pPr>
        <w:spacing w:before="200" w:after="200"/>
        <w:jc w:val="both"/>
        <w:rPr>
          <w:rFonts w:asciiTheme="minorHAnsi" w:hAnsiTheme="minorHAnsi" w:cstheme="minorHAnsi"/>
          <w:color w:val="000000"/>
          <w:shd w:val="clear" w:color="auto" w:fill="FAFBF7"/>
        </w:rPr>
      </w:pPr>
      <w:r w:rsidRPr="00F835D7">
        <w:rPr>
          <w:rFonts w:asciiTheme="minorHAnsi" w:hAnsiTheme="minorHAnsi" w:cstheme="minorHAnsi"/>
          <w:color w:val="000000"/>
          <w:shd w:val="clear" w:color="auto" w:fill="FAFBF7"/>
        </w:rPr>
        <w:t>Navzdory skutečnosti, že se hodnota úrokových sazeb z hypoték příliš nemění, objem poskytnutých hypoték v posledním období roste.</w:t>
      </w:r>
    </w:p>
    <w:p w14:paraId="33D18892" w14:textId="217A1AE2" w:rsidR="005E3E4C" w:rsidRPr="00F835D7" w:rsidRDefault="005E3E4C" w:rsidP="005E3E4C">
      <w:pPr>
        <w:pStyle w:val="Normlnweb"/>
        <w:spacing w:before="180" w:beforeAutospacing="0" w:after="0" w:afterAutospacing="0"/>
        <w:jc w:val="both"/>
        <w:rPr>
          <w:rStyle w:val="Siln"/>
          <w:rFonts w:asciiTheme="minorHAnsi" w:hAnsiTheme="minorHAnsi" w:cstheme="minorHAnsi"/>
          <w:b w:val="0"/>
          <w:color w:val="000000"/>
          <w:sz w:val="22"/>
          <w:szCs w:val="22"/>
          <w:shd w:val="clear" w:color="auto" w:fill="FAFBF7"/>
        </w:rPr>
      </w:pPr>
      <w:r w:rsidRPr="00F835D7">
        <w:rPr>
          <w:rFonts w:asciiTheme="minorHAnsi" w:hAnsiTheme="minorHAnsi" w:cstheme="minorHAnsi"/>
          <w:i/>
          <w:color w:val="0D0D0D" w:themeColor="text1" w:themeTint="F2"/>
          <w:sz w:val="22"/>
          <w:szCs w:val="22"/>
        </w:rPr>
        <w:t xml:space="preserve">„Ti, kteří na poskytnutí </w:t>
      </w:r>
      <w:r w:rsidR="003E3B57" w:rsidRPr="00F835D7">
        <w:rPr>
          <w:rFonts w:asciiTheme="minorHAnsi" w:hAnsiTheme="minorHAnsi" w:cstheme="minorHAnsi"/>
          <w:i/>
          <w:color w:val="0D0D0D" w:themeColor="text1" w:themeTint="F2"/>
          <w:sz w:val="22"/>
          <w:szCs w:val="22"/>
        </w:rPr>
        <w:t xml:space="preserve">finančně dosáhnou </w:t>
      </w:r>
      <w:r w:rsidRPr="00F835D7">
        <w:rPr>
          <w:rFonts w:asciiTheme="minorHAnsi" w:hAnsiTheme="minorHAnsi" w:cstheme="minorHAnsi"/>
          <w:i/>
          <w:color w:val="0D0D0D" w:themeColor="text1" w:themeTint="F2"/>
          <w:sz w:val="22"/>
          <w:szCs w:val="22"/>
        </w:rPr>
        <w:t xml:space="preserve">a mají svou vybranou nemovitost, tak už nečekají. Navzdory tomu, že ceny nemovitostí </w:t>
      </w:r>
      <w:r w:rsidR="003E3B57" w:rsidRPr="00F835D7">
        <w:rPr>
          <w:rFonts w:asciiTheme="minorHAnsi" w:hAnsiTheme="minorHAnsi" w:cstheme="minorHAnsi"/>
          <w:i/>
          <w:color w:val="0D0D0D" w:themeColor="text1" w:themeTint="F2"/>
          <w:sz w:val="22"/>
          <w:szCs w:val="22"/>
        </w:rPr>
        <w:t xml:space="preserve">ve velkých městech </w:t>
      </w:r>
      <w:r w:rsidRPr="00F835D7">
        <w:rPr>
          <w:rFonts w:asciiTheme="minorHAnsi" w:hAnsiTheme="minorHAnsi" w:cstheme="minorHAnsi"/>
          <w:i/>
          <w:color w:val="0D0D0D" w:themeColor="text1" w:themeTint="F2"/>
          <w:sz w:val="22"/>
          <w:szCs w:val="22"/>
        </w:rPr>
        <w:t xml:space="preserve">výrazně neklesají a větší změny se v případě úrokových sazeb zatím neočekávají, nechtějí riskovat, že jejich vysněnou nemovitost koupí někdo jiný,“ </w:t>
      </w:r>
      <w:r w:rsidRPr="00F835D7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upozorňuje</w:t>
      </w:r>
      <w:r w:rsidRPr="00F835D7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F835D7">
        <w:rPr>
          <w:rStyle w:val="Siln"/>
          <w:rFonts w:asciiTheme="minorHAnsi" w:hAnsiTheme="minorHAnsi" w:cstheme="minorHAnsi"/>
          <w:b w:val="0"/>
          <w:color w:val="000000"/>
          <w:sz w:val="22"/>
          <w:szCs w:val="22"/>
          <w:shd w:val="clear" w:color="auto" w:fill="FAFBF7"/>
        </w:rPr>
        <w:t>Pudilová.</w:t>
      </w:r>
    </w:p>
    <w:p w14:paraId="087109DB" w14:textId="77777777" w:rsidR="005E3E4C" w:rsidRPr="00F835D7" w:rsidRDefault="005E3E4C" w:rsidP="005E3E4C">
      <w:pPr>
        <w:pStyle w:val="Normlnweb"/>
        <w:spacing w:before="18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  <w:r w:rsidRPr="00F835D7">
        <w:rPr>
          <w:rStyle w:val="Siln"/>
          <w:rFonts w:asciiTheme="minorHAnsi" w:hAnsiTheme="minorHAnsi" w:cstheme="minorHAnsi"/>
          <w:b w:val="0"/>
          <w:color w:val="0D0D0D" w:themeColor="text1" w:themeTint="F2"/>
          <w:sz w:val="22"/>
          <w:szCs w:val="22"/>
          <w:shd w:val="clear" w:color="auto" w:fill="FAFBF7"/>
        </w:rPr>
        <w:t xml:space="preserve">Další změnou je </w:t>
      </w:r>
      <w:r>
        <w:rPr>
          <w:rStyle w:val="Siln"/>
          <w:rFonts w:asciiTheme="minorHAnsi" w:hAnsiTheme="minorHAnsi" w:cstheme="minorHAnsi"/>
          <w:b w:val="0"/>
          <w:color w:val="0D0D0D" w:themeColor="text1" w:themeTint="F2"/>
          <w:sz w:val="22"/>
          <w:szCs w:val="22"/>
          <w:shd w:val="clear" w:color="auto" w:fill="FAFBF7"/>
        </w:rPr>
        <w:t xml:space="preserve">to, že od července již není </w:t>
      </w:r>
      <w:r w:rsidRPr="00F835D7">
        <w:rPr>
          <w:rFonts w:asciiTheme="minorHAnsi" w:hAnsiTheme="minorHAnsi" w:cstheme="minorHAnsi"/>
          <w:color w:val="0D0D0D" w:themeColor="text1" w:themeTint="F2"/>
          <w:sz w:val="22"/>
          <w:szCs w:val="22"/>
        </w:rPr>
        <w:t xml:space="preserve">pro poskytované hypotéky uplatňován limit DSTI. </w:t>
      </w:r>
      <w:r>
        <w:rPr>
          <w:rFonts w:asciiTheme="minorHAnsi" w:hAnsiTheme="minorHAnsi" w:cstheme="minorHAnsi"/>
          <w:color w:val="0D0D0D" w:themeColor="text1" w:themeTint="F2"/>
          <w:sz w:val="22"/>
          <w:szCs w:val="22"/>
        </w:rPr>
        <w:t>Tento ukazatel, který vyjadřoval</w:t>
      </w:r>
      <w:r w:rsidRPr="00F835D7">
        <w:rPr>
          <w:rFonts w:asciiTheme="minorHAnsi" w:hAnsiTheme="minorHAnsi" w:cstheme="minorHAnsi"/>
          <w:color w:val="0D0D0D" w:themeColor="text1" w:themeTint="F2"/>
          <w:sz w:val="22"/>
          <w:szCs w:val="22"/>
        </w:rPr>
        <w:t xml:space="preserve"> poměr celkových měsíčních splátek žadatele a jeho čistého příjmu, byl od loňského dubna u žadatelů mladších 36 let stanovený na maximálně 50 procent.  U starších žadatelů to bylo maximálně 45 procent.</w:t>
      </w:r>
    </w:p>
    <w:p w14:paraId="7393CE9A" w14:textId="7321EF78" w:rsidR="005E3E4C" w:rsidRPr="003C1254" w:rsidRDefault="005E3E4C" w:rsidP="005E3E4C">
      <w:pPr>
        <w:pStyle w:val="Normlnweb"/>
        <w:spacing w:before="180" w:beforeAutospacing="0" w:after="0" w:afterAutospacing="0"/>
        <w:jc w:val="both"/>
        <w:rPr>
          <w:rFonts w:asciiTheme="minorHAnsi" w:eastAsia="Times New Roman" w:hAnsiTheme="minorHAnsi" w:cstheme="minorHAnsi"/>
          <w:color w:val="0D0D0D" w:themeColor="text1" w:themeTint="F2"/>
          <w:sz w:val="22"/>
          <w:szCs w:val="22"/>
        </w:rPr>
      </w:pPr>
      <w:r w:rsidRPr="00F835D7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V případě dalšího ukazatel</w:t>
      </w:r>
      <w:r>
        <w:rPr>
          <w:rFonts w:asciiTheme="minorHAnsi" w:hAnsiTheme="minorHAnsi" w:cstheme="minorHAnsi"/>
          <w:color w:val="0D0D0D" w:themeColor="text1" w:themeTint="F2"/>
          <w:sz w:val="22"/>
          <w:szCs w:val="22"/>
        </w:rPr>
        <w:t>e, kterým je DTI, však</w:t>
      </w:r>
      <w:r w:rsidRPr="00F835D7">
        <w:rPr>
          <w:rFonts w:asciiTheme="minorHAnsi" w:hAnsiTheme="minorHAnsi" w:cstheme="minorHAnsi"/>
          <w:color w:val="0D0D0D" w:themeColor="text1" w:themeTint="F2"/>
          <w:sz w:val="22"/>
          <w:szCs w:val="22"/>
        </w:rPr>
        <w:t xml:space="preserve"> nadále platí hodnoty 9,5 pro lidi mladší 36 let a 8,5 pro ty, kteří jsou starší. To znamená, že </w:t>
      </w:r>
      <w:r w:rsidRPr="00F835D7">
        <w:rPr>
          <w:rFonts w:asciiTheme="minorHAnsi" w:eastAsia="Times New Roman" w:hAnsiTheme="minorHAnsi" w:cstheme="minorHAnsi"/>
          <w:bCs/>
          <w:color w:val="0D0D0D" w:themeColor="text1" w:themeTint="F2"/>
          <w:sz w:val="22"/>
          <w:szCs w:val="22"/>
        </w:rPr>
        <w:t>aktuálně nastavená</w:t>
      </w:r>
      <w:r w:rsidRPr="00F835D7">
        <w:rPr>
          <w:rFonts w:asciiTheme="minorHAnsi" w:eastAsia="Times New Roman" w:hAnsiTheme="minorHAnsi" w:cstheme="minorHAnsi"/>
          <w:b/>
          <w:bCs/>
          <w:color w:val="0D0D0D" w:themeColor="text1" w:themeTint="F2"/>
          <w:sz w:val="22"/>
          <w:szCs w:val="22"/>
        </w:rPr>
        <w:t> </w:t>
      </w:r>
      <w:r w:rsidRPr="003C1254">
        <w:rPr>
          <w:rFonts w:asciiTheme="minorHAnsi" w:eastAsia="Times New Roman" w:hAnsiTheme="minorHAnsi" w:cstheme="minorHAnsi"/>
          <w:color w:val="0D0D0D" w:themeColor="text1" w:themeTint="F2"/>
          <w:sz w:val="22"/>
          <w:szCs w:val="22"/>
        </w:rPr>
        <w:t>horní hranice ukazatele DTI činí</w:t>
      </w:r>
      <w:r w:rsidRPr="00F835D7">
        <w:rPr>
          <w:rFonts w:asciiTheme="minorHAnsi" w:eastAsia="Times New Roman" w:hAnsiTheme="minorHAnsi" w:cstheme="minorHAnsi"/>
          <w:color w:val="0D0D0D" w:themeColor="text1" w:themeTint="F2"/>
          <w:sz w:val="22"/>
          <w:szCs w:val="22"/>
        </w:rPr>
        <w:t xml:space="preserve"> </w:t>
      </w:r>
      <w:r w:rsidRPr="00F835D7">
        <w:rPr>
          <w:rFonts w:asciiTheme="minorHAnsi" w:eastAsia="Times New Roman" w:hAnsiTheme="minorHAnsi" w:cstheme="minorHAnsi"/>
          <w:bCs/>
          <w:color w:val="0D0D0D" w:themeColor="text1" w:themeTint="F2"/>
          <w:sz w:val="22"/>
          <w:szCs w:val="22"/>
        </w:rPr>
        <w:t>9,5násobek ročního příjmu</w:t>
      </w:r>
      <w:r w:rsidRPr="003C1254">
        <w:rPr>
          <w:rFonts w:asciiTheme="minorHAnsi" w:eastAsia="Times New Roman" w:hAnsiTheme="minorHAnsi" w:cstheme="minorHAnsi"/>
          <w:color w:val="0D0D0D" w:themeColor="text1" w:themeTint="F2"/>
          <w:sz w:val="22"/>
          <w:szCs w:val="22"/>
        </w:rPr>
        <w:t> </w:t>
      </w:r>
      <w:r w:rsidRPr="00F835D7">
        <w:rPr>
          <w:rFonts w:asciiTheme="minorHAnsi" w:eastAsia="Times New Roman" w:hAnsiTheme="minorHAnsi" w:cstheme="minorHAnsi"/>
          <w:bCs/>
          <w:color w:val="0D0D0D" w:themeColor="text1" w:themeTint="F2"/>
          <w:sz w:val="22"/>
          <w:szCs w:val="22"/>
        </w:rPr>
        <w:t>pro mladší žadatele pořizující si vlastní bydlení</w:t>
      </w:r>
      <w:r w:rsidRPr="003C1254">
        <w:rPr>
          <w:rFonts w:asciiTheme="minorHAnsi" w:eastAsia="Times New Roman" w:hAnsiTheme="minorHAnsi" w:cstheme="minorHAnsi"/>
          <w:color w:val="0D0D0D" w:themeColor="text1" w:themeTint="F2"/>
          <w:sz w:val="22"/>
          <w:szCs w:val="22"/>
        </w:rPr>
        <w:t> </w:t>
      </w:r>
      <w:r w:rsidRPr="00F835D7">
        <w:rPr>
          <w:rFonts w:asciiTheme="minorHAnsi" w:eastAsia="Times New Roman" w:hAnsiTheme="minorHAnsi" w:cstheme="minorHAnsi"/>
          <w:color w:val="0D0D0D" w:themeColor="text1" w:themeTint="F2"/>
          <w:sz w:val="22"/>
          <w:szCs w:val="22"/>
        </w:rPr>
        <w:t xml:space="preserve">a </w:t>
      </w:r>
      <w:r w:rsidRPr="00F835D7">
        <w:rPr>
          <w:rFonts w:asciiTheme="minorHAnsi" w:eastAsia="Times New Roman" w:hAnsiTheme="minorHAnsi" w:cstheme="minorHAnsi"/>
          <w:bCs/>
          <w:color w:val="0D0D0D" w:themeColor="text1" w:themeTint="F2"/>
          <w:sz w:val="22"/>
          <w:szCs w:val="22"/>
        </w:rPr>
        <w:t>8,5násobek pro starší.</w:t>
      </w:r>
      <w:r w:rsidRPr="00F835D7">
        <w:rPr>
          <w:rFonts w:asciiTheme="minorHAnsi" w:hAnsiTheme="minorHAnsi" w:cstheme="minorHAnsi"/>
          <w:bCs/>
          <w:color w:val="0D0D0D" w:themeColor="text1" w:themeTint="F2"/>
          <w:sz w:val="22"/>
          <w:szCs w:val="22"/>
        </w:rPr>
        <w:t xml:space="preserve"> </w:t>
      </w:r>
      <w:r w:rsidR="003E3B57">
        <w:rPr>
          <w:rFonts w:asciiTheme="minorHAnsi" w:eastAsia="Times New Roman" w:hAnsiTheme="minorHAnsi" w:cstheme="minorHAnsi"/>
          <w:color w:val="0D0D0D" w:themeColor="text1" w:themeTint="F2"/>
          <w:sz w:val="22"/>
          <w:szCs w:val="22"/>
        </w:rPr>
        <w:t>Nad uvedenou</w:t>
      </w:r>
      <w:r w:rsidRPr="003C1254">
        <w:rPr>
          <w:rFonts w:asciiTheme="minorHAnsi" w:eastAsia="Times New Roman" w:hAnsiTheme="minorHAnsi" w:cstheme="minorHAnsi"/>
          <w:color w:val="0D0D0D" w:themeColor="text1" w:themeTint="F2"/>
          <w:sz w:val="22"/>
          <w:szCs w:val="22"/>
        </w:rPr>
        <w:t xml:space="preserve"> hranicí mohou banky poskytovat úvěry pouze na výjimku.</w:t>
      </w:r>
    </w:p>
    <w:p w14:paraId="0869E50E" w14:textId="77777777" w:rsidR="005E3E4C" w:rsidRDefault="005E3E4C" w:rsidP="005E3E4C">
      <w:pPr>
        <w:jc w:val="both"/>
        <w:rPr>
          <w:rFonts w:asciiTheme="minorHAnsi" w:hAnsiTheme="minorHAnsi" w:cstheme="minorHAnsi"/>
          <w:color w:val="0D0D0D" w:themeColor="text1" w:themeTint="F2"/>
        </w:rPr>
      </w:pPr>
      <w:r w:rsidRPr="00F835D7">
        <w:rPr>
          <w:rFonts w:asciiTheme="minorHAnsi" w:hAnsiTheme="minorHAnsi" w:cstheme="minorHAnsi"/>
          <w:color w:val="0D0D0D" w:themeColor="text1" w:themeTint="F2"/>
        </w:rPr>
        <w:t xml:space="preserve">Hodnota předstihového ukazatele </w:t>
      </w:r>
      <w:r w:rsidRPr="00F835D7">
        <w:rPr>
          <w:rFonts w:asciiTheme="minorHAnsi" w:hAnsiTheme="minorHAnsi" w:cstheme="minorHAnsi"/>
        </w:rPr>
        <w:t xml:space="preserve">Broker Consulting Indexu hypotečních úvěrů </w:t>
      </w:r>
      <w:r w:rsidRPr="00F835D7">
        <w:rPr>
          <w:rFonts w:asciiTheme="minorHAnsi" w:hAnsiTheme="minorHAnsi" w:cstheme="minorHAnsi"/>
          <w:color w:val="0D0D0D" w:themeColor="text1" w:themeTint="F2"/>
        </w:rPr>
        <w:t>pro pětiletou fixaci se v červnu meziměsíčně zvýšila z původních 6 na 6,1 procenta.</w:t>
      </w:r>
    </w:p>
    <w:p w14:paraId="61850E58" w14:textId="77777777" w:rsidR="005E3E4C" w:rsidRDefault="005E3E4C" w:rsidP="005E3E4C">
      <w:pPr>
        <w:jc w:val="both"/>
        <w:rPr>
          <w:rFonts w:asciiTheme="minorHAnsi" w:hAnsiTheme="minorHAnsi" w:cstheme="minorHAnsi"/>
          <w:color w:val="0D0D0D" w:themeColor="text1" w:themeTint="F2"/>
        </w:rPr>
      </w:pPr>
    </w:p>
    <w:p w14:paraId="48843204" w14:textId="77777777" w:rsidR="005E3E4C" w:rsidRDefault="005E3E4C" w:rsidP="005E3E4C">
      <w:pPr>
        <w:jc w:val="both"/>
        <w:rPr>
          <w:rFonts w:asciiTheme="minorHAnsi" w:hAnsiTheme="minorHAnsi" w:cstheme="minorHAnsi"/>
          <w:color w:val="0D0D0D" w:themeColor="text1" w:themeTint="F2"/>
        </w:rPr>
      </w:pPr>
      <w:r>
        <w:rPr>
          <w:noProof/>
          <w:lang w:bidi="ar-SA"/>
        </w:rPr>
        <w:drawing>
          <wp:inline distT="0" distB="0" distL="0" distR="0" wp14:anchorId="7B678732" wp14:editId="4DBA8F36">
            <wp:extent cx="6635750" cy="2705100"/>
            <wp:effectExtent l="0" t="0" r="12700" b="0"/>
            <wp:docPr id="3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127F9A73" w14:textId="119302B4" w:rsidR="005E3E4C" w:rsidRDefault="005E3E4C" w:rsidP="005E3E4C">
      <w:pPr>
        <w:jc w:val="both"/>
        <w:rPr>
          <w:rFonts w:asciiTheme="minorHAnsi" w:hAnsiTheme="minorHAnsi" w:cstheme="minorHAnsi"/>
          <w:color w:val="0D0D0D" w:themeColor="text1" w:themeTint="F2"/>
        </w:rPr>
      </w:pPr>
    </w:p>
    <w:p w14:paraId="4FDB655E" w14:textId="77777777" w:rsidR="00993A8B" w:rsidRDefault="00993A8B" w:rsidP="005E3E4C">
      <w:pPr>
        <w:jc w:val="both"/>
        <w:rPr>
          <w:rFonts w:asciiTheme="minorHAnsi" w:hAnsiTheme="minorHAnsi" w:cstheme="minorHAnsi"/>
          <w:color w:val="0D0D0D" w:themeColor="text1" w:themeTint="F2"/>
        </w:rPr>
      </w:pPr>
    </w:p>
    <w:p w14:paraId="4454DCD5" w14:textId="77777777" w:rsidR="005E3E4C" w:rsidRPr="00FD55C9" w:rsidRDefault="005E3E4C" w:rsidP="005E3E4C">
      <w:pPr>
        <w:pBdr>
          <w:bottom w:val="single" w:sz="4" w:space="1" w:color="auto"/>
        </w:pBdr>
        <w:jc w:val="both"/>
        <w:rPr>
          <w:rFonts w:ascii="Arial" w:hAnsi="Arial" w:cs="Arial"/>
          <w:sz w:val="20"/>
          <w:szCs w:val="20"/>
        </w:rPr>
      </w:pPr>
    </w:p>
    <w:p w14:paraId="06A8B3EB" w14:textId="77777777" w:rsidR="005E3E4C" w:rsidRPr="000C6D26" w:rsidRDefault="005E3E4C" w:rsidP="005E3E4C">
      <w:pPr>
        <w:spacing w:before="240" w:after="120"/>
        <w:jc w:val="both"/>
        <w:rPr>
          <w:rFonts w:asciiTheme="minorHAnsi" w:hAnsiTheme="minorHAnsi" w:cstheme="minorHAnsi"/>
          <w:sz w:val="21"/>
          <w:szCs w:val="21"/>
        </w:rPr>
      </w:pPr>
      <w:r w:rsidRPr="000C6D26">
        <w:rPr>
          <w:rFonts w:asciiTheme="minorHAnsi" w:hAnsiTheme="minorHAnsi" w:cstheme="minorHAnsi"/>
          <w:sz w:val="21"/>
          <w:szCs w:val="21"/>
        </w:rPr>
        <w:t xml:space="preserve">Broker Consulting Index hypotečních úvěrů je analytický nástroj znázorňující průměrnou úrokovou sazbu u hypotečních úvěrů, které zprostředkovali konzultanti Broker Consulting a pobočky OK POINT u kteréhokoli poskytovatele hypotečních úvěrů. Jedná se o vážený aritmetický průměr, kdy hlavní vahou je objem úvěru. Tedy čím vyšší úvěr, tím jeho sazba vstupuje do indexu větší vahou. </w:t>
      </w:r>
      <w:r w:rsidRPr="000C6D26">
        <w:rPr>
          <w:rFonts w:asciiTheme="minorHAnsi" w:hAnsiTheme="minorHAnsi" w:cstheme="minorHAnsi"/>
          <w:b/>
          <w:sz w:val="21"/>
          <w:szCs w:val="21"/>
        </w:rPr>
        <w:t>Výhodou metody výpočtu indexu je skutečnost, že se do statistiky dostávají pouze skutečně schválené úvěry, a to bez výjimky všechny.</w:t>
      </w:r>
      <w:r w:rsidRPr="000C6D26">
        <w:rPr>
          <w:rFonts w:asciiTheme="minorHAnsi" w:hAnsiTheme="minorHAnsi" w:cstheme="minorHAnsi"/>
          <w:sz w:val="21"/>
          <w:szCs w:val="21"/>
        </w:rPr>
        <w:t xml:space="preserve"> Nemůže tak dojít ke zkreslení informací a index není závislý na dodávkách třetích stran. </w:t>
      </w:r>
    </w:p>
    <w:p w14:paraId="110AFE5D" w14:textId="77777777" w:rsidR="005E3E4C" w:rsidRPr="000C6D26" w:rsidRDefault="005E3E4C" w:rsidP="005E3E4C">
      <w:pPr>
        <w:spacing w:after="120"/>
        <w:jc w:val="both"/>
        <w:rPr>
          <w:rFonts w:asciiTheme="minorHAnsi" w:hAnsiTheme="minorHAnsi" w:cstheme="minorHAnsi"/>
          <w:sz w:val="21"/>
          <w:szCs w:val="21"/>
        </w:rPr>
      </w:pPr>
      <w:r w:rsidRPr="000C6D26">
        <w:rPr>
          <w:rFonts w:asciiTheme="minorHAnsi" w:hAnsiTheme="minorHAnsi" w:cstheme="minorHAnsi"/>
          <w:sz w:val="21"/>
          <w:szCs w:val="21"/>
        </w:rPr>
        <w:t xml:space="preserve">V principu se Broker Consulting Index hypotečních úvěrů počítá ze sazeb, které jsou v danou chvíli pro daného klienta nejnižší na trhu, anebo se nejnižší hranici přibližují, neboť klient si vybírá z mnoha možností, které mu trh v danou chvíli nabízí. A většinou si vybírá právě nejnižší sazbu úvěru, který i v jiných parametrech splňuje jejich podmínky. Broker Consulting ročně zprostředkuje úvěry v objemu přesahujícím 13 miliard korun. </w:t>
      </w:r>
    </w:p>
    <w:p w14:paraId="6DCCEDE7" w14:textId="77777777" w:rsidR="005E3E4C" w:rsidRPr="000C6D26" w:rsidRDefault="005E3E4C" w:rsidP="005E3E4C">
      <w:pPr>
        <w:spacing w:after="120"/>
        <w:jc w:val="both"/>
        <w:rPr>
          <w:rFonts w:asciiTheme="minorHAnsi" w:hAnsiTheme="minorHAnsi" w:cstheme="minorHAnsi"/>
          <w:sz w:val="21"/>
          <w:szCs w:val="21"/>
        </w:rPr>
      </w:pPr>
      <w:r w:rsidRPr="000C6D26">
        <w:rPr>
          <w:rFonts w:asciiTheme="minorHAnsi" w:hAnsiTheme="minorHAnsi" w:cstheme="minorHAnsi"/>
          <w:color w:val="000000"/>
          <w:sz w:val="21"/>
          <w:szCs w:val="21"/>
        </w:rPr>
        <w:t>Předstihový ukazatel Broker Consulting Indexu hypotečních úvěrů a jeho výpočet reaguje na potřebu aktuálního výhledu výše sazeb, ve kterém se budou v daném měsíci poskytovat hypoteční úvěry zprostředkovávané od většiny bankovních institucí v tuzemsku. Ve výpočtu jde o aritmetický průměr nabízených úrokových sazeb v konkrétním měsíci, ve kterém se zveřejňují hodnoty Broker Consulting Indexu hypotečních úvěrů. Vzhledem ke statistice preferovaných fixací byla při výpočtu zohledněna pětiletá fixace úrokových sazeb.</w:t>
      </w:r>
    </w:p>
    <w:p w14:paraId="69CFB8FE" w14:textId="77777777" w:rsidR="005E3E4C" w:rsidRPr="000C6D26" w:rsidRDefault="005E3E4C" w:rsidP="005E3E4C">
      <w:pPr>
        <w:pBdr>
          <w:bottom w:val="single" w:sz="4" w:space="1" w:color="auto"/>
        </w:pBdr>
        <w:jc w:val="both"/>
        <w:rPr>
          <w:rFonts w:asciiTheme="minorHAnsi" w:hAnsiTheme="minorHAnsi" w:cstheme="minorHAnsi"/>
          <w:sz w:val="21"/>
          <w:szCs w:val="21"/>
        </w:rPr>
      </w:pPr>
    </w:p>
    <w:p w14:paraId="60F8CEB3" w14:textId="77777777" w:rsidR="005E3E4C" w:rsidRPr="000C6D26" w:rsidRDefault="005E3E4C" w:rsidP="005E3E4C">
      <w:pPr>
        <w:rPr>
          <w:rFonts w:asciiTheme="minorHAnsi" w:hAnsiTheme="minorHAnsi" w:cstheme="minorHAnsi"/>
          <w:b/>
          <w:sz w:val="21"/>
          <w:szCs w:val="21"/>
        </w:rPr>
      </w:pPr>
    </w:p>
    <w:p w14:paraId="441E8E7B" w14:textId="77777777" w:rsidR="005E3E4C" w:rsidRPr="000C6D26" w:rsidRDefault="005E3E4C" w:rsidP="005E3E4C">
      <w:pPr>
        <w:rPr>
          <w:rFonts w:asciiTheme="minorHAnsi" w:hAnsiTheme="minorHAnsi" w:cstheme="minorHAnsi"/>
          <w:sz w:val="21"/>
          <w:szCs w:val="21"/>
        </w:rPr>
      </w:pPr>
      <w:r w:rsidRPr="000C6D26">
        <w:rPr>
          <w:rFonts w:asciiTheme="minorHAnsi" w:hAnsiTheme="minorHAnsi" w:cstheme="minorHAnsi"/>
          <w:b/>
          <w:sz w:val="21"/>
          <w:szCs w:val="21"/>
        </w:rPr>
        <w:t>Poznámka pro média:</w:t>
      </w:r>
      <w:r w:rsidRPr="000C6D26">
        <w:rPr>
          <w:rFonts w:asciiTheme="minorHAnsi" w:hAnsiTheme="minorHAnsi" w:cstheme="minorHAnsi"/>
          <w:sz w:val="21"/>
          <w:szCs w:val="21"/>
        </w:rPr>
        <w:t xml:space="preserve"> </w:t>
      </w:r>
      <w:r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Broker</w:t>
      </w:r>
      <w:r w:rsidRPr="000C6D26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Consulting</w:t>
      </w:r>
      <w:r w:rsidRPr="000C6D26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Indexy</w:t>
      </w:r>
      <w:r w:rsidRPr="000C6D26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je</w:t>
      </w:r>
      <w:r w:rsidRPr="000C6D26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možné</w:t>
      </w:r>
      <w:r w:rsidRPr="000C6D26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volně</w:t>
      </w:r>
      <w:r w:rsidRPr="000C6D26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Pr="000C6D26">
        <w:rPr>
          <w:rFonts w:asciiTheme="minorHAnsi" w:hAnsiTheme="minorHAnsi" w:cstheme="minorHAnsi"/>
          <w:color w:val="1D1D1B"/>
          <w:spacing w:val="2"/>
          <w:w w:val="105"/>
          <w:sz w:val="21"/>
          <w:szCs w:val="21"/>
        </w:rPr>
        <w:t>publikovat</w:t>
      </w:r>
      <w:r w:rsidRPr="000C6D26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pouze</w:t>
      </w:r>
      <w:r w:rsidRPr="000C6D26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s</w:t>
      </w:r>
      <w:r w:rsidRPr="000C6D26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označením</w:t>
      </w:r>
      <w:r w:rsidRPr="000C6D26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„Broker</w:t>
      </w:r>
      <w:r w:rsidRPr="000C6D26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Consulting</w:t>
      </w:r>
      <w:r w:rsidRPr="000C6D26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Pr="000C6D26">
        <w:rPr>
          <w:rFonts w:asciiTheme="minorHAnsi" w:hAnsiTheme="minorHAnsi" w:cstheme="minorHAnsi"/>
          <w:color w:val="1D1D1B"/>
          <w:w w:val="105"/>
          <w:sz w:val="21"/>
          <w:szCs w:val="21"/>
        </w:rPr>
        <w:t>Index“</w:t>
      </w:r>
      <w:r w:rsidRPr="000C6D26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Pr="000C6D26">
        <w:rPr>
          <w:rFonts w:asciiTheme="minorHAnsi" w:hAnsiTheme="minorHAnsi" w:cstheme="minorHAnsi"/>
          <w:color w:val="1D1D1B"/>
          <w:spacing w:val="-3"/>
          <w:w w:val="105"/>
          <w:sz w:val="21"/>
          <w:szCs w:val="21"/>
        </w:rPr>
        <w:t>(</w:t>
      </w:r>
      <w:r w:rsidRPr="000C6D26">
        <w:rPr>
          <w:rFonts w:asciiTheme="minorHAnsi" w:hAnsiTheme="minorHAnsi" w:cstheme="minorHAnsi"/>
          <w:i/>
          <w:color w:val="1D1D1B"/>
          <w:spacing w:val="-3"/>
          <w:w w:val="105"/>
          <w:sz w:val="21"/>
          <w:szCs w:val="21"/>
        </w:rPr>
        <w:t>např.</w:t>
      </w:r>
      <w:r w:rsidRPr="000C6D26">
        <w:rPr>
          <w:rFonts w:asciiTheme="minorHAnsi" w:hAnsiTheme="minorHAnsi" w:cstheme="minorHAnsi"/>
          <w:i/>
          <w:color w:val="1D1D1B"/>
          <w:spacing w:val="-8"/>
          <w:w w:val="105"/>
          <w:sz w:val="21"/>
          <w:szCs w:val="21"/>
        </w:rPr>
        <w:t xml:space="preserve"> </w:t>
      </w:r>
      <w:r w:rsidRPr="000C6D26"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  <w:t>Broker</w:t>
      </w:r>
      <w:r w:rsidRPr="000C6D26">
        <w:rPr>
          <w:rFonts w:asciiTheme="minorHAnsi" w:hAnsiTheme="minorHAnsi" w:cstheme="minorHAnsi"/>
          <w:i/>
          <w:color w:val="1D1D1B"/>
          <w:spacing w:val="-9"/>
          <w:w w:val="105"/>
          <w:sz w:val="21"/>
          <w:szCs w:val="21"/>
        </w:rPr>
        <w:t xml:space="preserve"> </w:t>
      </w:r>
      <w:r w:rsidRPr="000C6D26"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  <w:t>Consulting</w:t>
      </w:r>
      <w:r w:rsidRPr="000C6D26">
        <w:rPr>
          <w:rFonts w:asciiTheme="minorHAnsi" w:hAnsiTheme="minorHAnsi" w:cstheme="minorHAnsi"/>
          <w:i/>
          <w:color w:val="1D1D1B"/>
          <w:spacing w:val="-8"/>
          <w:w w:val="105"/>
          <w:sz w:val="21"/>
          <w:szCs w:val="21"/>
        </w:rPr>
        <w:t xml:space="preserve"> </w:t>
      </w:r>
      <w:r w:rsidRPr="000C6D26"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  <w:t xml:space="preserve">index hypotečních úvěrů). Více informací najdete též na webu </w:t>
      </w:r>
      <w:r w:rsidRPr="000C6D26">
        <w:rPr>
          <w:rStyle w:val="Hypertextovodkaz"/>
          <w:rFonts w:asciiTheme="minorHAnsi" w:hAnsiTheme="minorHAnsi" w:cstheme="minorHAnsi"/>
          <w:i/>
          <w:w w:val="105"/>
          <w:sz w:val="21"/>
          <w:szCs w:val="21"/>
        </w:rPr>
        <w:t>https://www.bcas.cz/onas/pro-media/</w:t>
      </w:r>
      <w:r w:rsidRPr="000C6D26"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  <w:t xml:space="preserve">. </w:t>
      </w:r>
    </w:p>
    <w:p w14:paraId="634CDC46" w14:textId="77777777" w:rsidR="005E3E4C" w:rsidRPr="002F5550" w:rsidRDefault="005E3E4C" w:rsidP="005E3E4C">
      <w:pPr>
        <w:jc w:val="both"/>
        <w:rPr>
          <w:rFonts w:asciiTheme="minorHAnsi" w:eastAsia="Calibri" w:hAnsiTheme="minorHAnsi" w:cstheme="minorHAnsi"/>
          <w:b/>
          <w:bCs/>
          <w:noProof/>
        </w:rPr>
      </w:pPr>
    </w:p>
    <w:p w14:paraId="16AB503C" w14:textId="77777777" w:rsidR="005E3E4C" w:rsidRPr="000C6D26" w:rsidRDefault="005E3E4C" w:rsidP="005E3E4C">
      <w:pPr>
        <w:rPr>
          <w:rFonts w:asciiTheme="minorHAnsi" w:eastAsia="Calibri" w:hAnsiTheme="minorHAnsi" w:cstheme="minorHAnsi"/>
          <w:b/>
          <w:bCs/>
          <w:noProof/>
          <w:sz w:val="21"/>
          <w:szCs w:val="21"/>
        </w:rPr>
      </w:pPr>
      <w:r w:rsidRPr="000C6D26">
        <w:rPr>
          <w:rFonts w:asciiTheme="minorHAnsi" w:eastAsia="Calibri" w:hAnsiTheme="minorHAnsi" w:cstheme="minorHAnsi"/>
          <w:b/>
          <w:bCs/>
          <w:noProof/>
          <w:sz w:val="21"/>
          <w:szCs w:val="21"/>
        </w:rPr>
        <w:t>Kontakt pro média:</w:t>
      </w:r>
    </w:p>
    <w:p w14:paraId="4531C95D" w14:textId="77777777" w:rsidR="005E3E4C" w:rsidRPr="000C6D26" w:rsidRDefault="005E3E4C" w:rsidP="005E3E4C">
      <w:pPr>
        <w:spacing w:after="60"/>
        <w:rPr>
          <w:rFonts w:asciiTheme="minorHAnsi" w:eastAsia="Calibri" w:hAnsiTheme="minorHAnsi" w:cstheme="minorHAnsi"/>
          <w:bCs/>
          <w:noProof/>
          <w:sz w:val="21"/>
          <w:szCs w:val="21"/>
          <w:lang w:bidi="ar-SA"/>
        </w:rPr>
      </w:pPr>
      <w:r w:rsidRPr="000C6D26">
        <w:rPr>
          <w:rFonts w:asciiTheme="minorHAnsi" w:eastAsia="Calibri" w:hAnsiTheme="minorHAnsi" w:cstheme="minorHAnsi"/>
          <w:bCs/>
          <w:noProof/>
          <w:sz w:val="21"/>
          <w:szCs w:val="21"/>
        </w:rPr>
        <w:t>Michaela Sahulová</w:t>
      </w:r>
    </w:p>
    <w:p w14:paraId="2206DE23" w14:textId="77777777" w:rsidR="005E3E4C" w:rsidRPr="000C6D26" w:rsidRDefault="005E3E4C" w:rsidP="005E3E4C">
      <w:pPr>
        <w:pStyle w:val="Bezmezer"/>
        <w:rPr>
          <w:rFonts w:eastAsia="Calibri" w:cstheme="minorHAnsi"/>
          <w:noProof/>
          <w:sz w:val="21"/>
          <w:szCs w:val="21"/>
        </w:rPr>
      </w:pPr>
      <w:r w:rsidRPr="000C6D26">
        <w:rPr>
          <w:rFonts w:eastAsia="Calibri" w:cstheme="minorHAnsi"/>
          <w:noProof/>
          <w:sz w:val="21"/>
          <w:szCs w:val="21"/>
        </w:rPr>
        <w:t>Specialistka PR a externí komunikace</w:t>
      </w:r>
    </w:p>
    <w:p w14:paraId="7C84A706" w14:textId="77777777" w:rsidR="005E3E4C" w:rsidRPr="000C6D26" w:rsidRDefault="005E3E4C" w:rsidP="005E3E4C">
      <w:pPr>
        <w:rPr>
          <w:rFonts w:asciiTheme="minorHAnsi" w:eastAsiaTheme="minorEastAsia" w:hAnsiTheme="minorHAnsi" w:cstheme="minorHAnsi"/>
          <w:noProof/>
          <w:color w:val="000000" w:themeColor="text1"/>
          <w:sz w:val="21"/>
          <w:szCs w:val="21"/>
          <w:lang w:bidi="ar-SA"/>
        </w:rPr>
      </w:pPr>
      <w:r w:rsidRPr="000C6D26">
        <w:rPr>
          <w:rFonts w:asciiTheme="minorHAnsi" w:eastAsiaTheme="minorEastAsia" w:hAnsiTheme="minorHAnsi" w:cstheme="minorHAnsi"/>
          <w:noProof/>
          <w:color w:val="000000" w:themeColor="text1"/>
          <w:sz w:val="21"/>
          <w:szCs w:val="21"/>
        </w:rPr>
        <w:t>tel.: +420 731 538 373</w:t>
      </w:r>
    </w:p>
    <w:p w14:paraId="080887DF" w14:textId="77777777" w:rsidR="005E3E4C" w:rsidRPr="000C6D26" w:rsidRDefault="005E3E4C" w:rsidP="005E3E4C">
      <w:pPr>
        <w:rPr>
          <w:rFonts w:asciiTheme="minorHAnsi" w:eastAsia="Calibri" w:hAnsiTheme="minorHAnsi" w:cstheme="minorHAnsi"/>
          <w:noProof/>
          <w:sz w:val="21"/>
          <w:szCs w:val="21"/>
        </w:rPr>
      </w:pPr>
      <w:r w:rsidRPr="000C6D26">
        <w:rPr>
          <w:rFonts w:asciiTheme="minorHAnsi" w:eastAsia="Calibri" w:hAnsiTheme="minorHAnsi" w:cstheme="minorHAnsi"/>
          <w:noProof/>
          <w:sz w:val="21"/>
          <w:szCs w:val="21"/>
        </w:rPr>
        <w:t xml:space="preserve">E-mail: </w:t>
      </w:r>
      <w:hyperlink r:id="rId26" w:history="1">
        <w:r w:rsidRPr="000C6D26">
          <w:rPr>
            <w:rStyle w:val="Hypertextovodkaz"/>
            <w:rFonts w:asciiTheme="minorHAnsi" w:eastAsia="Calibri" w:hAnsiTheme="minorHAnsi" w:cstheme="minorHAnsi"/>
            <w:noProof/>
            <w:sz w:val="21"/>
            <w:szCs w:val="21"/>
          </w:rPr>
          <w:t>michaela.sahulova@bcas.cz</w:t>
        </w:r>
      </w:hyperlink>
      <w:r w:rsidRPr="000C6D26">
        <w:rPr>
          <w:rFonts w:asciiTheme="minorHAnsi" w:eastAsia="Calibri" w:hAnsiTheme="minorHAnsi" w:cstheme="minorHAnsi"/>
          <w:noProof/>
          <w:sz w:val="21"/>
          <w:szCs w:val="21"/>
        </w:rPr>
        <w:t xml:space="preserve"> </w:t>
      </w:r>
    </w:p>
    <w:p w14:paraId="4A511EB3" w14:textId="77777777" w:rsidR="005E3E4C" w:rsidRPr="0073009C" w:rsidRDefault="005E3E4C" w:rsidP="005E3E4C">
      <w:pPr>
        <w:rPr>
          <w:rFonts w:ascii="Arial" w:eastAsia="Calibri" w:hAnsi="Arial" w:cs="Arial"/>
          <w:bCs/>
          <w:noProof/>
          <w:sz w:val="18"/>
          <w:szCs w:val="18"/>
        </w:rPr>
      </w:pPr>
    </w:p>
    <w:p w14:paraId="251384B5" w14:textId="77777777" w:rsidR="005E3E4C" w:rsidRPr="008E1326" w:rsidRDefault="005E3E4C" w:rsidP="005E3E4C">
      <w:pPr>
        <w:jc w:val="both"/>
        <w:rPr>
          <w:rFonts w:asciiTheme="minorHAnsi" w:hAnsiTheme="minorHAnsi" w:cstheme="minorHAnsi"/>
          <w:color w:val="0D0D0D" w:themeColor="text1" w:themeTint="F2"/>
        </w:rPr>
      </w:pPr>
    </w:p>
    <w:p w14:paraId="78D6D8C2" w14:textId="77777777" w:rsidR="005E3E4C" w:rsidRDefault="005E3E4C" w:rsidP="005E3E4C">
      <w:pPr>
        <w:pStyle w:val="Normlnweb"/>
        <w:spacing w:before="180" w:beforeAutospacing="0" w:after="0" w:afterAutospacing="0"/>
        <w:rPr>
          <w:rFonts w:ascii="Segoe UI" w:hAnsi="Segoe UI" w:cs="Segoe UI"/>
          <w:color w:val="172B4D"/>
          <w:sz w:val="21"/>
          <w:szCs w:val="21"/>
        </w:rPr>
      </w:pPr>
    </w:p>
    <w:p w14:paraId="654695D7" w14:textId="77777777" w:rsidR="005E3E4C" w:rsidRPr="00336571" w:rsidRDefault="005E3E4C" w:rsidP="005E3E4C"/>
    <w:p w14:paraId="5FEF539D" w14:textId="77777777" w:rsidR="005E3E4C" w:rsidRDefault="005E3E4C" w:rsidP="005E3E4C"/>
    <w:p w14:paraId="025F1B2F" w14:textId="70837378" w:rsidR="00D60D98" w:rsidRPr="002B2A94" w:rsidRDefault="00D60D98" w:rsidP="005E3E4C">
      <w:pPr>
        <w:spacing w:after="240"/>
        <w:jc w:val="center"/>
        <w:rPr>
          <w:rFonts w:ascii="Arial" w:eastAsia="Calibri" w:hAnsi="Arial" w:cs="Arial"/>
          <w:b/>
          <w:bCs/>
          <w:noProof/>
          <w:sz w:val="18"/>
          <w:szCs w:val="18"/>
          <w:lang w:bidi="ar-SA"/>
        </w:rPr>
      </w:pPr>
    </w:p>
    <w:sectPr w:rsidR="00D60D98" w:rsidRPr="002B2A94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E54354" w14:textId="77777777" w:rsidR="005235C5" w:rsidRDefault="005235C5">
      <w:r>
        <w:separator/>
      </w:r>
    </w:p>
  </w:endnote>
  <w:endnote w:type="continuationSeparator" w:id="0">
    <w:p w14:paraId="0F7C6ABA" w14:textId="77777777" w:rsidR="005235C5" w:rsidRDefault="005235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5235C5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4E0EEC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5235C5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4E0EEC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5235C5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4E0EEC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3B69AD" w14:textId="77777777" w:rsidR="005235C5" w:rsidRDefault="005235C5">
      <w:r>
        <w:separator/>
      </w:r>
    </w:p>
  </w:footnote>
  <w:footnote w:type="continuationSeparator" w:id="0">
    <w:p w14:paraId="1519DB29" w14:textId="77777777" w:rsidR="005235C5" w:rsidRDefault="005235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7443AD" w:rsidRDefault="00D80B6D" w:rsidP="00E95698">
    <w:pPr>
      <w:tabs>
        <w:tab w:val="left" w:pos="8633"/>
      </w:tabs>
      <w:spacing w:before="80"/>
      <w:ind w:firstLine="2880"/>
      <w:rPr>
        <w:rFonts w:asciiTheme="minorHAnsi" w:hAnsiTheme="minorHAnsi" w:cstheme="minorHAnsi"/>
        <w:sz w:val="52"/>
      </w:rPr>
    </w:pPr>
    <w:r w:rsidRPr="007443AD">
      <w:rPr>
        <w:rFonts w:asciiTheme="minorHAnsi" w:hAnsiTheme="minorHAnsi" w:cstheme="minorHAnsi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7443AD">
      <w:rPr>
        <w:rFonts w:asciiTheme="minorHAnsi" w:hAnsiTheme="minorHAnsi" w:cstheme="minorHAnsi"/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443AD">
      <w:rPr>
        <w:rFonts w:asciiTheme="minorHAnsi" w:hAnsiTheme="minorHAnsi" w:cstheme="minorHAnsi"/>
        <w:color w:val="1D1D1B"/>
        <w:sz w:val="48"/>
      </w:rPr>
      <w:t xml:space="preserve">BROKER CONSULTING </w:t>
    </w:r>
    <w:r w:rsidRPr="007443AD">
      <w:rPr>
        <w:rFonts w:asciiTheme="minorHAnsi" w:hAnsiTheme="minorHAnsi" w:cstheme="minorHAnsi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77777777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43C085E5" w14:textId="62CDD8CE" w:rsidR="000F4B6C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HYPOTEČNÍCH ÚVĚRŮ &amp; FIXINDEX</w:t>
    </w:r>
  </w:p>
  <w:p w14:paraId="0E033147" w14:textId="77777777" w:rsidR="00D40C89" w:rsidRPr="00D40C89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7443AD" w:rsidRDefault="009F59EE" w:rsidP="009F59EE">
    <w:pPr>
      <w:pStyle w:val="Nadpis2"/>
      <w:ind w:left="1440" w:firstLine="720"/>
      <w:rPr>
        <w:rFonts w:asciiTheme="minorHAnsi" w:hAnsiTheme="minorHAnsi" w:cstheme="minorHAnsi"/>
      </w:rPr>
    </w:pPr>
    <w:r w:rsidRPr="007443AD">
      <w:rPr>
        <w:rFonts w:asciiTheme="minorHAnsi" w:hAnsiTheme="minorHAnsi" w:cstheme="minorHAnsi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7443AD">
      <w:rPr>
        <w:rFonts w:asciiTheme="minorHAnsi" w:hAnsiTheme="minorHAnsi" w:cstheme="minorHAnsi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443AD">
      <w:rPr>
        <w:rFonts w:asciiTheme="minorHAnsi" w:hAnsiTheme="minorHAnsi" w:cstheme="minorHAnsi"/>
        <w:color w:val="1D1D1B"/>
      </w:rPr>
      <w:t>BROKER CONSULTING</w:t>
    </w:r>
  </w:p>
  <w:p w14:paraId="3FF270D6" w14:textId="6799F236" w:rsidR="00D40C89" w:rsidRPr="007443AD" w:rsidRDefault="009F59EE" w:rsidP="00D40C89">
    <w:pPr>
      <w:spacing w:before="85"/>
      <w:ind w:left="1440" w:firstLine="720"/>
      <w:rPr>
        <w:rFonts w:asciiTheme="minorHAnsi" w:hAnsiTheme="minorHAnsi" w:cstheme="minorHAnsi"/>
        <w:color w:val="E52713"/>
        <w:sz w:val="28"/>
        <w:szCs w:val="28"/>
      </w:rPr>
    </w:pPr>
    <w:r w:rsidRPr="007443AD">
      <w:rPr>
        <w:rFonts w:asciiTheme="minorHAnsi" w:hAnsiTheme="minorHAnsi" w:cstheme="minorHAnsi"/>
        <w:color w:val="E52713"/>
        <w:sz w:val="28"/>
        <w:szCs w:val="28"/>
      </w:rPr>
      <w:t xml:space="preserve">INDEX </w:t>
    </w:r>
    <w:r w:rsidR="002A1185" w:rsidRPr="007443AD">
      <w:rPr>
        <w:rFonts w:asciiTheme="minorHAnsi" w:hAnsiTheme="minorHAnsi" w:cstheme="minorHAnsi"/>
        <w:color w:val="E52713"/>
        <w:sz w:val="28"/>
        <w:szCs w:val="28"/>
      </w:rPr>
      <w:t>HYPOTEČNÍCH ÚVĚRŮ</w:t>
    </w:r>
    <w:r w:rsidR="00D40C89" w:rsidRPr="007443AD">
      <w:rPr>
        <w:rFonts w:asciiTheme="minorHAnsi" w:hAnsiTheme="minorHAnsi" w:cstheme="minorHAnsi"/>
        <w:color w:val="E52713"/>
        <w:sz w:val="28"/>
        <w:szCs w:val="28"/>
      </w:rPr>
      <w:t xml:space="preserve"> &amp; FIXINDEX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1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E63C89"/>
    <w:multiLevelType w:val="hybridMultilevel"/>
    <w:tmpl w:val="03AAFAE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0306F"/>
    <w:rsid w:val="00004919"/>
    <w:rsid w:val="00005B61"/>
    <w:rsid w:val="00011DF6"/>
    <w:rsid w:val="00014FB5"/>
    <w:rsid w:val="00020EC7"/>
    <w:rsid w:val="0002230E"/>
    <w:rsid w:val="000226F3"/>
    <w:rsid w:val="00026F23"/>
    <w:rsid w:val="000277AC"/>
    <w:rsid w:val="00027C83"/>
    <w:rsid w:val="0003028F"/>
    <w:rsid w:val="00030E97"/>
    <w:rsid w:val="00032D94"/>
    <w:rsid w:val="00033FD7"/>
    <w:rsid w:val="000374D7"/>
    <w:rsid w:val="00037DAF"/>
    <w:rsid w:val="000400E4"/>
    <w:rsid w:val="000412FA"/>
    <w:rsid w:val="0004477D"/>
    <w:rsid w:val="00044EC5"/>
    <w:rsid w:val="00045D86"/>
    <w:rsid w:val="00046AF6"/>
    <w:rsid w:val="0004776E"/>
    <w:rsid w:val="0005423A"/>
    <w:rsid w:val="00057F54"/>
    <w:rsid w:val="000611E3"/>
    <w:rsid w:val="00061BF6"/>
    <w:rsid w:val="00070652"/>
    <w:rsid w:val="000766E7"/>
    <w:rsid w:val="00080E7A"/>
    <w:rsid w:val="00081616"/>
    <w:rsid w:val="000823D3"/>
    <w:rsid w:val="00082D29"/>
    <w:rsid w:val="0008331F"/>
    <w:rsid w:val="000845CA"/>
    <w:rsid w:val="000851AC"/>
    <w:rsid w:val="000853D4"/>
    <w:rsid w:val="00092AEE"/>
    <w:rsid w:val="00092BB7"/>
    <w:rsid w:val="00092C6B"/>
    <w:rsid w:val="00094C16"/>
    <w:rsid w:val="00096425"/>
    <w:rsid w:val="0009776B"/>
    <w:rsid w:val="000A080B"/>
    <w:rsid w:val="000B187C"/>
    <w:rsid w:val="000B6DD9"/>
    <w:rsid w:val="000C181E"/>
    <w:rsid w:val="000C2DA6"/>
    <w:rsid w:val="000C5541"/>
    <w:rsid w:val="000C6D26"/>
    <w:rsid w:val="000C7564"/>
    <w:rsid w:val="000D14E2"/>
    <w:rsid w:val="000D2CFC"/>
    <w:rsid w:val="000D4AFB"/>
    <w:rsid w:val="000D7158"/>
    <w:rsid w:val="000E01C2"/>
    <w:rsid w:val="000E19B2"/>
    <w:rsid w:val="000E2A79"/>
    <w:rsid w:val="000E3D86"/>
    <w:rsid w:val="000E568C"/>
    <w:rsid w:val="000E5D32"/>
    <w:rsid w:val="000E6E14"/>
    <w:rsid w:val="000F4B6C"/>
    <w:rsid w:val="000F50BC"/>
    <w:rsid w:val="000F6249"/>
    <w:rsid w:val="00103109"/>
    <w:rsid w:val="00106E26"/>
    <w:rsid w:val="001117DE"/>
    <w:rsid w:val="00111C28"/>
    <w:rsid w:val="00113603"/>
    <w:rsid w:val="001153E3"/>
    <w:rsid w:val="00117AE4"/>
    <w:rsid w:val="00120113"/>
    <w:rsid w:val="001214E7"/>
    <w:rsid w:val="00122CEB"/>
    <w:rsid w:val="0012361F"/>
    <w:rsid w:val="00125B97"/>
    <w:rsid w:val="0012657A"/>
    <w:rsid w:val="00126BEC"/>
    <w:rsid w:val="00127234"/>
    <w:rsid w:val="0013044E"/>
    <w:rsid w:val="00131A69"/>
    <w:rsid w:val="001327CE"/>
    <w:rsid w:val="00136D8D"/>
    <w:rsid w:val="00137003"/>
    <w:rsid w:val="0013717C"/>
    <w:rsid w:val="00140987"/>
    <w:rsid w:val="00145622"/>
    <w:rsid w:val="001524FB"/>
    <w:rsid w:val="00154AC2"/>
    <w:rsid w:val="00156082"/>
    <w:rsid w:val="00160686"/>
    <w:rsid w:val="00160E1C"/>
    <w:rsid w:val="00161352"/>
    <w:rsid w:val="00161830"/>
    <w:rsid w:val="001620E3"/>
    <w:rsid w:val="00162D8E"/>
    <w:rsid w:val="0016482C"/>
    <w:rsid w:val="001675AF"/>
    <w:rsid w:val="0016771F"/>
    <w:rsid w:val="00174317"/>
    <w:rsid w:val="00175545"/>
    <w:rsid w:val="001767A5"/>
    <w:rsid w:val="00177C18"/>
    <w:rsid w:val="00182A92"/>
    <w:rsid w:val="00192716"/>
    <w:rsid w:val="00194831"/>
    <w:rsid w:val="00194B5D"/>
    <w:rsid w:val="001A0A5C"/>
    <w:rsid w:val="001A1A56"/>
    <w:rsid w:val="001A2D08"/>
    <w:rsid w:val="001A54DD"/>
    <w:rsid w:val="001A5AC8"/>
    <w:rsid w:val="001A61A5"/>
    <w:rsid w:val="001A7D2F"/>
    <w:rsid w:val="001B1E41"/>
    <w:rsid w:val="001B2A07"/>
    <w:rsid w:val="001B3B31"/>
    <w:rsid w:val="001B4F4B"/>
    <w:rsid w:val="001B501B"/>
    <w:rsid w:val="001B58E7"/>
    <w:rsid w:val="001B7936"/>
    <w:rsid w:val="001D015A"/>
    <w:rsid w:val="001D30C7"/>
    <w:rsid w:val="001D33FA"/>
    <w:rsid w:val="001D3DFC"/>
    <w:rsid w:val="001D45F5"/>
    <w:rsid w:val="001D5EFC"/>
    <w:rsid w:val="001E02C2"/>
    <w:rsid w:val="001E1597"/>
    <w:rsid w:val="001E4209"/>
    <w:rsid w:val="001F1D14"/>
    <w:rsid w:val="001F2399"/>
    <w:rsid w:val="001F7194"/>
    <w:rsid w:val="001F71BA"/>
    <w:rsid w:val="001F7577"/>
    <w:rsid w:val="002019F3"/>
    <w:rsid w:val="0020207A"/>
    <w:rsid w:val="00202F22"/>
    <w:rsid w:val="00203BD4"/>
    <w:rsid w:val="00206E92"/>
    <w:rsid w:val="00207D22"/>
    <w:rsid w:val="00212C2E"/>
    <w:rsid w:val="0021395D"/>
    <w:rsid w:val="002141AF"/>
    <w:rsid w:val="00216B81"/>
    <w:rsid w:val="00216F2E"/>
    <w:rsid w:val="00217E92"/>
    <w:rsid w:val="00220529"/>
    <w:rsid w:val="002220C9"/>
    <w:rsid w:val="00223FFD"/>
    <w:rsid w:val="00224AF1"/>
    <w:rsid w:val="00224E6E"/>
    <w:rsid w:val="00225CEC"/>
    <w:rsid w:val="00225D70"/>
    <w:rsid w:val="00232B0D"/>
    <w:rsid w:val="00233BF3"/>
    <w:rsid w:val="002368F3"/>
    <w:rsid w:val="00236A37"/>
    <w:rsid w:val="00241313"/>
    <w:rsid w:val="00241AA2"/>
    <w:rsid w:val="0024212A"/>
    <w:rsid w:val="0025080B"/>
    <w:rsid w:val="0025183C"/>
    <w:rsid w:val="00251F32"/>
    <w:rsid w:val="0025264B"/>
    <w:rsid w:val="00253C9E"/>
    <w:rsid w:val="0025428A"/>
    <w:rsid w:val="002555D2"/>
    <w:rsid w:val="00257978"/>
    <w:rsid w:val="002619DC"/>
    <w:rsid w:val="002676E8"/>
    <w:rsid w:val="00270B59"/>
    <w:rsid w:val="00270DB3"/>
    <w:rsid w:val="002717C9"/>
    <w:rsid w:val="0027235F"/>
    <w:rsid w:val="0027691A"/>
    <w:rsid w:val="00277D20"/>
    <w:rsid w:val="00280730"/>
    <w:rsid w:val="0028081F"/>
    <w:rsid w:val="00281C61"/>
    <w:rsid w:val="00285767"/>
    <w:rsid w:val="0028607C"/>
    <w:rsid w:val="002863CE"/>
    <w:rsid w:val="002961B5"/>
    <w:rsid w:val="00296B24"/>
    <w:rsid w:val="002A1185"/>
    <w:rsid w:val="002A498A"/>
    <w:rsid w:val="002A61B7"/>
    <w:rsid w:val="002B01AF"/>
    <w:rsid w:val="002B094E"/>
    <w:rsid w:val="002B1E20"/>
    <w:rsid w:val="002B2A94"/>
    <w:rsid w:val="002B3C6D"/>
    <w:rsid w:val="002B4919"/>
    <w:rsid w:val="002B4B98"/>
    <w:rsid w:val="002B6F4E"/>
    <w:rsid w:val="002B7650"/>
    <w:rsid w:val="002C0E94"/>
    <w:rsid w:val="002C6C42"/>
    <w:rsid w:val="002C7D70"/>
    <w:rsid w:val="002D23B9"/>
    <w:rsid w:val="002D3534"/>
    <w:rsid w:val="002D49F7"/>
    <w:rsid w:val="002D64A2"/>
    <w:rsid w:val="002E0400"/>
    <w:rsid w:val="002E1A01"/>
    <w:rsid w:val="002E6173"/>
    <w:rsid w:val="002E6DB6"/>
    <w:rsid w:val="002F002B"/>
    <w:rsid w:val="002F46B0"/>
    <w:rsid w:val="002F485A"/>
    <w:rsid w:val="002F5550"/>
    <w:rsid w:val="002F62C4"/>
    <w:rsid w:val="002F7EC2"/>
    <w:rsid w:val="003015E0"/>
    <w:rsid w:val="0030207B"/>
    <w:rsid w:val="00303778"/>
    <w:rsid w:val="00303A6E"/>
    <w:rsid w:val="0030751A"/>
    <w:rsid w:val="00307CF8"/>
    <w:rsid w:val="00307E95"/>
    <w:rsid w:val="00307FEB"/>
    <w:rsid w:val="003128F8"/>
    <w:rsid w:val="00313D42"/>
    <w:rsid w:val="00317009"/>
    <w:rsid w:val="00322E5E"/>
    <w:rsid w:val="003243A6"/>
    <w:rsid w:val="003247B0"/>
    <w:rsid w:val="0032734F"/>
    <w:rsid w:val="00330918"/>
    <w:rsid w:val="003310D8"/>
    <w:rsid w:val="0033296E"/>
    <w:rsid w:val="003337A9"/>
    <w:rsid w:val="0033431C"/>
    <w:rsid w:val="0033488F"/>
    <w:rsid w:val="00340E70"/>
    <w:rsid w:val="00342F85"/>
    <w:rsid w:val="00347557"/>
    <w:rsid w:val="00352435"/>
    <w:rsid w:val="003529EF"/>
    <w:rsid w:val="00355366"/>
    <w:rsid w:val="003555BB"/>
    <w:rsid w:val="003629B6"/>
    <w:rsid w:val="003640C8"/>
    <w:rsid w:val="00371225"/>
    <w:rsid w:val="003721AD"/>
    <w:rsid w:val="00376086"/>
    <w:rsid w:val="003761D9"/>
    <w:rsid w:val="00380608"/>
    <w:rsid w:val="00380E0A"/>
    <w:rsid w:val="00382546"/>
    <w:rsid w:val="00382EAD"/>
    <w:rsid w:val="00383DC5"/>
    <w:rsid w:val="00385EED"/>
    <w:rsid w:val="00390B58"/>
    <w:rsid w:val="00395F41"/>
    <w:rsid w:val="003967DF"/>
    <w:rsid w:val="003A291C"/>
    <w:rsid w:val="003A3DE2"/>
    <w:rsid w:val="003A4860"/>
    <w:rsid w:val="003A4D47"/>
    <w:rsid w:val="003A6435"/>
    <w:rsid w:val="003A7D32"/>
    <w:rsid w:val="003B0E4F"/>
    <w:rsid w:val="003B1966"/>
    <w:rsid w:val="003B5B25"/>
    <w:rsid w:val="003B60CA"/>
    <w:rsid w:val="003C0CBE"/>
    <w:rsid w:val="003C1344"/>
    <w:rsid w:val="003C3421"/>
    <w:rsid w:val="003C5D0A"/>
    <w:rsid w:val="003D1987"/>
    <w:rsid w:val="003D3AE8"/>
    <w:rsid w:val="003D69A7"/>
    <w:rsid w:val="003E1308"/>
    <w:rsid w:val="003E3B57"/>
    <w:rsid w:val="003F07E8"/>
    <w:rsid w:val="003F79EC"/>
    <w:rsid w:val="00400129"/>
    <w:rsid w:val="00400A5A"/>
    <w:rsid w:val="00407AE9"/>
    <w:rsid w:val="004120C7"/>
    <w:rsid w:val="0042193A"/>
    <w:rsid w:val="004267DE"/>
    <w:rsid w:val="00430ABD"/>
    <w:rsid w:val="00431631"/>
    <w:rsid w:val="00432FD5"/>
    <w:rsid w:val="00434C5D"/>
    <w:rsid w:val="00435115"/>
    <w:rsid w:val="00441028"/>
    <w:rsid w:val="00444432"/>
    <w:rsid w:val="00445D0A"/>
    <w:rsid w:val="00450DBC"/>
    <w:rsid w:val="00451B7B"/>
    <w:rsid w:val="004540ED"/>
    <w:rsid w:val="00454843"/>
    <w:rsid w:val="004564BC"/>
    <w:rsid w:val="004565C7"/>
    <w:rsid w:val="004627B9"/>
    <w:rsid w:val="00465E53"/>
    <w:rsid w:val="00466329"/>
    <w:rsid w:val="00473219"/>
    <w:rsid w:val="00477DCC"/>
    <w:rsid w:val="00477FFA"/>
    <w:rsid w:val="00481D66"/>
    <w:rsid w:val="00487B6B"/>
    <w:rsid w:val="004919CC"/>
    <w:rsid w:val="004928CB"/>
    <w:rsid w:val="00492941"/>
    <w:rsid w:val="00495AFF"/>
    <w:rsid w:val="00495E14"/>
    <w:rsid w:val="004A3439"/>
    <w:rsid w:val="004B5104"/>
    <w:rsid w:val="004B5797"/>
    <w:rsid w:val="004B5B94"/>
    <w:rsid w:val="004B6304"/>
    <w:rsid w:val="004B64B3"/>
    <w:rsid w:val="004B6AF3"/>
    <w:rsid w:val="004C0179"/>
    <w:rsid w:val="004C0CEF"/>
    <w:rsid w:val="004C0D41"/>
    <w:rsid w:val="004C3F71"/>
    <w:rsid w:val="004C61F5"/>
    <w:rsid w:val="004D14C1"/>
    <w:rsid w:val="004D2C46"/>
    <w:rsid w:val="004D3578"/>
    <w:rsid w:val="004D4D9F"/>
    <w:rsid w:val="004E0EEC"/>
    <w:rsid w:val="004E2983"/>
    <w:rsid w:val="004E3BA4"/>
    <w:rsid w:val="004E4E9F"/>
    <w:rsid w:val="004E67DB"/>
    <w:rsid w:val="004F1934"/>
    <w:rsid w:val="004F1E84"/>
    <w:rsid w:val="005042D1"/>
    <w:rsid w:val="00506098"/>
    <w:rsid w:val="00506161"/>
    <w:rsid w:val="0050659B"/>
    <w:rsid w:val="00506889"/>
    <w:rsid w:val="00512D6B"/>
    <w:rsid w:val="00512FF6"/>
    <w:rsid w:val="005153F7"/>
    <w:rsid w:val="0052216B"/>
    <w:rsid w:val="005224C1"/>
    <w:rsid w:val="0052338B"/>
    <w:rsid w:val="005235C5"/>
    <w:rsid w:val="00523D4C"/>
    <w:rsid w:val="005275F9"/>
    <w:rsid w:val="0053153F"/>
    <w:rsid w:val="005339D0"/>
    <w:rsid w:val="00534E75"/>
    <w:rsid w:val="00536954"/>
    <w:rsid w:val="005379BC"/>
    <w:rsid w:val="00540606"/>
    <w:rsid w:val="00541870"/>
    <w:rsid w:val="005436EC"/>
    <w:rsid w:val="00544A37"/>
    <w:rsid w:val="005455B0"/>
    <w:rsid w:val="0055263D"/>
    <w:rsid w:val="00552E2B"/>
    <w:rsid w:val="0055303C"/>
    <w:rsid w:val="00553369"/>
    <w:rsid w:val="00554574"/>
    <w:rsid w:val="0055553F"/>
    <w:rsid w:val="0056150F"/>
    <w:rsid w:val="005678E0"/>
    <w:rsid w:val="005729F4"/>
    <w:rsid w:val="00576F58"/>
    <w:rsid w:val="005773B2"/>
    <w:rsid w:val="00577D19"/>
    <w:rsid w:val="0058062A"/>
    <w:rsid w:val="005834AE"/>
    <w:rsid w:val="0058666A"/>
    <w:rsid w:val="00586BEF"/>
    <w:rsid w:val="005875EC"/>
    <w:rsid w:val="00590434"/>
    <w:rsid w:val="00594050"/>
    <w:rsid w:val="0059432A"/>
    <w:rsid w:val="0059452A"/>
    <w:rsid w:val="005956E9"/>
    <w:rsid w:val="005A0ABD"/>
    <w:rsid w:val="005A2637"/>
    <w:rsid w:val="005A37E5"/>
    <w:rsid w:val="005A4497"/>
    <w:rsid w:val="005A5BBA"/>
    <w:rsid w:val="005A5F08"/>
    <w:rsid w:val="005A60B4"/>
    <w:rsid w:val="005A7A64"/>
    <w:rsid w:val="005B0E8E"/>
    <w:rsid w:val="005B31D7"/>
    <w:rsid w:val="005B4E77"/>
    <w:rsid w:val="005B5427"/>
    <w:rsid w:val="005B5CA8"/>
    <w:rsid w:val="005B6889"/>
    <w:rsid w:val="005B68FA"/>
    <w:rsid w:val="005B7E46"/>
    <w:rsid w:val="005C0D63"/>
    <w:rsid w:val="005C41F6"/>
    <w:rsid w:val="005C48C1"/>
    <w:rsid w:val="005C7059"/>
    <w:rsid w:val="005D189A"/>
    <w:rsid w:val="005D6963"/>
    <w:rsid w:val="005E3E4C"/>
    <w:rsid w:val="005E45D8"/>
    <w:rsid w:val="005E4855"/>
    <w:rsid w:val="005F18D4"/>
    <w:rsid w:val="005F57A1"/>
    <w:rsid w:val="005F65A1"/>
    <w:rsid w:val="005F7741"/>
    <w:rsid w:val="00600788"/>
    <w:rsid w:val="00600BA3"/>
    <w:rsid w:val="00605C5D"/>
    <w:rsid w:val="006106F0"/>
    <w:rsid w:val="006110E7"/>
    <w:rsid w:val="00612DC2"/>
    <w:rsid w:val="006135FD"/>
    <w:rsid w:val="006212F9"/>
    <w:rsid w:val="00624A82"/>
    <w:rsid w:val="0062747C"/>
    <w:rsid w:val="00633136"/>
    <w:rsid w:val="00636E70"/>
    <w:rsid w:val="0064020E"/>
    <w:rsid w:val="0064160C"/>
    <w:rsid w:val="0064209A"/>
    <w:rsid w:val="00645BA9"/>
    <w:rsid w:val="006501CB"/>
    <w:rsid w:val="00651B79"/>
    <w:rsid w:val="00652695"/>
    <w:rsid w:val="006529D7"/>
    <w:rsid w:val="00652DCE"/>
    <w:rsid w:val="006545F8"/>
    <w:rsid w:val="00654F8C"/>
    <w:rsid w:val="00656312"/>
    <w:rsid w:val="0066135D"/>
    <w:rsid w:val="00661A5F"/>
    <w:rsid w:val="00663C36"/>
    <w:rsid w:val="00667012"/>
    <w:rsid w:val="00673DDB"/>
    <w:rsid w:val="00675F3B"/>
    <w:rsid w:val="006768F0"/>
    <w:rsid w:val="00676C10"/>
    <w:rsid w:val="00677078"/>
    <w:rsid w:val="006775B7"/>
    <w:rsid w:val="00677C07"/>
    <w:rsid w:val="0068617E"/>
    <w:rsid w:val="00686E01"/>
    <w:rsid w:val="00687107"/>
    <w:rsid w:val="00692610"/>
    <w:rsid w:val="006939E4"/>
    <w:rsid w:val="00693A07"/>
    <w:rsid w:val="00695DE8"/>
    <w:rsid w:val="006978DE"/>
    <w:rsid w:val="00697A40"/>
    <w:rsid w:val="00697F28"/>
    <w:rsid w:val="006A0BD0"/>
    <w:rsid w:val="006A150C"/>
    <w:rsid w:val="006A2F6C"/>
    <w:rsid w:val="006A3BE2"/>
    <w:rsid w:val="006A6601"/>
    <w:rsid w:val="006B2EA9"/>
    <w:rsid w:val="006B3A13"/>
    <w:rsid w:val="006B3CB5"/>
    <w:rsid w:val="006C2696"/>
    <w:rsid w:val="006C4076"/>
    <w:rsid w:val="006C4193"/>
    <w:rsid w:val="006C61E8"/>
    <w:rsid w:val="006D01AF"/>
    <w:rsid w:val="006D1884"/>
    <w:rsid w:val="006D65EC"/>
    <w:rsid w:val="006E074A"/>
    <w:rsid w:val="006E26DC"/>
    <w:rsid w:val="006E52B8"/>
    <w:rsid w:val="006E68CA"/>
    <w:rsid w:val="006F32FB"/>
    <w:rsid w:val="00700FD6"/>
    <w:rsid w:val="00705D83"/>
    <w:rsid w:val="0071201C"/>
    <w:rsid w:val="0072112F"/>
    <w:rsid w:val="007253C3"/>
    <w:rsid w:val="00730047"/>
    <w:rsid w:val="0073009C"/>
    <w:rsid w:val="007316BB"/>
    <w:rsid w:val="00731B6F"/>
    <w:rsid w:val="00731E05"/>
    <w:rsid w:val="00734FAA"/>
    <w:rsid w:val="00736FB9"/>
    <w:rsid w:val="00737562"/>
    <w:rsid w:val="007424FC"/>
    <w:rsid w:val="007443AD"/>
    <w:rsid w:val="00762254"/>
    <w:rsid w:val="00764BFF"/>
    <w:rsid w:val="00767284"/>
    <w:rsid w:val="00771B91"/>
    <w:rsid w:val="007748DA"/>
    <w:rsid w:val="0077685A"/>
    <w:rsid w:val="007824F4"/>
    <w:rsid w:val="00783AB1"/>
    <w:rsid w:val="00784109"/>
    <w:rsid w:val="00785FC5"/>
    <w:rsid w:val="0078631B"/>
    <w:rsid w:val="00791A2B"/>
    <w:rsid w:val="00792EE9"/>
    <w:rsid w:val="00795445"/>
    <w:rsid w:val="0079572A"/>
    <w:rsid w:val="00795D79"/>
    <w:rsid w:val="0079732B"/>
    <w:rsid w:val="007A1121"/>
    <w:rsid w:val="007A1122"/>
    <w:rsid w:val="007A15A6"/>
    <w:rsid w:val="007A278E"/>
    <w:rsid w:val="007B11F2"/>
    <w:rsid w:val="007B232E"/>
    <w:rsid w:val="007B358E"/>
    <w:rsid w:val="007B3DA0"/>
    <w:rsid w:val="007C37DF"/>
    <w:rsid w:val="007C6288"/>
    <w:rsid w:val="007D05D4"/>
    <w:rsid w:val="007D06A5"/>
    <w:rsid w:val="007D085C"/>
    <w:rsid w:val="007D1100"/>
    <w:rsid w:val="007D2280"/>
    <w:rsid w:val="007D3EF7"/>
    <w:rsid w:val="007E1111"/>
    <w:rsid w:val="007E5614"/>
    <w:rsid w:val="007F0754"/>
    <w:rsid w:val="007F3198"/>
    <w:rsid w:val="007F515C"/>
    <w:rsid w:val="008009B8"/>
    <w:rsid w:val="00800CEA"/>
    <w:rsid w:val="00805F19"/>
    <w:rsid w:val="00807AD4"/>
    <w:rsid w:val="008104E0"/>
    <w:rsid w:val="0081387C"/>
    <w:rsid w:val="00817512"/>
    <w:rsid w:val="00822194"/>
    <w:rsid w:val="008269F5"/>
    <w:rsid w:val="00830105"/>
    <w:rsid w:val="0083053E"/>
    <w:rsid w:val="00830CE8"/>
    <w:rsid w:val="00831B5E"/>
    <w:rsid w:val="00831F36"/>
    <w:rsid w:val="0083338E"/>
    <w:rsid w:val="00833A44"/>
    <w:rsid w:val="0083519D"/>
    <w:rsid w:val="00844420"/>
    <w:rsid w:val="00845A34"/>
    <w:rsid w:val="00846E1E"/>
    <w:rsid w:val="00850445"/>
    <w:rsid w:val="0085594F"/>
    <w:rsid w:val="00866791"/>
    <w:rsid w:val="00874FE0"/>
    <w:rsid w:val="008769D5"/>
    <w:rsid w:val="00882EE9"/>
    <w:rsid w:val="00883131"/>
    <w:rsid w:val="00883A3E"/>
    <w:rsid w:val="008848CF"/>
    <w:rsid w:val="00885B2F"/>
    <w:rsid w:val="008866ED"/>
    <w:rsid w:val="008868A5"/>
    <w:rsid w:val="00890A80"/>
    <w:rsid w:val="008926E5"/>
    <w:rsid w:val="008926F3"/>
    <w:rsid w:val="00892DB3"/>
    <w:rsid w:val="00893533"/>
    <w:rsid w:val="00894FAD"/>
    <w:rsid w:val="008957C5"/>
    <w:rsid w:val="00896014"/>
    <w:rsid w:val="0089614B"/>
    <w:rsid w:val="00896556"/>
    <w:rsid w:val="00896BE6"/>
    <w:rsid w:val="00896FD6"/>
    <w:rsid w:val="00897BD9"/>
    <w:rsid w:val="008A04D3"/>
    <w:rsid w:val="008A0C76"/>
    <w:rsid w:val="008A663F"/>
    <w:rsid w:val="008B05F2"/>
    <w:rsid w:val="008B0636"/>
    <w:rsid w:val="008B2EE5"/>
    <w:rsid w:val="008B3C82"/>
    <w:rsid w:val="008B5C5C"/>
    <w:rsid w:val="008C1795"/>
    <w:rsid w:val="008C4B0D"/>
    <w:rsid w:val="008C75D3"/>
    <w:rsid w:val="008D1E94"/>
    <w:rsid w:val="008D373A"/>
    <w:rsid w:val="008D484C"/>
    <w:rsid w:val="008D68A5"/>
    <w:rsid w:val="008E19F3"/>
    <w:rsid w:val="008E3B44"/>
    <w:rsid w:val="008E58ED"/>
    <w:rsid w:val="008E6712"/>
    <w:rsid w:val="008F2226"/>
    <w:rsid w:val="008F4980"/>
    <w:rsid w:val="008F6707"/>
    <w:rsid w:val="008F6AAF"/>
    <w:rsid w:val="00900951"/>
    <w:rsid w:val="00901813"/>
    <w:rsid w:val="00903020"/>
    <w:rsid w:val="00906176"/>
    <w:rsid w:val="00906E67"/>
    <w:rsid w:val="00914002"/>
    <w:rsid w:val="00915ADA"/>
    <w:rsid w:val="009161BE"/>
    <w:rsid w:val="00917F21"/>
    <w:rsid w:val="009213AE"/>
    <w:rsid w:val="009222C9"/>
    <w:rsid w:val="00926825"/>
    <w:rsid w:val="009268FC"/>
    <w:rsid w:val="00926A98"/>
    <w:rsid w:val="00932625"/>
    <w:rsid w:val="009340FD"/>
    <w:rsid w:val="00934141"/>
    <w:rsid w:val="009344C2"/>
    <w:rsid w:val="009345C9"/>
    <w:rsid w:val="0093538A"/>
    <w:rsid w:val="009434D0"/>
    <w:rsid w:val="0094705C"/>
    <w:rsid w:val="009514FE"/>
    <w:rsid w:val="00952F66"/>
    <w:rsid w:val="00957B41"/>
    <w:rsid w:val="009600DA"/>
    <w:rsid w:val="00962FD2"/>
    <w:rsid w:val="009644A2"/>
    <w:rsid w:val="00967162"/>
    <w:rsid w:val="00971DE7"/>
    <w:rsid w:val="00973C62"/>
    <w:rsid w:val="0097419E"/>
    <w:rsid w:val="00974A97"/>
    <w:rsid w:val="00977B41"/>
    <w:rsid w:val="00982987"/>
    <w:rsid w:val="00993A8B"/>
    <w:rsid w:val="0099489F"/>
    <w:rsid w:val="00994B64"/>
    <w:rsid w:val="009955B3"/>
    <w:rsid w:val="00996D72"/>
    <w:rsid w:val="009A4D99"/>
    <w:rsid w:val="009A53B7"/>
    <w:rsid w:val="009A544A"/>
    <w:rsid w:val="009A69B1"/>
    <w:rsid w:val="009A6CDB"/>
    <w:rsid w:val="009B0CA9"/>
    <w:rsid w:val="009B301F"/>
    <w:rsid w:val="009B52C2"/>
    <w:rsid w:val="009C0ECA"/>
    <w:rsid w:val="009C283B"/>
    <w:rsid w:val="009C2B04"/>
    <w:rsid w:val="009C3544"/>
    <w:rsid w:val="009C45BA"/>
    <w:rsid w:val="009D7AFB"/>
    <w:rsid w:val="009E055E"/>
    <w:rsid w:val="009E0C76"/>
    <w:rsid w:val="009E2833"/>
    <w:rsid w:val="009E317D"/>
    <w:rsid w:val="009E3B52"/>
    <w:rsid w:val="009E3D89"/>
    <w:rsid w:val="009E5B43"/>
    <w:rsid w:val="009E6B59"/>
    <w:rsid w:val="009F2CB2"/>
    <w:rsid w:val="009F2CEE"/>
    <w:rsid w:val="009F59EE"/>
    <w:rsid w:val="009F5CD5"/>
    <w:rsid w:val="009F66D0"/>
    <w:rsid w:val="00A069E2"/>
    <w:rsid w:val="00A073C7"/>
    <w:rsid w:val="00A07431"/>
    <w:rsid w:val="00A07A9F"/>
    <w:rsid w:val="00A11B93"/>
    <w:rsid w:val="00A11C90"/>
    <w:rsid w:val="00A12821"/>
    <w:rsid w:val="00A14FC9"/>
    <w:rsid w:val="00A2066F"/>
    <w:rsid w:val="00A23C45"/>
    <w:rsid w:val="00A25B10"/>
    <w:rsid w:val="00A36D79"/>
    <w:rsid w:val="00A37A20"/>
    <w:rsid w:val="00A37AD0"/>
    <w:rsid w:val="00A4618A"/>
    <w:rsid w:val="00A53205"/>
    <w:rsid w:val="00A5429B"/>
    <w:rsid w:val="00A553A9"/>
    <w:rsid w:val="00A61F80"/>
    <w:rsid w:val="00A62566"/>
    <w:rsid w:val="00A62CCA"/>
    <w:rsid w:val="00A641DB"/>
    <w:rsid w:val="00A65B9D"/>
    <w:rsid w:val="00A70932"/>
    <w:rsid w:val="00A719A5"/>
    <w:rsid w:val="00A72A74"/>
    <w:rsid w:val="00A72F83"/>
    <w:rsid w:val="00A7372B"/>
    <w:rsid w:val="00A74A1E"/>
    <w:rsid w:val="00A7509B"/>
    <w:rsid w:val="00A7796E"/>
    <w:rsid w:val="00A77F44"/>
    <w:rsid w:val="00A86656"/>
    <w:rsid w:val="00A87B14"/>
    <w:rsid w:val="00A93638"/>
    <w:rsid w:val="00A97D07"/>
    <w:rsid w:val="00AA218A"/>
    <w:rsid w:val="00AA48E7"/>
    <w:rsid w:val="00AB3D30"/>
    <w:rsid w:val="00AB4794"/>
    <w:rsid w:val="00AB4842"/>
    <w:rsid w:val="00AB7CCF"/>
    <w:rsid w:val="00AC614D"/>
    <w:rsid w:val="00AC7F1C"/>
    <w:rsid w:val="00AD0F3F"/>
    <w:rsid w:val="00AD4EA3"/>
    <w:rsid w:val="00AE05ED"/>
    <w:rsid w:val="00AE44CB"/>
    <w:rsid w:val="00AE55D4"/>
    <w:rsid w:val="00AE72D7"/>
    <w:rsid w:val="00AF1038"/>
    <w:rsid w:val="00AF2633"/>
    <w:rsid w:val="00AF74AF"/>
    <w:rsid w:val="00B01F39"/>
    <w:rsid w:val="00B05862"/>
    <w:rsid w:val="00B11974"/>
    <w:rsid w:val="00B1264B"/>
    <w:rsid w:val="00B12CF8"/>
    <w:rsid w:val="00B15519"/>
    <w:rsid w:val="00B15922"/>
    <w:rsid w:val="00B244B9"/>
    <w:rsid w:val="00B27178"/>
    <w:rsid w:val="00B30A9E"/>
    <w:rsid w:val="00B3265A"/>
    <w:rsid w:val="00B32817"/>
    <w:rsid w:val="00B33E8E"/>
    <w:rsid w:val="00B346ED"/>
    <w:rsid w:val="00B36901"/>
    <w:rsid w:val="00B37F41"/>
    <w:rsid w:val="00B4245F"/>
    <w:rsid w:val="00B43ABC"/>
    <w:rsid w:val="00B470FB"/>
    <w:rsid w:val="00B479EB"/>
    <w:rsid w:val="00B51125"/>
    <w:rsid w:val="00B52CDF"/>
    <w:rsid w:val="00B65A3B"/>
    <w:rsid w:val="00B66DE0"/>
    <w:rsid w:val="00B72652"/>
    <w:rsid w:val="00B815A3"/>
    <w:rsid w:val="00B85C55"/>
    <w:rsid w:val="00B90B23"/>
    <w:rsid w:val="00B91CEE"/>
    <w:rsid w:val="00B94777"/>
    <w:rsid w:val="00B95BB2"/>
    <w:rsid w:val="00B95EBA"/>
    <w:rsid w:val="00BA0BC1"/>
    <w:rsid w:val="00BA1D82"/>
    <w:rsid w:val="00BA1FA3"/>
    <w:rsid w:val="00BA23D8"/>
    <w:rsid w:val="00BA27DA"/>
    <w:rsid w:val="00BA4230"/>
    <w:rsid w:val="00BA45FD"/>
    <w:rsid w:val="00BA5B9C"/>
    <w:rsid w:val="00BA7722"/>
    <w:rsid w:val="00BB4512"/>
    <w:rsid w:val="00BB4D49"/>
    <w:rsid w:val="00BB51F4"/>
    <w:rsid w:val="00BB58F0"/>
    <w:rsid w:val="00BB6439"/>
    <w:rsid w:val="00BB675F"/>
    <w:rsid w:val="00BC133F"/>
    <w:rsid w:val="00BC1D75"/>
    <w:rsid w:val="00BD05E4"/>
    <w:rsid w:val="00BD0936"/>
    <w:rsid w:val="00BD17B0"/>
    <w:rsid w:val="00BD3715"/>
    <w:rsid w:val="00BD4630"/>
    <w:rsid w:val="00BD4EBD"/>
    <w:rsid w:val="00BD5A47"/>
    <w:rsid w:val="00BD6E76"/>
    <w:rsid w:val="00BE6717"/>
    <w:rsid w:val="00BF4092"/>
    <w:rsid w:val="00BF44F1"/>
    <w:rsid w:val="00C02E39"/>
    <w:rsid w:val="00C0301A"/>
    <w:rsid w:val="00C04F1A"/>
    <w:rsid w:val="00C05CCC"/>
    <w:rsid w:val="00C07F35"/>
    <w:rsid w:val="00C15993"/>
    <w:rsid w:val="00C17C49"/>
    <w:rsid w:val="00C22B1C"/>
    <w:rsid w:val="00C23E32"/>
    <w:rsid w:val="00C2555B"/>
    <w:rsid w:val="00C26D3E"/>
    <w:rsid w:val="00C30EA3"/>
    <w:rsid w:val="00C31E67"/>
    <w:rsid w:val="00C325BB"/>
    <w:rsid w:val="00C33A4A"/>
    <w:rsid w:val="00C4086A"/>
    <w:rsid w:val="00C42CA5"/>
    <w:rsid w:val="00C42FAF"/>
    <w:rsid w:val="00C456DD"/>
    <w:rsid w:val="00C47E7D"/>
    <w:rsid w:val="00C52DA0"/>
    <w:rsid w:val="00C53031"/>
    <w:rsid w:val="00C56AD1"/>
    <w:rsid w:val="00C6054D"/>
    <w:rsid w:val="00C60BBC"/>
    <w:rsid w:val="00C6644B"/>
    <w:rsid w:val="00C668FF"/>
    <w:rsid w:val="00C7532A"/>
    <w:rsid w:val="00C7663D"/>
    <w:rsid w:val="00C779DC"/>
    <w:rsid w:val="00C80ADA"/>
    <w:rsid w:val="00C81DF4"/>
    <w:rsid w:val="00C83132"/>
    <w:rsid w:val="00C864DC"/>
    <w:rsid w:val="00C908E5"/>
    <w:rsid w:val="00C9156E"/>
    <w:rsid w:val="00C947C0"/>
    <w:rsid w:val="00C947CE"/>
    <w:rsid w:val="00C95F04"/>
    <w:rsid w:val="00C97E6F"/>
    <w:rsid w:val="00CA079E"/>
    <w:rsid w:val="00CA135D"/>
    <w:rsid w:val="00CA1722"/>
    <w:rsid w:val="00CA1806"/>
    <w:rsid w:val="00CA5872"/>
    <w:rsid w:val="00CA78F9"/>
    <w:rsid w:val="00CA7CAF"/>
    <w:rsid w:val="00CB06F8"/>
    <w:rsid w:val="00CB18B1"/>
    <w:rsid w:val="00CB38CA"/>
    <w:rsid w:val="00CB5712"/>
    <w:rsid w:val="00CB6969"/>
    <w:rsid w:val="00CB6F2B"/>
    <w:rsid w:val="00CB7254"/>
    <w:rsid w:val="00CC0CB0"/>
    <w:rsid w:val="00CC1067"/>
    <w:rsid w:val="00CC3D3D"/>
    <w:rsid w:val="00CC3DF9"/>
    <w:rsid w:val="00CC65C5"/>
    <w:rsid w:val="00CC73AB"/>
    <w:rsid w:val="00CD12BC"/>
    <w:rsid w:val="00CD3324"/>
    <w:rsid w:val="00CD46EA"/>
    <w:rsid w:val="00CD4A18"/>
    <w:rsid w:val="00CD575C"/>
    <w:rsid w:val="00CD6257"/>
    <w:rsid w:val="00CD6E1E"/>
    <w:rsid w:val="00CE0770"/>
    <w:rsid w:val="00CE6C6E"/>
    <w:rsid w:val="00CE76FD"/>
    <w:rsid w:val="00CF2033"/>
    <w:rsid w:val="00CF5DF2"/>
    <w:rsid w:val="00CF6C98"/>
    <w:rsid w:val="00D0061B"/>
    <w:rsid w:val="00D012CF"/>
    <w:rsid w:val="00D016C3"/>
    <w:rsid w:val="00D01832"/>
    <w:rsid w:val="00D01DC0"/>
    <w:rsid w:val="00D02E81"/>
    <w:rsid w:val="00D0526B"/>
    <w:rsid w:val="00D07AA2"/>
    <w:rsid w:val="00D1081A"/>
    <w:rsid w:val="00D15569"/>
    <w:rsid w:val="00D15A44"/>
    <w:rsid w:val="00D160DE"/>
    <w:rsid w:val="00D21C96"/>
    <w:rsid w:val="00D30074"/>
    <w:rsid w:val="00D30854"/>
    <w:rsid w:val="00D31127"/>
    <w:rsid w:val="00D320FC"/>
    <w:rsid w:val="00D333B4"/>
    <w:rsid w:val="00D3359F"/>
    <w:rsid w:val="00D35FF4"/>
    <w:rsid w:val="00D40C89"/>
    <w:rsid w:val="00D41337"/>
    <w:rsid w:val="00D47B55"/>
    <w:rsid w:val="00D47B8A"/>
    <w:rsid w:val="00D50703"/>
    <w:rsid w:val="00D531E4"/>
    <w:rsid w:val="00D53C47"/>
    <w:rsid w:val="00D53E59"/>
    <w:rsid w:val="00D60057"/>
    <w:rsid w:val="00D60444"/>
    <w:rsid w:val="00D605B1"/>
    <w:rsid w:val="00D60D98"/>
    <w:rsid w:val="00D6181D"/>
    <w:rsid w:val="00D61FAA"/>
    <w:rsid w:val="00D62038"/>
    <w:rsid w:val="00D628D2"/>
    <w:rsid w:val="00D62FEC"/>
    <w:rsid w:val="00D65C4E"/>
    <w:rsid w:val="00D67EA6"/>
    <w:rsid w:val="00D71EA0"/>
    <w:rsid w:val="00D72157"/>
    <w:rsid w:val="00D721F1"/>
    <w:rsid w:val="00D73F33"/>
    <w:rsid w:val="00D74A93"/>
    <w:rsid w:val="00D77A56"/>
    <w:rsid w:val="00D80B6D"/>
    <w:rsid w:val="00D80C55"/>
    <w:rsid w:val="00D80F78"/>
    <w:rsid w:val="00D84488"/>
    <w:rsid w:val="00D844C8"/>
    <w:rsid w:val="00D84B7D"/>
    <w:rsid w:val="00D8513A"/>
    <w:rsid w:val="00D85BBB"/>
    <w:rsid w:val="00D85FB4"/>
    <w:rsid w:val="00D906BE"/>
    <w:rsid w:val="00D943AD"/>
    <w:rsid w:val="00D9690A"/>
    <w:rsid w:val="00DA2C91"/>
    <w:rsid w:val="00DA5316"/>
    <w:rsid w:val="00DA7B87"/>
    <w:rsid w:val="00DB0343"/>
    <w:rsid w:val="00DB342A"/>
    <w:rsid w:val="00DB3E19"/>
    <w:rsid w:val="00DB63D9"/>
    <w:rsid w:val="00DB7121"/>
    <w:rsid w:val="00DB7E77"/>
    <w:rsid w:val="00DC0BD6"/>
    <w:rsid w:val="00DC0F17"/>
    <w:rsid w:val="00DC30D0"/>
    <w:rsid w:val="00DC37CE"/>
    <w:rsid w:val="00DC422E"/>
    <w:rsid w:val="00DD1F5E"/>
    <w:rsid w:val="00DD2DD1"/>
    <w:rsid w:val="00DD639C"/>
    <w:rsid w:val="00DD67DA"/>
    <w:rsid w:val="00DD7940"/>
    <w:rsid w:val="00DE1840"/>
    <w:rsid w:val="00DE1B89"/>
    <w:rsid w:val="00DE476A"/>
    <w:rsid w:val="00DE59C6"/>
    <w:rsid w:val="00DF2E5A"/>
    <w:rsid w:val="00DF3A69"/>
    <w:rsid w:val="00DF4305"/>
    <w:rsid w:val="00DF658B"/>
    <w:rsid w:val="00E00DC6"/>
    <w:rsid w:val="00E04B02"/>
    <w:rsid w:val="00E058A3"/>
    <w:rsid w:val="00E10ABF"/>
    <w:rsid w:val="00E130CB"/>
    <w:rsid w:val="00E151F3"/>
    <w:rsid w:val="00E17539"/>
    <w:rsid w:val="00E23A7D"/>
    <w:rsid w:val="00E244E6"/>
    <w:rsid w:val="00E27028"/>
    <w:rsid w:val="00E31BB4"/>
    <w:rsid w:val="00E32995"/>
    <w:rsid w:val="00E32C50"/>
    <w:rsid w:val="00E3404F"/>
    <w:rsid w:val="00E41E9C"/>
    <w:rsid w:val="00E423C3"/>
    <w:rsid w:val="00E4323F"/>
    <w:rsid w:val="00E4469C"/>
    <w:rsid w:val="00E450AB"/>
    <w:rsid w:val="00E5280E"/>
    <w:rsid w:val="00E52CEE"/>
    <w:rsid w:val="00E53A7F"/>
    <w:rsid w:val="00E54A8E"/>
    <w:rsid w:val="00E563FC"/>
    <w:rsid w:val="00E57F9B"/>
    <w:rsid w:val="00E60634"/>
    <w:rsid w:val="00E6319B"/>
    <w:rsid w:val="00E6550B"/>
    <w:rsid w:val="00E6726D"/>
    <w:rsid w:val="00E70FBC"/>
    <w:rsid w:val="00E74000"/>
    <w:rsid w:val="00E7623C"/>
    <w:rsid w:val="00E80764"/>
    <w:rsid w:val="00E80FCB"/>
    <w:rsid w:val="00E81433"/>
    <w:rsid w:val="00E81C95"/>
    <w:rsid w:val="00E845C0"/>
    <w:rsid w:val="00E852A3"/>
    <w:rsid w:val="00E914B7"/>
    <w:rsid w:val="00E93103"/>
    <w:rsid w:val="00EA0295"/>
    <w:rsid w:val="00EA0C1C"/>
    <w:rsid w:val="00EA477A"/>
    <w:rsid w:val="00EA5CA0"/>
    <w:rsid w:val="00EA5D92"/>
    <w:rsid w:val="00EB307B"/>
    <w:rsid w:val="00EB5354"/>
    <w:rsid w:val="00EB778A"/>
    <w:rsid w:val="00EC3779"/>
    <w:rsid w:val="00EC7F0E"/>
    <w:rsid w:val="00ED2D1F"/>
    <w:rsid w:val="00ED58E9"/>
    <w:rsid w:val="00ED6D98"/>
    <w:rsid w:val="00ED700E"/>
    <w:rsid w:val="00ED79D6"/>
    <w:rsid w:val="00EE1831"/>
    <w:rsid w:val="00EE3DAD"/>
    <w:rsid w:val="00EF2F7C"/>
    <w:rsid w:val="00EF3FC0"/>
    <w:rsid w:val="00EF61B5"/>
    <w:rsid w:val="00F00A40"/>
    <w:rsid w:val="00F00A6E"/>
    <w:rsid w:val="00F05773"/>
    <w:rsid w:val="00F0773E"/>
    <w:rsid w:val="00F12CED"/>
    <w:rsid w:val="00F12DCE"/>
    <w:rsid w:val="00F14982"/>
    <w:rsid w:val="00F22A26"/>
    <w:rsid w:val="00F23C0F"/>
    <w:rsid w:val="00F2598D"/>
    <w:rsid w:val="00F26166"/>
    <w:rsid w:val="00F32739"/>
    <w:rsid w:val="00F32845"/>
    <w:rsid w:val="00F336A2"/>
    <w:rsid w:val="00F36BA0"/>
    <w:rsid w:val="00F411C5"/>
    <w:rsid w:val="00F44AEB"/>
    <w:rsid w:val="00F45620"/>
    <w:rsid w:val="00F5304D"/>
    <w:rsid w:val="00F532E2"/>
    <w:rsid w:val="00F5470D"/>
    <w:rsid w:val="00F5638B"/>
    <w:rsid w:val="00F60301"/>
    <w:rsid w:val="00F628BC"/>
    <w:rsid w:val="00F628FC"/>
    <w:rsid w:val="00F7033F"/>
    <w:rsid w:val="00F7277F"/>
    <w:rsid w:val="00F72E32"/>
    <w:rsid w:val="00F73B85"/>
    <w:rsid w:val="00F829B7"/>
    <w:rsid w:val="00F82DF0"/>
    <w:rsid w:val="00F84A4F"/>
    <w:rsid w:val="00F84ACE"/>
    <w:rsid w:val="00F8617B"/>
    <w:rsid w:val="00F863D7"/>
    <w:rsid w:val="00F9173C"/>
    <w:rsid w:val="00F975AD"/>
    <w:rsid w:val="00FA2D1E"/>
    <w:rsid w:val="00FA35EB"/>
    <w:rsid w:val="00FB18D0"/>
    <w:rsid w:val="00FB2241"/>
    <w:rsid w:val="00FB2315"/>
    <w:rsid w:val="00FB2ED6"/>
    <w:rsid w:val="00FB412B"/>
    <w:rsid w:val="00FB42E5"/>
    <w:rsid w:val="00FB59EE"/>
    <w:rsid w:val="00FB6B8F"/>
    <w:rsid w:val="00FC2522"/>
    <w:rsid w:val="00FC5B56"/>
    <w:rsid w:val="00FD4B12"/>
    <w:rsid w:val="00FD5009"/>
    <w:rsid w:val="00FD55C9"/>
    <w:rsid w:val="00FD62DC"/>
    <w:rsid w:val="00FD6A70"/>
    <w:rsid w:val="00FE1EC8"/>
    <w:rsid w:val="00FE3560"/>
    <w:rsid w:val="00FE3E09"/>
    <w:rsid w:val="00FE4FBF"/>
    <w:rsid w:val="00FF1E5A"/>
    <w:rsid w:val="00FF6AA1"/>
    <w:rsid w:val="00FF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  <w:style w:type="character" w:styleId="Zdraznn">
    <w:name w:val="Emphasis"/>
    <w:basedOn w:val="Standardnpsmoodstavce"/>
    <w:uiPriority w:val="20"/>
    <w:qFormat/>
    <w:rsid w:val="00E563FC"/>
    <w:rPr>
      <w:i/>
      <w:iCs/>
    </w:rPr>
  </w:style>
  <w:style w:type="character" w:styleId="Siln">
    <w:name w:val="Strong"/>
    <w:basedOn w:val="Standardnpsmoodstavce"/>
    <w:uiPriority w:val="22"/>
    <w:qFormat/>
    <w:rsid w:val="00A553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hyperlink" Target="mailto:michaela.sahulova@bcas.cz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28" Type="http://schemas.openxmlformats.org/officeDocument/2006/relationships/theme" Target="theme/theme1.xm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polak\Desktop\CSU\BC_Index_hypotecnich_uveru_6_2023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cs-CZ" sz="1200" b="1">
                <a:solidFill>
                  <a:schemeClr val="tx1">
                    <a:lumMod val="95000"/>
                    <a:lumOff val="5000"/>
                  </a:schemeClr>
                </a:solidFill>
              </a:rPr>
              <a:t>Broker Consulting Index hypotéčních úvěrů -</a:t>
            </a:r>
            <a:r>
              <a:rPr lang="cs-CZ" sz="1200" b="1" baseline="0">
                <a:solidFill>
                  <a:schemeClr val="tx1">
                    <a:lumMod val="95000"/>
                    <a:lumOff val="5000"/>
                  </a:schemeClr>
                </a:solidFill>
              </a:rPr>
              <a:t> červen </a:t>
            </a:r>
            <a:r>
              <a:rPr lang="cs-CZ" sz="1200" b="1">
                <a:solidFill>
                  <a:schemeClr val="tx1">
                    <a:lumMod val="95000"/>
                    <a:lumOff val="5000"/>
                  </a:schemeClr>
                </a:solidFill>
              </a:rPr>
              <a:t>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5.3099249871928995E-2"/>
          <c:y val="0.16286232074934934"/>
          <c:w val="0.916960639590928"/>
          <c:h val="0.6548785820498432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2.0618556701030934E-2"/>
                  <c:y val="-5.98380851812742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2FF-400A-85E3-F5F3F1658E13}"/>
                </c:ext>
              </c:extLst>
            </c:dLbl>
            <c:dLbl>
              <c:idx val="1"/>
              <c:layout>
                <c:manualLayout>
                  <c:x val="-4.1237113402061855E-2"/>
                  <c:y val="5.63181978176698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2FF-400A-85E3-F5F3F1658E13}"/>
                </c:ext>
              </c:extLst>
            </c:dLbl>
            <c:dLbl>
              <c:idx val="2"/>
              <c:layout>
                <c:manualLayout>
                  <c:x val="-1.5463917525773196E-2"/>
                  <c:y val="-6.33579725448786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2FF-400A-85E3-F5F3F1658E13}"/>
                </c:ext>
              </c:extLst>
            </c:dLbl>
            <c:dLbl>
              <c:idx val="3"/>
              <c:layout>
                <c:manualLayout>
                  <c:x val="-3.4364261168384896E-2"/>
                  <c:y val="5.98380851812741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2FF-400A-85E3-F5F3F1658E13}"/>
                </c:ext>
              </c:extLst>
            </c:dLbl>
            <c:dLbl>
              <c:idx val="4"/>
              <c:layout>
                <c:manualLayout>
                  <c:x val="-2.0618556701030927E-2"/>
                  <c:y val="-4.57585357268567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2FF-400A-85E3-F5F3F1658E13}"/>
                </c:ext>
              </c:extLst>
            </c:dLbl>
            <c:dLbl>
              <c:idx val="5"/>
              <c:layout>
                <c:manualLayout>
                  <c:x val="-2.5773195876288658E-2"/>
                  <c:y val="5.98380851812741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2FF-400A-85E3-F5F3F1658E13}"/>
                </c:ext>
              </c:extLst>
            </c:dLbl>
            <c:dLbl>
              <c:idx val="6"/>
              <c:layout>
                <c:manualLayout>
                  <c:x val="-1.7182130584192441E-2"/>
                  <c:y val="-6.33579725448785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2FF-400A-85E3-F5F3F1658E13}"/>
                </c:ext>
              </c:extLst>
            </c:dLbl>
            <c:dLbl>
              <c:idx val="7"/>
              <c:layout>
                <c:manualLayout>
                  <c:x val="-1.5463917525773196E-2"/>
                  <c:y val="5.63181978176697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2FF-400A-85E3-F5F3F1658E13}"/>
                </c:ext>
              </c:extLst>
            </c:dLbl>
            <c:dLbl>
              <c:idx val="8"/>
              <c:layout>
                <c:manualLayout>
                  <c:x val="-1.8861017152785507E-2"/>
                  <c:y val="-5.27983104540654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2FF-400A-85E3-F5F3F1658E13}"/>
                </c:ext>
              </c:extLst>
            </c:dLbl>
            <c:dLbl>
              <c:idx val="9"/>
              <c:layout>
                <c:manualLayout>
                  <c:x val="-2.4941314553990609E-2"/>
                  <c:y val="8.79971840901090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2FF-400A-85E3-F5F3F1658E13}"/>
                </c:ext>
              </c:extLst>
            </c:dLbl>
            <c:dLbl>
              <c:idx val="10"/>
              <c:layout>
                <c:manualLayout>
                  <c:x val="-1.7605633802816902E-2"/>
                  <c:y val="-6.68778599084829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2FF-400A-85E3-F5F3F1658E13}"/>
                </c:ext>
              </c:extLst>
            </c:dLbl>
            <c:dLbl>
              <c:idx val="11"/>
              <c:layout>
                <c:manualLayout>
                  <c:x val="-3.0076291079812207E-2"/>
                  <c:y val="4.92785616687037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1835445085209422E-2"/>
                      <c:h val="4.697303544554289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12FF-400A-85E3-F5F3F1658E13}"/>
                </c:ext>
              </c:extLst>
            </c:dLbl>
            <c:dLbl>
              <c:idx val="12"/>
              <c:layout>
                <c:manualLayout>
                  <c:x val="-1.7605633802816902E-2"/>
                  <c:y val="-4.92784230904611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2FF-400A-85E3-F5F3F1658E13}"/>
                </c:ext>
              </c:extLst>
            </c:dLbl>
            <c:dLbl>
              <c:idx val="13"/>
              <c:layout>
                <c:manualLayout>
                  <c:x val="-2.9342723004694836E-2"/>
                  <c:y val="6.33579725448785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2FF-400A-85E3-F5F3F1658E13}"/>
                </c:ext>
              </c:extLst>
            </c:dLbl>
            <c:dLbl>
              <c:idx val="14"/>
              <c:layout>
                <c:manualLayout>
                  <c:x val="-1.613849765258216E-2"/>
                  <c:y val="-5.27983104540655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2FF-400A-85E3-F5F3F1658E13}"/>
                </c:ext>
              </c:extLst>
            </c:dLbl>
            <c:dLbl>
              <c:idx val="15"/>
              <c:layout>
                <c:manualLayout>
                  <c:x val="-2.7875586854460094E-2"/>
                  <c:y val="7.0397747272087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2FF-400A-85E3-F5F3F1658E13}"/>
                </c:ext>
              </c:extLst>
            </c:dLbl>
            <c:dLbl>
              <c:idx val="16"/>
              <c:layout>
                <c:manualLayout>
                  <c:x val="-1.7605633802816902E-2"/>
                  <c:y val="-9.50369588173178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12FF-400A-85E3-F5F3F1658E13}"/>
                </c:ext>
              </c:extLst>
            </c:dLbl>
            <c:dLbl>
              <c:idx val="17"/>
              <c:layout>
                <c:manualLayout>
                  <c:x val="-2.3474178403755923E-2"/>
                  <c:y val="5.27983104540654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2FF-400A-85E3-F5F3F1658E13}"/>
                </c:ext>
              </c:extLst>
            </c:dLbl>
            <c:dLbl>
              <c:idx val="18"/>
              <c:layout>
                <c:manualLayout>
                  <c:x val="-2.2007042253521125E-2"/>
                  <c:y val="-4.92784230904611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12FF-400A-85E3-F5F3F1658E13}"/>
                </c:ext>
              </c:extLst>
            </c:dLbl>
            <c:dLbl>
              <c:idx val="19"/>
              <c:layout>
                <c:manualLayout>
                  <c:x val="-2.6408450704225352E-2"/>
                  <c:y val="7.39176346356916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12FF-400A-85E3-F5F3F1658E13}"/>
                </c:ext>
              </c:extLst>
            </c:dLbl>
            <c:dLbl>
              <c:idx val="20"/>
              <c:layout>
                <c:manualLayout>
                  <c:x val="-2.0539906103286439E-2"/>
                  <c:y val="-4.92784230904611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12FF-400A-85E3-F5F3F1658E13}"/>
                </c:ext>
              </c:extLst>
            </c:dLbl>
            <c:dLbl>
              <c:idx val="21"/>
              <c:layout>
                <c:manualLayout>
                  <c:x val="-2.9342723004694888E-2"/>
                  <c:y val="6.68778599084829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12FF-400A-85E3-F5F3F1658E13}"/>
                </c:ext>
              </c:extLst>
            </c:dLbl>
            <c:dLbl>
              <c:idx val="22"/>
              <c:layout>
                <c:manualLayout>
                  <c:x val="-1.9072769953051644E-2"/>
                  <c:y val="-5.98380851812741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12FF-400A-85E3-F5F3F1658E13}"/>
                </c:ext>
              </c:extLst>
            </c:dLbl>
            <c:dLbl>
              <c:idx val="23"/>
              <c:layout>
                <c:manualLayout>
                  <c:x val="-2.3474178403755923E-2"/>
                  <c:y val="4.57585357268566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12FF-400A-85E3-F5F3F1658E13}"/>
                </c:ext>
              </c:extLst>
            </c:dLbl>
            <c:dLbl>
              <c:idx val="24"/>
              <c:layout>
                <c:manualLayout>
                  <c:x val="-1.9072769953051644E-2"/>
                  <c:y val="-5.63181978176698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12FF-400A-85E3-F5F3F1658E13}"/>
                </c:ext>
              </c:extLst>
            </c:dLbl>
            <c:dLbl>
              <c:idx val="25"/>
              <c:layout>
                <c:manualLayout>
                  <c:x val="-1.0269953051643193E-2"/>
                  <c:y val="7.39176346356915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12FF-400A-85E3-F5F3F1658E13}"/>
                </c:ext>
              </c:extLst>
            </c:dLbl>
            <c:dLbl>
              <c:idx val="26"/>
              <c:layout>
                <c:manualLayout>
                  <c:x val="-2.4941314553990665E-2"/>
                  <c:y val="-5.98380851812742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12FF-400A-85E3-F5F3F1658E13}"/>
                </c:ext>
              </c:extLst>
            </c:dLbl>
            <c:dLbl>
              <c:idx val="27"/>
              <c:layout>
                <c:manualLayout>
                  <c:x val="-1.1737089201877934E-2"/>
                  <c:y val="7.39176346356916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12FF-400A-85E3-F5F3F1658E13}"/>
                </c:ext>
              </c:extLst>
            </c:dLbl>
            <c:dLbl>
              <c:idx val="28"/>
              <c:layout>
                <c:manualLayout>
                  <c:x val="-2.7875586854460094E-2"/>
                  <c:y val="-7.74375219992960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12FF-400A-85E3-F5F3F1658E13}"/>
                </c:ext>
              </c:extLst>
            </c:dLbl>
            <c:dLbl>
              <c:idx val="29"/>
              <c:layout>
                <c:manualLayout>
                  <c:x val="-1.4671361502347418E-2"/>
                  <c:y val="5.27983104540654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12FF-400A-85E3-F5F3F1658E13}"/>
                </c:ext>
              </c:extLst>
            </c:dLbl>
            <c:dLbl>
              <c:idx val="30"/>
              <c:layout>
                <c:manualLayout>
                  <c:x val="-1.760563380281701E-2"/>
                  <c:y val="-4.57585357268567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12FF-400A-85E3-F5F3F1658E13}"/>
                </c:ext>
              </c:extLst>
            </c:dLbl>
            <c:dLbl>
              <c:idx val="31"/>
              <c:layout>
                <c:manualLayout>
                  <c:x val="-1.0269953051643301E-2"/>
                  <c:y val="5.27983104540654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12FF-400A-85E3-F5F3F1658E13}"/>
                </c:ext>
              </c:extLst>
            </c:dLbl>
            <c:dLbl>
              <c:idx val="32"/>
              <c:layout>
                <c:manualLayout>
                  <c:x val="-1.3204225352112676E-2"/>
                  <c:y val="-6.33579725448785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12FF-400A-85E3-F5F3F1658E13}"/>
                </c:ext>
              </c:extLst>
            </c:dLbl>
            <c:dLbl>
              <c:idx val="33"/>
              <c:layout>
                <c:manualLayout>
                  <c:x val="-8.8028169014085587E-3"/>
                  <c:y val="4.22386483632523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12FF-400A-85E3-F5F3F1658E13}"/>
                </c:ext>
              </c:extLst>
            </c:dLbl>
            <c:dLbl>
              <c:idx val="34"/>
              <c:layout>
                <c:manualLayout>
                  <c:x val="-1.1737089201878041E-2"/>
                  <c:y val="-6.33579725448786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12FF-400A-85E3-F5F3F1658E13}"/>
                </c:ext>
              </c:extLst>
            </c:dLbl>
            <c:dLbl>
              <c:idx val="35"/>
              <c:layout>
                <c:manualLayout>
                  <c:x val="-2.934272300469591E-3"/>
                  <c:y val="4.57585357268567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12FF-400A-85E3-F5F3F1658E13}"/>
                </c:ext>
              </c:extLst>
            </c:dLbl>
            <c:dLbl>
              <c:idx val="36"/>
              <c:layout>
                <c:manualLayout>
                  <c:x val="-1.7605633802816902E-2"/>
                  <c:y val="-7.3917634635691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12FF-400A-85E3-F5F3F1658E13}"/>
                </c:ext>
              </c:extLst>
            </c:dLbl>
            <c:dLbl>
              <c:idx val="37"/>
              <c:layout>
                <c:manualLayout>
                  <c:x val="-7.335680751173709E-3"/>
                  <c:y val="7.0397747272087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12FF-400A-85E3-F5F3F1658E13}"/>
                </c:ext>
              </c:extLst>
            </c:dLbl>
            <c:dLbl>
              <c:idx val="38"/>
              <c:layout>
                <c:manualLayout>
                  <c:x val="-1.7605633802816902E-2"/>
                  <c:y val="-8.09574093629004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12FF-400A-85E3-F5F3F1658E13}"/>
                </c:ext>
              </c:extLst>
            </c:dLbl>
            <c:dLbl>
              <c:idx val="39"/>
              <c:layout>
                <c:manualLayout>
                  <c:x val="-1.1737089201877934E-2"/>
                  <c:y val="5.27983104540654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12FF-400A-85E3-F5F3F1658E13}"/>
                </c:ext>
              </c:extLst>
            </c:dLbl>
            <c:dLbl>
              <c:idx val="40"/>
              <c:layout>
                <c:manualLayout>
                  <c:x val="-1.9072769953051644E-2"/>
                  <c:y val="-6.33579725448785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8-12FF-400A-85E3-F5F3F1658E13}"/>
                </c:ext>
              </c:extLst>
            </c:dLbl>
            <c:dLbl>
              <c:idx val="41"/>
              <c:layout>
                <c:manualLayout>
                  <c:x val="-1.4671361502347418E-2"/>
                  <c:y val="7.39176346356916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12FF-400A-85E3-F5F3F1658E13}"/>
                </c:ext>
              </c:extLst>
            </c:dLbl>
            <c:dLbl>
              <c:idx val="42"/>
              <c:layout>
                <c:manualLayout>
                  <c:x val="-2.4941314553990609E-2"/>
                  <c:y val="-8.44772967265047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A-12FF-400A-85E3-F5F3F1658E13}"/>
                </c:ext>
              </c:extLst>
            </c:dLbl>
            <c:dLbl>
              <c:idx val="43"/>
              <c:layout>
                <c:manualLayout>
                  <c:x val="-1.4671361502347418E-2"/>
                  <c:y val="5.27983104540654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B-12FF-400A-85E3-F5F3F1658E13}"/>
                </c:ext>
              </c:extLst>
            </c:dLbl>
            <c:dLbl>
              <c:idx val="44"/>
              <c:layout>
                <c:manualLayout>
                  <c:x val="-2.7875586854460094E-2"/>
                  <c:y val="-6.68778599084829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C-12FF-400A-85E3-F5F3F1658E13}"/>
                </c:ext>
              </c:extLst>
            </c:dLbl>
            <c:dLbl>
              <c:idx val="45"/>
              <c:layout>
                <c:manualLayout>
                  <c:x val="-1.4671361502347418E-2"/>
                  <c:y val="4.22386483632523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D-12FF-400A-85E3-F5F3F1658E13}"/>
                </c:ext>
              </c:extLst>
            </c:dLbl>
            <c:dLbl>
              <c:idx val="46"/>
              <c:layout>
                <c:manualLayout>
                  <c:x val="-2.3474178403755867E-2"/>
                  <c:y val="-6.33579725448785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E-12FF-400A-85E3-F5F3F1658E13}"/>
                </c:ext>
              </c:extLst>
            </c:dLbl>
            <c:dLbl>
              <c:idx val="47"/>
              <c:layout>
                <c:manualLayout>
                  <c:x val="-1.1737089201878041E-2"/>
                  <c:y val="7.39176346356916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F-12FF-400A-85E3-F5F3F1658E13}"/>
                </c:ext>
              </c:extLst>
            </c:dLbl>
            <c:dLbl>
              <c:idx val="48"/>
              <c:layout>
                <c:manualLayout>
                  <c:x val="-2.4941314553990717E-2"/>
                  <c:y val="-4.57585357268567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0-12FF-400A-85E3-F5F3F1658E13}"/>
                </c:ext>
              </c:extLst>
            </c:dLbl>
            <c:dLbl>
              <c:idx val="49"/>
              <c:layout>
                <c:manualLayout>
                  <c:x val="-2.0539906103286494E-2"/>
                  <c:y val="4.5758535726856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1-12FF-400A-85E3-F5F3F1658E13}"/>
                </c:ext>
              </c:extLst>
            </c:dLbl>
            <c:dLbl>
              <c:idx val="50"/>
              <c:layout>
                <c:manualLayout>
                  <c:x val="-1.3204225352112676E-2"/>
                  <c:y val="-5.27983104540654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2-12FF-400A-85E3-F5F3F1658E13}"/>
                </c:ext>
              </c:extLst>
            </c:dLbl>
            <c:dLbl>
              <c:idx val="51"/>
              <c:layout>
                <c:manualLayout>
                  <c:x val="-2.0539906103286494E-2"/>
                  <c:y val="4.92784230904610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3-12FF-400A-85E3-F5F3F1658E13}"/>
                </c:ext>
              </c:extLst>
            </c:dLbl>
            <c:dLbl>
              <c:idx val="52"/>
              <c:layout>
                <c:manualLayout>
                  <c:x val="-1.0269953051643301E-2"/>
                  <c:y val="-4.22386483632523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4-12FF-400A-85E3-F5F3F1658E13}"/>
                </c:ext>
              </c:extLst>
            </c:dLbl>
            <c:dLbl>
              <c:idx val="53"/>
              <c:layout>
                <c:manualLayout>
                  <c:x val="-2.9342723004694836E-2"/>
                  <c:y val="7.39176346356915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5-12FF-400A-85E3-F5F3F1658E13}"/>
                </c:ext>
              </c:extLst>
            </c:dLbl>
            <c:dLbl>
              <c:idx val="54"/>
              <c:layout>
                <c:manualLayout>
                  <c:x val="-5.8685446009389668E-3"/>
                  <c:y val="-9.85568461809222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6-12FF-400A-85E3-F5F3F1658E13}"/>
                </c:ext>
              </c:extLst>
            </c:dLbl>
            <c:dLbl>
              <c:idx val="55"/>
              <c:layout>
                <c:manualLayout>
                  <c:x val="-3.0459082238972798E-2"/>
                  <c:y val="0.1196761703625483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7-12FF-400A-85E3-F5F3F1658E13}"/>
                </c:ext>
              </c:extLst>
            </c:dLbl>
            <c:dLbl>
              <c:idx val="56"/>
              <c:layout>
                <c:manualLayout>
                  <c:x val="0"/>
                  <c:y val="-6.33579725448785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8-12FF-400A-85E3-F5F3F1658E13}"/>
                </c:ext>
              </c:extLst>
            </c:dLbl>
            <c:dLbl>
              <c:idx val="57"/>
              <c:layout>
                <c:manualLayout>
                  <c:x val="-3.2057567502162598E-2"/>
                  <c:y val="7.80067368034821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9-12FF-400A-85E3-F5F3F1658E13}"/>
                </c:ext>
              </c:extLst>
            </c:dLbl>
            <c:dLbl>
              <c:idx val="58"/>
              <c:layout>
                <c:manualLayout>
                  <c:x val="-2.0874604665583591E-16"/>
                  <c:y val="5.27983104540654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A-12FF-400A-85E3-F5F3F1658E13}"/>
                </c:ext>
              </c:extLst>
            </c:dLbl>
            <c:dLbl>
              <c:idx val="59"/>
              <c:layout>
                <c:manualLayout>
                  <c:x val="-6.7200133426659611E-3"/>
                  <c:y val="-9.85568461809222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B-12FF-400A-85E3-F5F3F1658E13}"/>
                </c:ext>
              </c:extLst>
            </c:dLbl>
            <c:dLbl>
              <c:idx val="60"/>
              <c:layout>
                <c:manualLayout>
                  <c:x val="1.3487515808724782E-3"/>
                  <c:y val="8.5510582566642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C-12FF-400A-85E3-F5F3F1658E13}"/>
                </c:ext>
              </c:extLst>
            </c:dLbl>
            <c:dLbl>
              <c:idx val="61"/>
              <c:layout>
                <c:manualLayout>
                  <c:x val="-2.0229659124193798E-2"/>
                  <c:y val="-5.6699787923783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D-12FF-400A-85E3-F5F3F1658E13}"/>
                </c:ext>
              </c:extLst>
            </c:dLbl>
            <c:dLbl>
              <c:idx val="62"/>
              <c:layout>
                <c:manualLayout>
                  <c:x val="0"/>
                  <c:y val="2.85344793383963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E-12FF-400A-85E3-F5F3F1658E13}"/>
                </c:ext>
              </c:extLst>
            </c:dLbl>
            <c:dLbl>
              <c:idx val="63"/>
              <c:layout>
                <c:manualLayout>
                  <c:x val="-1.685127432853047E-2"/>
                  <c:y val="-6.766854881847063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5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2019964048457743E-2"/>
                      <c:h val="6.621394046460925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3F-12FF-400A-85E3-F5F3F1658E13}"/>
                </c:ext>
              </c:extLst>
            </c:dLbl>
            <c:dLbl>
              <c:idx val="64"/>
              <c:layout>
                <c:manualLayout>
                  <c:x val="1.206192879169106E-3"/>
                  <c:y val="2.5627259658443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0-12FF-400A-85E3-F5F3F1658E13}"/>
                </c:ext>
              </c:extLst>
            </c:dLbl>
            <c:dLbl>
              <c:idx val="65"/>
              <c:layout>
                <c:manualLayout>
                  <c:x val="-2.4123857583382119E-2"/>
                  <c:y val="-7.06537107991730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1-12FF-400A-85E3-F5F3F1658E13}"/>
                </c:ext>
              </c:extLst>
            </c:dLbl>
            <c:dLbl>
              <c:idx val="66"/>
              <c:layout>
                <c:manualLayout>
                  <c:x val="-3.494406938186248E-2"/>
                  <c:y val="5.20715312501622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2-12FF-400A-85E3-F5F3F1658E13}"/>
                </c:ext>
              </c:extLst>
            </c:dLbl>
            <c:dLbl>
              <c:idx val="67"/>
              <c:layout>
                <c:manualLayout>
                  <c:x val="-4.8247715166764241E-3"/>
                  <c:y val="6.52422078099310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3-12FF-400A-85E3-F5F3F1658E13}"/>
                </c:ext>
              </c:extLst>
            </c:dLbl>
            <c:dLbl>
              <c:idx val="68"/>
              <c:layout>
                <c:manualLayout>
                  <c:x val="-1.092392854931295E-2"/>
                  <c:y val="-4.45157461737224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4-12FF-400A-85E3-F5F3F1658E13}"/>
                </c:ext>
              </c:extLst>
            </c:dLbl>
            <c:dLbl>
              <c:idx val="69"/>
              <c:layout>
                <c:manualLayout>
                  <c:x val="1.0425924316343942E-2"/>
                  <c:y val="2.07024278601754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5-12FF-400A-85E3-F5F3F1658E13}"/>
                </c:ext>
              </c:extLst>
            </c:dLbl>
            <c:dLbl>
              <c:idx val="70"/>
              <c:layout>
                <c:manualLayout>
                  <c:x val="-1.3035408042024006E-2"/>
                  <c:y val="-0.1092395264712684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6-12FF-400A-85E3-F5F3F1658E13}"/>
                </c:ext>
              </c:extLst>
            </c:dLbl>
            <c:dLbl>
              <c:idx val="71"/>
              <c:layout>
                <c:manualLayout>
                  <c:x val="1.618732906668273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7-12FF-400A-85E3-F5F3F1658E13}"/>
                </c:ext>
              </c:extLst>
            </c:dLbl>
            <c:dLbl>
              <c:idx val="72"/>
              <c:layout>
                <c:manualLayout>
                  <c:x val="-2.5622429029812866E-2"/>
                  <c:y val="-5.206301571302029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5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9219313978274849E-2"/>
                      <c:h val="7.627709303918978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48-12FF-400A-85E3-F5F3F1658E13}"/>
                </c:ext>
              </c:extLst>
            </c:dLbl>
            <c:dLbl>
              <c:idx val="73"/>
              <c:layout>
                <c:manualLayout>
                  <c:x val="4.9807166359023165E-3"/>
                  <c:y val="3.8098947083644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9-12FF-400A-85E3-F5F3F1658E13}"/>
                </c:ext>
              </c:extLst>
            </c:dLbl>
            <c:dLbl>
              <c:idx val="74"/>
              <c:layout>
                <c:manualLayout>
                  <c:x val="-1.1829202010268217E-2"/>
                  <c:y val="-3.80989470836442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A-12FF-400A-85E3-F5F3F1658E13}"/>
                </c:ext>
              </c:extLst>
            </c:dLbl>
            <c:dLbl>
              <c:idx val="75"/>
              <c:layout>
                <c:manualLayout>
                  <c:x val="-2.412385758338389E-3"/>
                  <c:y val="-5.360291802467763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5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B-12FF-400A-85E3-F5F3F1658E13}"/>
                </c:ext>
              </c:extLst>
            </c:dLbl>
            <c:dLbl>
              <c:idx val="77"/>
              <c:layout>
                <c:manualLayout>
                  <c:x val="2.4903583179510212E-3"/>
                  <c:y val="2.77083251517412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C-12FF-400A-85E3-F5F3F1658E13}"/>
                </c:ext>
              </c:extLst>
            </c:dLbl>
            <c:dLbl>
              <c:idx val="78"/>
              <c:layout>
                <c:manualLayout>
                  <c:x val="-6.2258957948780093E-3"/>
                  <c:y val="-7.96614348112561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D-12FF-400A-85E3-F5F3F1658E13}"/>
                </c:ext>
              </c:extLst>
            </c:dLbl>
            <c:dLbl>
              <c:idx val="79"/>
              <c:layout>
                <c:manualLayout>
                  <c:x val="3.7355374769268055E-3"/>
                  <c:y val="7.61978941672884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E-12FF-400A-85E3-F5F3F1658E13}"/>
                </c:ext>
              </c:extLst>
            </c:dLbl>
            <c:dLbl>
              <c:idx val="81"/>
              <c:layout>
                <c:manualLayout>
                  <c:x val="1.2451791589754193E-3"/>
                  <c:y val="7.96614348112560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F-12FF-400A-85E3-F5F3F1658E13}"/>
                </c:ext>
              </c:extLst>
            </c:dLbl>
            <c:dLbl>
              <c:idx val="82"/>
              <c:layout>
                <c:manualLayout>
                  <c:x val="-8.0936645333414131E-3"/>
                  <c:y val="-6.5807272235385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50-12FF-400A-85E3-F5F3F1658E13}"/>
                </c:ext>
              </c:extLst>
            </c:dLbl>
            <c:dLbl>
              <c:idx val="84"/>
              <c:layout>
                <c:manualLayout>
                  <c:x val="-1.2451791589756019E-3"/>
                  <c:y val="9.005205674315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51-12FF-400A-85E3-F5F3F1658E13}"/>
                </c:ext>
              </c:extLst>
            </c:dLbl>
            <c:dLbl>
              <c:idx val="85"/>
              <c:layout>
                <c:manualLayout>
                  <c:x val="-6.2258957948780095E-4"/>
                  <c:y val="-6.23437315914178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52-12FF-400A-85E3-F5F3F1658E13}"/>
                </c:ext>
              </c:extLst>
            </c:dLbl>
            <c:dLbl>
              <c:idx val="86"/>
              <c:layout>
                <c:manualLayout>
                  <c:x val="-6.2258957948780095E-4"/>
                  <c:y val="9.00520567431590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53-12FF-400A-85E3-F5F3F1658E13}"/>
                </c:ext>
              </c:extLst>
            </c:dLbl>
            <c:dLbl>
              <c:idx val="87"/>
              <c:layout>
                <c:manualLayout>
                  <c:x val="-2.4903583179512038E-3"/>
                  <c:y val="-9.69791380310944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54-12FF-400A-85E3-F5F3F1658E13}"/>
                </c:ext>
              </c:extLst>
            </c:dLbl>
            <c:dLbl>
              <c:idx val="88"/>
              <c:layout>
                <c:manualLayout>
                  <c:x val="-3.7355374769268055E-3"/>
                  <c:y val="7.27343535233208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55-12FF-400A-85E3-F5F3F1658E13}"/>
                </c:ext>
              </c:extLst>
            </c:dLbl>
            <c:dLbl>
              <c:idx val="89"/>
              <c:layout>
                <c:manualLayout>
                  <c:x val="4.3581270564146063E-3"/>
                  <c:y val="-9.0052056743159137E-2"/>
                </c:manualLayout>
              </c:layout>
              <c:tx>
                <c:rich>
                  <a:bodyPr/>
                  <a:lstStyle/>
                  <a:p>
                    <a:fld id="{AAF7FED1-E14D-46B3-B79B-9C9C611F2C44}" type="VALUE">
                      <a:rPr lang="en-US" b="1">
                        <a:solidFill>
                          <a:srgbClr val="FF0000"/>
                        </a:solidFill>
                      </a:rPr>
                      <a:pPr/>
                      <a:t>[HODNOTA]</a:t>
                    </a:fld>
                    <a:endParaRPr lang="cs-CZ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56-12FF-400A-85E3-F5F3F1658E1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Index!$A$14:$A$103</c:f>
              <c:strCache>
                <c:ptCount val="90"/>
                <c:pt idx="0">
                  <c:v>2016-1</c:v>
                </c:pt>
                <c:pt idx="1">
                  <c:v>2016-2</c:v>
                </c:pt>
                <c:pt idx="2">
                  <c:v>2016-3</c:v>
                </c:pt>
                <c:pt idx="3">
                  <c:v>2016-4</c:v>
                </c:pt>
                <c:pt idx="4">
                  <c:v>2016-5</c:v>
                </c:pt>
                <c:pt idx="5">
                  <c:v>2016-6</c:v>
                </c:pt>
                <c:pt idx="6">
                  <c:v>2016-7</c:v>
                </c:pt>
                <c:pt idx="7">
                  <c:v>2016-8</c:v>
                </c:pt>
                <c:pt idx="8">
                  <c:v>2016-9</c:v>
                </c:pt>
                <c:pt idx="9">
                  <c:v>2016-10</c:v>
                </c:pt>
                <c:pt idx="10">
                  <c:v>2016-11</c:v>
                </c:pt>
                <c:pt idx="11">
                  <c:v>2016-12</c:v>
                </c:pt>
                <c:pt idx="12">
                  <c:v>2017-1</c:v>
                </c:pt>
                <c:pt idx="13">
                  <c:v>2017-2</c:v>
                </c:pt>
                <c:pt idx="14">
                  <c:v>2017-3</c:v>
                </c:pt>
                <c:pt idx="15">
                  <c:v>2017-4</c:v>
                </c:pt>
                <c:pt idx="16">
                  <c:v>2017-5</c:v>
                </c:pt>
                <c:pt idx="17">
                  <c:v>2017-6</c:v>
                </c:pt>
                <c:pt idx="18">
                  <c:v>2017-7</c:v>
                </c:pt>
                <c:pt idx="19">
                  <c:v>2017-8</c:v>
                </c:pt>
                <c:pt idx="20">
                  <c:v>2017-9</c:v>
                </c:pt>
                <c:pt idx="21">
                  <c:v>2017-10</c:v>
                </c:pt>
                <c:pt idx="22">
                  <c:v>2017-11</c:v>
                </c:pt>
                <c:pt idx="23">
                  <c:v>2017-12</c:v>
                </c:pt>
                <c:pt idx="24">
                  <c:v>2018-1</c:v>
                </c:pt>
                <c:pt idx="25">
                  <c:v>2018-2</c:v>
                </c:pt>
                <c:pt idx="26">
                  <c:v>2018-3</c:v>
                </c:pt>
                <c:pt idx="27">
                  <c:v>2018-4</c:v>
                </c:pt>
                <c:pt idx="28">
                  <c:v>2018-5</c:v>
                </c:pt>
                <c:pt idx="29">
                  <c:v>2018-6</c:v>
                </c:pt>
                <c:pt idx="30">
                  <c:v>2018-7</c:v>
                </c:pt>
                <c:pt idx="31">
                  <c:v>2018-8</c:v>
                </c:pt>
                <c:pt idx="32">
                  <c:v>2018-9</c:v>
                </c:pt>
                <c:pt idx="33">
                  <c:v>2018-10</c:v>
                </c:pt>
                <c:pt idx="34">
                  <c:v>2018-11</c:v>
                </c:pt>
                <c:pt idx="35">
                  <c:v>2018-12</c:v>
                </c:pt>
                <c:pt idx="36">
                  <c:v>2019-1</c:v>
                </c:pt>
                <c:pt idx="37">
                  <c:v>2019-2</c:v>
                </c:pt>
                <c:pt idx="38">
                  <c:v>2019-3</c:v>
                </c:pt>
                <c:pt idx="39">
                  <c:v>2019-4</c:v>
                </c:pt>
                <c:pt idx="40">
                  <c:v>2019-5</c:v>
                </c:pt>
                <c:pt idx="41">
                  <c:v>2019-6</c:v>
                </c:pt>
                <c:pt idx="42">
                  <c:v>2019-7</c:v>
                </c:pt>
                <c:pt idx="43">
                  <c:v>2019-8</c:v>
                </c:pt>
                <c:pt idx="44">
                  <c:v>2019-9</c:v>
                </c:pt>
                <c:pt idx="45">
                  <c:v>2019-10</c:v>
                </c:pt>
                <c:pt idx="46">
                  <c:v>2019-11</c:v>
                </c:pt>
                <c:pt idx="47">
                  <c:v>2019-12</c:v>
                </c:pt>
                <c:pt idx="48">
                  <c:v>2020-1</c:v>
                </c:pt>
                <c:pt idx="49">
                  <c:v>2020-2</c:v>
                </c:pt>
                <c:pt idx="50">
                  <c:v>2020-3</c:v>
                </c:pt>
                <c:pt idx="51">
                  <c:v>2020-4</c:v>
                </c:pt>
                <c:pt idx="52">
                  <c:v>2020-5</c:v>
                </c:pt>
                <c:pt idx="53">
                  <c:v>2020-6</c:v>
                </c:pt>
                <c:pt idx="54">
                  <c:v>2020-7</c:v>
                </c:pt>
                <c:pt idx="55">
                  <c:v>2020-8</c:v>
                </c:pt>
                <c:pt idx="56">
                  <c:v>2020-9</c:v>
                </c:pt>
                <c:pt idx="57">
                  <c:v>2020-10</c:v>
                </c:pt>
                <c:pt idx="58">
                  <c:v>2020-11</c:v>
                </c:pt>
                <c:pt idx="59">
                  <c:v>2020-12</c:v>
                </c:pt>
                <c:pt idx="60">
                  <c:v>2021-01</c:v>
                </c:pt>
                <c:pt idx="61">
                  <c:v>2021-02</c:v>
                </c:pt>
                <c:pt idx="62">
                  <c:v>2021-03</c:v>
                </c:pt>
                <c:pt idx="63">
                  <c:v>2021-4</c:v>
                </c:pt>
                <c:pt idx="64">
                  <c:v>2021-5</c:v>
                </c:pt>
                <c:pt idx="65">
                  <c:v>2021-6</c:v>
                </c:pt>
                <c:pt idx="66">
                  <c:v>2021-7</c:v>
                </c:pt>
                <c:pt idx="67">
                  <c:v>2021-8</c:v>
                </c:pt>
                <c:pt idx="68">
                  <c:v>2021-9</c:v>
                </c:pt>
                <c:pt idx="69">
                  <c:v>2021-10</c:v>
                </c:pt>
                <c:pt idx="70">
                  <c:v>2021-11</c:v>
                </c:pt>
                <c:pt idx="71">
                  <c:v>2021-12</c:v>
                </c:pt>
                <c:pt idx="72">
                  <c:v>2022-01</c:v>
                </c:pt>
                <c:pt idx="73">
                  <c:v>2022-02</c:v>
                </c:pt>
                <c:pt idx="74">
                  <c:v>2022-03</c:v>
                </c:pt>
                <c:pt idx="75">
                  <c:v>2022-04</c:v>
                </c:pt>
                <c:pt idx="76">
                  <c:v>2022-05</c:v>
                </c:pt>
                <c:pt idx="77">
                  <c:v>2022-06</c:v>
                </c:pt>
                <c:pt idx="78">
                  <c:v>2022-07</c:v>
                </c:pt>
                <c:pt idx="79">
                  <c:v>2022-08</c:v>
                </c:pt>
                <c:pt idx="80">
                  <c:v>2022-09</c:v>
                </c:pt>
                <c:pt idx="81">
                  <c:v>2022-10</c:v>
                </c:pt>
                <c:pt idx="82">
                  <c:v>2022-11</c:v>
                </c:pt>
                <c:pt idx="83">
                  <c:v>2022-12</c:v>
                </c:pt>
                <c:pt idx="84">
                  <c:v>2023-01</c:v>
                </c:pt>
                <c:pt idx="85">
                  <c:v>2023-02</c:v>
                </c:pt>
                <c:pt idx="86">
                  <c:v>2023-03</c:v>
                </c:pt>
                <c:pt idx="87">
                  <c:v>2023-04</c:v>
                </c:pt>
                <c:pt idx="88">
                  <c:v>2023-05</c:v>
                </c:pt>
                <c:pt idx="89">
                  <c:v>2023-06</c:v>
                </c:pt>
              </c:strCache>
            </c:strRef>
          </c:cat>
          <c:val>
            <c:numRef>
              <c:f>Index!$B$14:$B$103</c:f>
              <c:numCache>
                <c:formatCode>0.00</c:formatCode>
                <c:ptCount val="90"/>
                <c:pt idx="0">
                  <c:v>2.1256589371357233</c:v>
                </c:pt>
                <c:pt idx="1">
                  <c:v>2.1027652014792531</c:v>
                </c:pt>
                <c:pt idx="2">
                  <c:v>2.0264019543872136</c:v>
                </c:pt>
                <c:pt idx="3">
                  <c:v>2.0118066941852124</c:v>
                </c:pt>
                <c:pt idx="4">
                  <c:v>1.9415453683977921</c:v>
                </c:pt>
                <c:pt idx="5">
                  <c:v>1.9237350802989264</c:v>
                </c:pt>
                <c:pt idx="6">
                  <c:v>1.9341615334132596</c:v>
                </c:pt>
                <c:pt idx="7">
                  <c:v>1.8899879069037626</c:v>
                </c:pt>
                <c:pt idx="8">
                  <c:v>1.8644014294471518</c:v>
                </c:pt>
                <c:pt idx="9">
                  <c:v>1.8344460175267054</c:v>
                </c:pt>
                <c:pt idx="10">
                  <c:v>1.7830015493179574</c:v>
                </c:pt>
                <c:pt idx="11">
                  <c:v>1.7724914008475154</c:v>
                </c:pt>
                <c:pt idx="12">
                  <c:v>1.7818474845762851</c:v>
                </c:pt>
                <c:pt idx="13">
                  <c:v>1.885354158957617</c:v>
                </c:pt>
                <c:pt idx="14">
                  <c:v>2.0275614262013937</c:v>
                </c:pt>
                <c:pt idx="15">
                  <c:v>2.0798425318498794</c:v>
                </c:pt>
                <c:pt idx="16">
                  <c:v>2.0138622273338371</c:v>
                </c:pt>
                <c:pt idx="17">
                  <c:v>2.0314087917909327</c:v>
                </c:pt>
                <c:pt idx="18">
                  <c:v>2.1028079843189276</c:v>
                </c:pt>
                <c:pt idx="19">
                  <c:v>1.9981653069005534</c:v>
                </c:pt>
                <c:pt idx="20">
                  <c:v>2.073661563283355</c:v>
                </c:pt>
                <c:pt idx="21">
                  <c:v>2.1281886548105868</c:v>
                </c:pt>
                <c:pt idx="22">
                  <c:v>2.1850553099018897</c:v>
                </c:pt>
                <c:pt idx="23">
                  <c:v>2.2280799430552585</c:v>
                </c:pt>
                <c:pt idx="24">
                  <c:v>2.3654824677851298</c:v>
                </c:pt>
                <c:pt idx="25">
                  <c:v>2.440970321659456</c:v>
                </c:pt>
                <c:pt idx="26">
                  <c:v>2.4878587499063758</c:v>
                </c:pt>
                <c:pt idx="27">
                  <c:v>2.5613662413084843</c:v>
                </c:pt>
                <c:pt idx="28">
                  <c:v>2.6097347769096317</c:v>
                </c:pt>
                <c:pt idx="29">
                  <c:v>2.5113902410612958</c:v>
                </c:pt>
                <c:pt idx="30">
                  <c:v>2.5672576313357522</c:v>
                </c:pt>
                <c:pt idx="31">
                  <c:v>2.5460670213612238</c:v>
                </c:pt>
                <c:pt idx="32">
                  <c:v>2.6387789507773722</c:v>
                </c:pt>
                <c:pt idx="33">
                  <c:v>2.7219222141334343</c:v>
                </c:pt>
                <c:pt idx="34">
                  <c:v>2.8550072965266757</c:v>
                </c:pt>
                <c:pt idx="35">
                  <c:v>2.9883691918067878</c:v>
                </c:pt>
                <c:pt idx="36">
                  <c:v>3.0416059399631146</c:v>
                </c:pt>
                <c:pt idx="37">
                  <c:v>3.0436296337755842</c:v>
                </c:pt>
                <c:pt idx="38">
                  <c:v>2.9464301379719866</c:v>
                </c:pt>
                <c:pt idx="39">
                  <c:v>2.8722024986165691</c:v>
                </c:pt>
                <c:pt idx="40">
                  <c:v>2.8700031525549194</c:v>
                </c:pt>
                <c:pt idx="41">
                  <c:v>2.8011696626527214</c:v>
                </c:pt>
                <c:pt idx="42">
                  <c:v>2.7405281972246045</c:v>
                </c:pt>
                <c:pt idx="43">
                  <c:v>2.81</c:v>
                </c:pt>
                <c:pt idx="44">
                  <c:v>2.5979999999999999</c:v>
                </c:pt>
                <c:pt idx="45">
                  <c:v>2.5</c:v>
                </c:pt>
                <c:pt idx="46">
                  <c:v>2.56</c:v>
                </c:pt>
                <c:pt idx="47">
                  <c:v>2.5099999999999998</c:v>
                </c:pt>
                <c:pt idx="48">
                  <c:v>2.56</c:v>
                </c:pt>
                <c:pt idx="49">
                  <c:v>2.64</c:v>
                </c:pt>
                <c:pt idx="50">
                  <c:v>2.66</c:v>
                </c:pt>
                <c:pt idx="51">
                  <c:v>2.5299999999999998</c:v>
                </c:pt>
                <c:pt idx="52">
                  <c:v>2.4</c:v>
                </c:pt>
                <c:pt idx="53">
                  <c:v>2.2200000000000002</c:v>
                </c:pt>
                <c:pt idx="54">
                  <c:v>2.15</c:v>
                </c:pt>
                <c:pt idx="55">
                  <c:v>2.1</c:v>
                </c:pt>
                <c:pt idx="56">
                  <c:v>2.09</c:v>
                </c:pt>
                <c:pt idx="57">
                  <c:v>2.0299999999999998</c:v>
                </c:pt>
                <c:pt idx="58">
                  <c:v>2.0299999999999998</c:v>
                </c:pt>
                <c:pt idx="59">
                  <c:v>2.08</c:v>
                </c:pt>
                <c:pt idx="60">
                  <c:v>1.97</c:v>
                </c:pt>
                <c:pt idx="61">
                  <c:v>1.98</c:v>
                </c:pt>
                <c:pt idx="62">
                  <c:v>2.0009999999999999</c:v>
                </c:pt>
                <c:pt idx="63">
                  <c:v>2.12</c:v>
                </c:pt>
                <c:pt idx="64">
                  <c:v>2.15</c:v>
                </c:pt>
                <c:pt idx="65">
                  <c:v>2.2400000000000002</c:v>
                </c:pt>
                <c:pt idx="66">
                  <c:v>2.34</c:v>
                </c:pt>
                <c:pt idx="67">
                  <c:v>2.42</c:v>
                </c:pt>
                <c:pt idx="68">
                  <c:v>2.57</c:v>
                </c:pt>
                <c:pt idx="69">
                  <c:v>2.72</c:v>
                </c:pt>
                <c:pt idx="70">
                  <c:v>2.86</c:v>
                </c:pt>
                <c:pt idx="71">
                  <c:v>3.31</c:v>
                </c:pt>
                <c:pt idx="72">
                  <c:v>3.78</c:v>
                </c:pt>
                <c:pt idx="73">
                  <c:v>4.1500000000000004</c:v>
                </c:pt>
                <c:pt idx="74">
                  <c:v>4.3</c:v>
                </c:pt>
                <c:pt idx="75">
                  <c:v>4.6100000000000003</c:v>
                </c:pt>
                <c:pt idx="76">
                  <c:v>4.75</c:v>
                </c:pt>
                <c:pt idx="77">
                  <c:v>5.2</c:v>
                </c:pt>
                <c:pt idx="78">
                  <c:v>5.62</c:v>
                </c:pt>
                <c:pt idx="79">
                  <c:v>5.82</c:v>
                </c:pt>
                <c:pt idx="80">
                  <c:v>5.9</c:v>
                </c:pt>
                <c:pt idx="81">
                  <c:v>5.87</c:v>
                </c:pt>
                <c:pt idx="82">
                  <c:v>5.97</c:v>
                </c:pt>
                <c:pt idx="83">
                  <c:v>6.17</c:v>
                </c:pt>
                <c:pt idx="84">
                  <c:v>5.99</c:v>
                </c:pt>
                <c:pt idx="85">
                  <c:v>5.94</c:v>
                </c:pt>
                <c:pt idx="86">
                  <c:v>5.89</c:v>
                </c:pt>
                <c:pt idx="87">
                  <c:v>5.81</c:v>
                </c:pt>
                <c:pt idx="88">
                  <c:v>5.92</c:v>
                </c:pt>
                <c:pt idx="89">
                  <c:v>5.87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57-12FF-400A-85E3-F5F3F1658E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3413248"/>
        <c:axId val="84657856"/>
      </c:lineChart>
      <c:catAx>
        <c:axId val="143413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84657856"/>
        <c:crosses val="autoZero"/>
        <c:auto val="1"/>
        <c:lblAlgn val="ctr"/>
        <c:lblOffset val="100"/>
        <c:noMultiLvlLbl val="0"/>
      </c:catAx>
      <c:valAx>
        <c:axId val="84657856"/>
        <c:scaling>
          <c:orientation val="minMax"/>
          <c:min val="1.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43413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0.79617</cdr:x>
      <cdr:y>0.71769</cdr:y>
    </cdr:from>
    <cdr:to>
      <cdr:x>1</cdr:x>
      <cdr:y>0.76056</cdr:y>
    </cdr:to>
    <cdr:sp macro="" textlink="">
      <cdr:nvSpPr>
        <cdr:cNvPr id="2" name="TextovéPole 2"/>
        <cdr:cNvSpPr txBox="1"/>
      </cdr:nvSpPr>
      <cdr:spPr>
        <a:xfrm xmlns:a="http://schemas.openxmlformats.org/drawingml/2006/main">
          <a:off x="5283200" y="1941423"/>
          <a:ext cx="1352550" cy="115977"/>
        </a:xfrm>
        <a:prstGeom xmlns:a="http://schemas.openxmlformats.org/drawingml/2006/main" prst="rect">
          <a:avLst/>
        </a:prstGeom>
        <a:solidFill xmlns:a="http://schemas.openxmlformats.org/drawingml/2006/main">
          <a:schemeClr val="lt1"/>
        </a:solidFill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500">
              <a:latin typeface="Arial" panose="020B0604020202020204" pitchFamily="34" charset="0"/>
              <a:cs typeface="Arial" panose="020B0604020202020204" pitchFamily="34" charset="0"/>
            </a:rPr>
            <a:t>Zdroj: Broker Consulting, </a:t>
          </a:r>
          <a:r>
            <a:rPr lang="cs-CZ" sz="500" baseline="0">
              <a:latin typeface="Arial" panose="020B0604020202020204" pitchFamily="34" charset="0"/>
              <a:cs typeface="Arial" panose="020B0604020202020204" pitchFamily="34" charset="0"/>
            </a:rPr>
            <a:t>červen 2023</a:t>
          </a:r>
        </a:p>
        <a:p xmlns:a="http://schemas.openxmlformats.org/drawingml/2006/main">
          <a:endParaRPr lang="cs-CZ" sz="900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52F44-D9D3-4F30-A888-82CAFBDDE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885</Words>
  <Characters>5224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Michaela Sahulová</cp:lastModifiedBy>
  <cp:revision>3</cp:revision>
  <cp:lastPrinted>2023-03-06T11:31:00Z</cp:lastPrinted>
  <dcterms:created xsi:type="dcterms:W3CDTF">2023-08-09T11:54:00Z</dcterms:created>
  <dcterms:modified xsi:type="dcterms:W3CDTF">2023-08-09T11:55:00Z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