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5B43CF83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bookmarkStart w:id="0" w:name="_GoBack"/>
          <w:bookmarkEnd w:id="0"/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g.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okpointy.cz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POINTů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713CD7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7B2F240A" w14:textId="24005AB8" w:rsidR="00B32817" w:rsidRPr="00F411C5" w:rsidRDefault="00F411C5" w:rsidP="00B85C55">
      <w:pPr>
        <w:spacing w:after="240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1C5">
        <w:rPr>
          <w:rFonts w:asciiTheme="minorHAnsi" w:hAnsiTheme="minorHAnsi" w:cstheme="minorHAnsi"/>
          <w:b/>
          <w:sz w:val="26"/>
          <w:szCs w:val="26"/>
        </w:rPr>
        <w:t>Úroky z hypoték v květnu stagnovaly</w:t>
      </w:r>
    </w:p>
    <w:p w14:paraId="2F8E01C8" w14:textId="30F1943B" w:rsidR="00B85C55" w:rsidRPr="001B1E41" w:rsidRDefault="005C0D63" w:rsidP="00B85C55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Broker Consulting Index hypotečních úvěrů činil za květen 5,92 procenta</w:t>
      </w:r>
    </w:p>
    <w:p w14:paraId="711A9D9D" w14:textId="3B0B3632" w:rsidR="00B85C55" w:rsidRDefault="009955B3" w:rsidP="00CA78F9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 w:rsidRPr="00CA78F9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Předstihový ukazatel na červen predikuje 6 procent </w:t>
      </w:r>
      <w:r w:rsidR="008E6712" w:rsidRPr="00CA78F9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pro hypotéky s pětiletou fixací</w:t>
      </w:r>
    </w:p>
    <w:p w14:paraId="382ADD34" w14:textId="116AA566" w:rsidR="00CA78F9" w:rsidRPr="00CA78F9" w:rsidRDefault="00CA78F9" w:rsidP="00CA78F9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sz w:val="21"/>
          <w:szCs w:val="21"/>
          <w:lang w:bidi="ar-SA"/>
        </w:rPr>
      </w:pP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U nových hypoték</w:t>
      </w:r>
      <w:r w:rsidR="00C456DD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i změn fixací</w:t>
      </w: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 odborníci doporučují kratší </w:t>
      </w:r>
      <w:r w:rsidR="0028081F"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 xml:space="preserve">dobu </w:t>
      </w:r>
      <w:r>
        <w:rPr>
          <w:rFonts w:asciiTheme="minorHAnsi" w:eastAsiaTheme="minorHAnsi" w:hAnsiTheme="minorHAnsi" w:cstheme="minorHAnsi"/>
          <w:b/>
          <w:sz w:val="21"/>
          <w:szCs w:val="21"/>
          <w:lang w:bidi="ar-SA"/>
        </w:rPr>
        <w:t>fixace</w:t>
      </w:r>
    </w:p>
    <w:p w14:paraId="46836511" w14:textId="57E53440" w:rsidR="0032734F" w:rsidRPr="001B1E41" w:rsidRDefault="001F2399" w:rsidP="008B5C5C">
      <w:pPr>
        <w:spacing w:before="200" w:after="200"/>
        <w:jc w:val="both"/>
        <w:rPr>
          <w:rFonts w:asciiTheme="minorHAnsi" w:hAnsiTheme="minorHAnsi" w:cstheme="minorHAnsi"/>
          <w:b/>
          <w:sz w:val="21"/>
          <w:szCs w:val="21"/>
        </w:rPr>
      </w:pPr>
      <w:r w:rsidRPr="008E6712">
        <w:rPr>
          <w:rFonts w:asciiTheme="minorHAnsi" w:hAnsiTheme="minorHAnsi" w:cstheme="minorHAnsi"/>
          <w:b/>
          <w:i/>
          <w:sz w:val="21"/>
          <w:szCs w:val="21"/>
        </w:rPr>
        <w:t xml:space="preserve">Praha, 9. června </w:t>
      </w:r>
      <w:r w:rsidR="006110E7" w:rsidRPr="008E6712">
        <w:rPr>
          <w:rFonts w:asciiTheme="minorHAnsi" w:hAnsiTheme="minorHAnsi" w:cstheme="minorHAnsi"/>
          <w:b/>
          <w:i/>
          <w:sz w:val="21"/>
          <w:szCs w:val="21"/>
        </w:rPr>
        <w:t>2023</w:t>
      </w:r>
      <w:r w:rsidR="00CD6257" w:rsidRPr="001B1E41">
        <w:rPr>
          <w:rFonts w:asciiTheme="minorHAnsi" w:hAnsiTheme="minorHAnsi" w:cstheme="minorHAnsi"/>
          <w:b/>
          <w:sz w:val="21"/>
          <w:szCs w:val="21"/>
        </w:rPr>
        <w:t xml:space="preserve"> –</w:t>
      </w:r>
      <w:r w:rsidR="004D14C1" w:rsidRPr="001B1E41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5B4E77" w:rsidRPr="001B1E41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2F62C4">
        <w:rPr>
          <w:rFonts w:asciiTheme="minorHAnsi" w:hAnsiTheme="minorHAnsi" w:cstheme="minorHAnsi"/>
          <w:b/>
          <w:sz w:val="21"/>
          <w:szCs w:val="21"/>
        </w:rPr>
        <w:t xml:space="preserve">Květnové výsledky Broker Consulting Indexu hypotečních úvěrů potvrdily stagnaci úrokových sazeb u hypoték. Meziměsíčně se hodnota sledovaného ukazatele zvedla jen o 0,11 procentního bodu, což odpovídá ustrnutí </w:t>
      </w:r>
      <w:r w:rsidR="005B68FA">
        <w:rPr>
          <w:rFonts w:asciiTheme="minorHAnsi" w:hAnsiTheme="minorHAnsi" w:cstheme="minorHAnsi"/>
          <w:b/>
          <w:sz w:val="21"/>
          <w:szCs w:val="21"/>
        </w:rPr>
        <w:t>vývoje těsně pod šestiprocentní hranicí</w:t>
      </w:r>
      <w:r w:rsidR="002F62C4">
        <w:rPr>
          <w:rFonts w:asciiTheme="minorHAnsi" w:hAnsiTheme="minorHAnsi" w:cstheme="minorHAnsi"/>
          <w:b/>
          <w:sz w:val="21"/>
          <w:szCs w:val="21"/>
        </w:rPr>
        <w:t xml:space="preserve">, </w:t>
      </w:r>
      <w:r w:rsidR="005B68FA">
        <w:rPr>
          <w:rFonts w:asciiTheme="minorHAnsi" w:hAnsiTheme="minorHAnsi" w:cstheme="minorHAnsi"/>
          <w:b/>
          <w:sz w:val="21"/>
          <w:szCs w:val="21"/>
        </w:rPr>
        <w:t xml:space="preserve">které trvá již od začátku letošního roku. Předstihový ukazatel indexu, který predikuje průměrnou hodnotu v následujícím měsíci, naopak mírně klesl </w:t>
      </w:r>
      <w:r w:rsidR="008866ED">
        <w:rPr>
          <w:rFonts w:asciiTheme="minorHAnsi" w:hAnsiTheme="minorHAnsi" w:cstheme="minorHAnsi"/>
          <w:b/>
          <w:sz w:val="21"/>
          <w:szCs w:val="21"/>
        </w:rPr>
        <w:t>na celých šest procent. Analytici díky němu očekávají mírný pokles úroků u úvěrů s pětiletou fixací, celkově ale nepředpokládají na hypotečním trhu</w:t>
      </w:r>
      <w:r w:rsidR="00232B0D">
        <w:rPr>
          <w:rFonts w:asciiTheme="minorHAnsi" w:hAnsiTheme="minorHAnsi" w:cstheme="minorHAnsi"/>
          <w:b/>
          <w:sz w:val="21"/>
          <w:szCs w:val="21"/>
        </w:rPr>
        <w:t xml:space="preserve"> dramatické změny, možné jsou podle nich pouze</w:t>
      </w:r>
      <w:r w:rsidR="008866ED">
        <w:rPr>
          <w:rFonts w:asciiTheme="minorHAnsi" w:hAnsiTheme="minorHAnsi" w:cstheme="minorHAnsi"/>
          <w:b/>
          <w:sz w:val="21"/>
          <w:szCs w:val="21"/>
        </w:rPr>
        <w:t xml:space="preserve"> drobné výkyvy kvůli konkurenčnímu boji bank. </w:t>
      </w:r>
    </w:p>
    <w:p w14:paraId="72F982FD" w14:textId="5FA5F4A3" w:rsidR="009213AE" w:rsidRDefault="00817512" w:rsidP="008B5C5C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5C0D63">
        <w:rPr>
          <w:rFonts w:asciiTheme="minorHAnsi" w:hAnsiTheme="minorHAnsi" w:cstheme="minorHAnsi"/>
          <w:sz w:val="21"/>
          <w:szCs w:val="21"/>
        </w:rPr>
        <w:t>„</w:t>
      </w:r>
      <w:r w:rsidR="00F84ACE" w:rsidRPr="005C0D63">
        <w:rPr>
          <w:rFonts w:asciiTheme="minorHAnsi" w:hAnsiTheme="minorHAnsi" w:cstheme="minorHAnsi"/>
          <w:i/>
          <w:iCs/>
          <w:sz w:val="21"/>
          <w:szCs w:val="21"/>
        </w:rPr>
        <w:t xml:space="preserve">S dlouhodobým udržováním úroků centrální bankou převládla na hypotečním trhu stagnace, kterou očekáváme i v nejbližších </w:t>
      </w:r>
      <w:r w:rsidR="005C0D63" w:rsidRPr="005C0D63">
        <w:rPr>
          <w:rFonts w:asciiTheme="minorHAnsi" w:hAnsiTheme="minorHAnsi" w:cstheme="minorHAnsi"/>
          <w:i/>
          <w:iCs/>
          <w:sz w:val="21"/>
          <w:szCs w:val="21"/>
        </w:rPr>
        <w:t xml:space="preserve">týdnech. K drobným výkyvům může ale docházet kvůli </w:t>
      </w:r>
      <w:r w:rsidR="00F84ACE" w:rsidRPr="005C0D63">
        <w:rPr>
          <w:rFonts w:asciiTheme="minorHAnsi" w:hAnsiTheme="minorHAnsi" w:cstheme="minorHAnsi"/>
          <w:i/>
          <w:iCs/>
          <w:sz w:val="21"/>
          <w:szCs w:val="21"/>
        </w:rPr>
        <w:t>konkuren</w:t>
      </w:r>
      <w:r w:rsidR="005C0D63" w:rsidRPr="005C0D63">
        <w:rPr>
          <w:rFonts w:asciiTheme="minorHAnsi" w:hAnsiTheme="minorHAnsi" w:cstheme="minorHAnsi"/>
          <w:i/>
          <w:iCs/>
          <w:sz w:val="21"/>
          <w:szCs w:val="21"/>
        </w:rPr>
        <w:t>čnímu boji</w:t>
      </w:r>
      <w:r w:rsidR="00F84ACE" w:rsidRPr="005C0D63">
        <w:rPr>
          <w:rFonts w:asciiTheme="minorHAnsi" w:hAnsiTheme="minorHAnsi" w:cstheme="minorHAnsi"/>
          <w:i/>
          <w:iCs/>
          <w:sz w:val="21"/>
          <w:szCs w:val="21"/>
        </w:rPr>
        <w:t xml:space="preserve"> bank</w:t>
      </w:r>
      <w:r w:rsidR="00F84ACE" w:rsidRPr="009955B3">
        <w:rPr>
          <w:rFonts w:asciiTheme="minorHAnsi" w:hAnsiTheme="minorHAnsi" w:cstheme="minorHAnsi"/>
          <w:iCs/>
          <w:sz w:val="21"/>
          <w:szCs w:val="21"/>
        </w:rPr>
        <w:t>,</w:t>
      </w:r>
      <w:r w:rsidR="005C0D63" w:rsidRPr="009955B3">
        <w:rPr>
          <w:rFonts w:asciiTheme="minorHAnsi" w:hAnsiTheme="minorHAnsi" w:cstheme="minorHAnsi"/>
          <w:iCs/>
          <w:sz w:val="21"/>
          <w:szCs w:val="21"/>
        </w:rPr>
        <w:t>“</w:t>
      </w:r>
      <w:r w:rsidR="009955B3" w:rsidRPr="009955B3">
        <w:rPr>
          <w:rFonts w:asciiTheme="minorHAnsi" w:hAnsiTheme="minorHAnsi" w:cstheme="minorHAnsi"/>
          <w:iCs/>
          <w:sz w:val="21"/>
          <w:szCs w:val="21"/>
        </w:rPr>
        <w:t xml:space="preserve"> říká ke</w:t>
      </w:r>
      <w:r w:rsidR="00477DCC" w:rsidRPr="005C0D63">
        <w:rPr>
          <w:rFonts w:asciiTheme="minorHAnsi" w:hAnsiTheme="minorHAnsi" w:cstheme="minorHAnsi"/>
          <w:sz w:val="21"/>
          <w:szCs w:val="21"/>
        </w:rPr>
        <w:t xml:space="preserve"> </w:t>
      </w:r>
      <w:r w:rsidR="009955B3">
        <w:rPr>
          <w:rFonts w:asciiTheme="minorHAnsi" w:hAnsiTheme="minorHAnsi" w:cstheme="minorHAnsi"/>
          <w:sz w:val="21"/>
          <w:szCs w:val="21"/>
        </w:rPr>
        <w:t xml:space="preserve">květnovým výsledkům </w:t>
      </w:r>
      <w:r w:rsidR="005C0D63" w:rsidRPr="005C0D63">
        <w:rPr>
          <w:rFonts w:asciiTheme="minorHAnsi" w:hAnsiTheme="minorHAnsi" w:cstheme="minorHAnsi"/>
          <w:sz w:val="21"/>
          <w:szCs w:val="21"/>
        </w:rPr>
        <w:t>indexu</w:t>
      </w:r>
      <w:r w:rsidR="00477DCC" w:rsidRPr="005C0D63">
        <w:rPr>
          <w:rFonts w:asciiTheme="minorHAnsi" w:hAnsiTheme="minorHAnsi" w:cstheme="minorHAnsi"/>
          <w:sz w:val="21"/>
          <w:szCs w:val="21"/>
        </w:rPr>
        <w:t xml:space="preserve"> </w:t>
      </w:r>
      <w:r w:rsidRPr="005C0D63">
        <w:rPr>
          <w:rFonts w:asciiTheme="minorHAnsi" w:hAnsiTheme="minorHAnsi" w:cstheme="minorHAnsi"/>
          <w:b/>
          <w:bCs/>
          <w:sz w:val="21"/>
          <w:szCs w:val="21"/>
        </w:rPr>
        <w:t>Martin Novák, hlavní analytik společnosti Broker Consulting</w:t>
      </w:r>
      <w:r w:rsidRPr="005C0D63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7CA6EC19" w14:textId="46C83E98" w:rsidR="0027691A" w:rsidRPr="001F7577" w:rsidRDefault="001F7577" w:rsidP="008B5C5C">
      <w:pPr>
        <w:spacing w:after="120"/>
        <w:jc w:val="both"/>
        <w:rPr>
          <w:rFonts w:asciiTheme="minorHAnsi" w:hAnsiTheme="minorHAnsi" w:cstheme="minorHAnsi"/>
        </w:rPr>
      </w:pPr>
      <w:r w:rsidRPr="001F7577">
        <w:rPr>
          <w:rFonts w:asciiTheme="minorHAnsi" w:hAnsiTheme="minorHAnsi" w:cstheme="minorHAnsi"/>
        </w:rPr>
        <w:t>Po maximu z loňského prosince, kterým se hypotéky dostaly nad hranici šesti procent, následoval mírný pokles a stabilizac</w:t>
      </w:r>
      <w:r>
        <w:rPr>
          <w:rFonts w:asciiTheme="minorHAnsi" w:hAnsiTheme="minorHAnsi" w:cstheme="minorHAnsi"/>
        </w:rPr>
        <w:t xml:space="preserve">e úrokových sazeb. Kvůli vysokým úrokům začaly banky u hypoték nabízet splácení úrokové splátky do další změny fixace. Pro některé klienty to sice může znamenat krátkodobou pomoct, nikoli však úsporu jejich peněz. </w:t>
      </w:r>
      <w:r w:rsidR="005A2637">
        <w:rPr>
          <w:rFonts w:asciiTheme="minorHAnsi" w:hAnsiTheme="minorHAnsi" w:cstheme="minorHAnsi"/>
        </w:rPr>
        <w:t>V případě pouze platby úroků se totiž neumořuje jistina, v konečném důsledku zaplatí tedy klient více než za běžnéh</w:t>
      </w:r>
      <w:r w:rsidR="00027C83">
        <w:rPr>
          <w:rFonts w:asciiTheme="minorHAnsi" w:hAnsiTheme="minorHAnsi" w:cstheme="minorHAnsi"/>
        </w:rPr>
        <w:t>o splácení hypotéky. Zásadní je také</w:t>
      </w:r>
      <w:r w:rsidR="005A2637">
        <w:rPr>
          <w:rFonts w:asciiTheme="minorHAnsi" w:hAnsiTheme="minorHAnsi" w:cstheme="minorHAnsi"/>
        </w:rPr>
        <w:t xml:space="preserve"> bonita klientů, kterou banky řeší. </w:t>
      </w:r>
    </w:p>
    <w:p w14:paraId="139151C3" w14:textId="4378515C" w:rsidR="00952F66" w:rsidRPr="00E6550B" w:rsidRDefault="003A3DE2" w:rsidP="008B5C5C">
      <w:pPr>
        <w:spacing w:after="120"/>
        <w:jc w:val="both"/>
        <w:rPr>
          <w:rFonts w:asciiTheme="minorHAnsi" w:hAnsiTheme="minorHAnsi" w:cstheme="minorHAnsi"/>
        </w:rPr>
      </w:pPr>
      <w:r w:rsidRPr="00E6550B">
        <w:rPr>
          <w:rFonts w:asciiTheme="minorHAnsi" w:hAnsiTheme="minorHAnsi" w:cstheme="minorHAnsi"/>
        </w:rPr>
        <w:t xml:space="preserve">Konkrétní modelace </w:t>
      </w:r>
      <w:r w:rsidR="005B5CA8" w:rsidRPr="00E6550B">
        <w:rPr>
          <w:rFonts w:asciiTheme="minorHAnsi" w:hAnsiTheme="minorHAnsi" w:cstheme="minorHAnsi"/>
        </w:rPr>
        <w:t xml:space="preserve">poté může vypadat následovně: u pěti milionové hypotéky na 30 let s úrokovou sazbou 6 </w:t>
      </w:r>
      <w:r w:rsidR="004C0D41" w:rsidRPr="00E6550B">
        <w:rPr>
          <w:rFonts w:asciiTheme="minorHAnsi" w:hAnsiTheme="minorHAnsi" w:cstheme="minorHAnsi"/>
        </w:rPr>
        <w:t>procent</w:t>
      </w:r>
      <w:r w:rsidR="005B5CA8" w:rsidRPr="00E6550B">
        <w:rPr>
          <w:rFonts w:asciiTheme="minorHAnsi" w:hAnsiTheme="minorHAnsi" w:cstheme="minorHAnsi"/>
        </w:rPr>
        <w:t xml:space="preserve"> bude klient aktuálně měsíčně splácet 30 tisíc korun. V případě </w:t>
      </w:r>
      <w:r w:rsidR="005B6889" w:rsidRPr="00E6550B">
        <w:rPr>
          <w:rFonts w:asciiTheme="minorHAnsi" w:hAnsiTheme="minorHAnsi" w:cstheme="minorHAnsi"/>
        </w:rPr>
        <w:t xml:space="preserve">poklesu </w:t>
      </w:r>
      <w:r w:rsidR="005B5CA8" w:rsidRPr="00E6550B">
        <w:rPr>
          <w:rFonts w:asciiTheme="minorHAnsi" w:hAnsiTheme="minorHAnsi" w:cstheme="minorHAnsi"/>
        </w:rPr>
        <w:t xml:space="preserve">úrokové sazby po třech letech o jedno procento na 5 procent se měsíční splátka sníží o celé tři tisíce a klient by tak pravidelně </w:t>
      </w:r>
      <w:r w:rsidR="005B6889" w:rsidRPr="00E6550B">
        <w:rPr>
          <w:rFonts w:asciiTheme="minorHAnsi" w:hAnsiTheme="minorHAnsi" w:cstheme="minorHAnsi"/>
        </w:rPr>
        <w:t>mohl splácet</w:t>
      </w:r>
      <w:r w:rsidR="005B5CA8" w:rsidRPr="00E6550B">
        <w:rPr>
          <w:rFonts w:asciiTheme="minorHAnsi" w:hAnsiTheme="minorHAnsi" w:cstheme="minorHAnsi"/>
        </w:rPr>
        <w:t xml:space="preserve"> už jen 27 tisíc korun.</w:t>
      </w:r>
    </w:p>
    <w:p w14:paraId="54234E8F" w14:textId="5A39D400" w:rsidR="00E6550B" w:rsidRDefault="004E2983" w:rsidP="00E6550B">
      <w:pPr>
        <w:rPr>
          <w:rFonts w:asciiTheme="minorHAnsi" w:hAnsiTheme="minorHAnsi" w:cstheme="minorHAnsi"/>
        </w:rPr>
      </w:pPr>
      <w:r w:rsidRPr="00E6550B">
        <w:rPr>
          <w:rFonts w:asciiTheme="minorHAnsi" w:hAnsiTheme="minorHAnsi" w:cstheme="minorHAnsi"/>
        </w:rPr>
        <w:t xml:space="preserve">U fixace </w:t>
      </w:r>
      <w:r w:rsidR="00E6550B" w:rsidRPr="00E6550B">
        <w:rPr>
          <w:rFonts w:asciiTheme="minorHAnsi" w:hAnsiTheme="minorHAnsi" w:cstheme="minorHAnsi"/>
        </w:rPr>
        <w:t>analytici</w:t>
      </w:r>
      <w:r w:rsidR="005C41F6" w:rsidRPr="00E6550B">
        <w:rPr>
          <w:rFonts w:asciiTheme="minorHAnsi" w:hAnsiTheme="minorHAnsi" w:cstheme="minorHAnsi"/>
        </w:rPr>
        <w:t xml:space="preserve"> </w:t>
      </w:r>
      <w:r w:rsidRPr="00E6550B">
        <w:rPr>
          <w:rFonts w:asciiTheme="minorHAnsi" w:hAnsiTheme="minorHAnsi" w:cstheme="minorHAnsi"/>
        </w:rPr>
        <w:t xml:space="preserve">doporučují zvolit </w:t>
      </w:r>
      <w:r w:rsidR="005C41F6" w:rsidRPr="00E6550B">
        <w:rPr>
          <w:rFonts w:asciiTheme="minorHAnsi" w:hAnsiTheme="minorHAnsi" w:cstheme="minorHAnsi"/>
        </w:rPr>
        <w:t xml:space="preserve">nyní </w:t>
      </w:r>
      <w:r w:rsidR="00737562" w:rsidRPr="00E6550B">
        <w:rPr>
          <w:rFonts w:asciiTheme="minorHAnsi" w:hAnsiTheme="minorHAnsi" w:cstheme="minorHAnsi"/>
        </w:rPr>
        <w:t xml:space="preserve">spíše kratší dobu. </w:t>
      </w:r>
      <w:r w:rsidR="00E6550B" w:rsidRPr="00E6550B">
        <w:rPr>
          <w:rFonts w:asciiTheme="minorHAnsi" w:hAnsiTheme="minorHAnsi" w:cstheme="minorHAnsi"/>
        </w:rPr>
        <w:t>„</w:t>
      </w:r>
      <w:r w:rsidR="00E6550B" w:rsidRPr="007D05D4">
        <w:rPr>
          <w:rFonts w:asciiTheme="minorHAnsi" w:hAnsiTheme="minorHAnsi" w:cstheme="minorHAnsi"/>
          <w:i/>
        </w:rPr>
        <w:t>I nadále dává smysl jak u nové hypotéky, tak u změny fixace úrokové sazby volit kratší dobu fixace, a to maximálně do tří let</w:t>
      </w:r>
      <w:r w:rsidR="00E6550B" w:rsidRPr="00E6550B">
        <w:rPr>
          <w:rFonts w:asciiTheme="minorHAnsi" w:hAnsiTheme="minorHAnsi" w:cstheme="minorHAnsi"/>
        </w:rPr>
        <w:t>,“ dodává Pudilová.</w:t>
      </w:r>
    </w:p>
    <w:p w14:paraId="7786D718" w14:textId="77777777" w:rsidR="007D05D4" w:rsidRDefault="007D05D4" w:rsidP="00E6550B">
      <w:pPr>
        <w:rPr>
          <w:rFonts w:asciiTheme="minorHAnsi" w:hAnsiTheme="minorHAnsi" w:cstheme="minorHAnsi"/>
        </w:rPr>
      </w:pPr>
    </w:p>
    <w:p w14:paraId="0F26AFFA" w14:textId="77777777" w:rsidR="007D05D4" w:rsidRPr="00E6550B" w:rsidRDefault="007D05D4" w:rsidP="007D05D4">
      <w:pPr>
        <w:spacing w:after="120"/>
        <w:rPr>
          <w:rFonts w:asciiTheme="minorHAnsi" w:hAnsiTheme="minorHAnsi" w:cstheme="minorHAnsi"/>
        </w:rPr>
      </w:pPr>
      <w:r w:rsidRPr="00E6550B">
        <w:rPr>
          <w:rFonts w:asciiTheme="minorHAnsi" w:hAnsiTheme="minorHAnsi" w:cstheme="minorHAnsi"/>
        </w:rPr>
        <w:t>Hodnota předstihového ukazatele pro pětiletou fixaci oproti předchozímu období mírně poklesla, a to na 6 procent.</w:t>
      </w:r>
    </w:p>
    <w:p w14:paraId="3BF70925" w14:textId="77777777" w:rsidR="007D05D4" w:rsidRPr="00E6550B" w:rsidRDefault="007D05D4" w:rsidP="00E6550B">
      <w:pPr>
        <w:rPr>
          <w:rFonts w:asciiTheme="minorHAnsi" w:eastAsiaTheme="minorHAnsi" w:hAnsiTheme="minorHAnsi" w:cstheme="minorHAnsi"/>
          <w:lang w:bidi="ar-SA"/>
        </w:rPr>
      </w:pPr>
    </w:p>
    <w:p w14:paraId="176C6DB6" w14:textId="77777777" w:rsidR="002676E8" w:rsidRPr="007443AD" w:rsidRDefault="002676E8" w:rsidP="003E1308">
      <w:pPr>
        <w:jc w:val="both"/>
        <w:rPr>
          <w:rFonts w:asciiTheme="minorHAnsi" w:hAnsiTheme="minorHAnsi" w:cstheme="minorHAnsi"/>
        </w:rPr>
      </w:pPr>
    </w:p>
    <w:p w14:paraId="55E05AB7" w14:textId="0C2A1427" w:rsidR="00103109" w:rsidRDefault="001F2399" w:rsidP="00FD55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553C827" wp14:editId="1A981682">
            <wp:extent cx="6635750" cy="20935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 BC Index hypotečních úvěrů - květen 20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B694" w14:textId="77777777" w:rsidR="005A7A64" w:rsidRPr="00FD55C9" w:rsidRDefault="005A7A64" w:rsidP="005A7A64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06153168" w14:textId="3B6E7B9A" w:rsidR="00236A37" w:rsidRPr="000C6D26" w:rsidRDefault="00C42CA5" w:rsidP="008B5C5C">
      <w:pP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sz w:val="21"/>
          <w:szCs w:val="21"/>
        </w:rPr>
        <w:t>Broker Consulting Index hypotečních úvěrů je analytický nástroj</w:t>
      </w:r>
      <w:r w:rsidR="00113603" w:rsidRPr="000C6D26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0C6D26">
        <w:rPr>
          <w:rFonts w:asciiTheme="minorHAnsi" w:hAnsiTheme="minorHAnsi" w:cstheme="minorHAnsi"/>
          <w:sz w:val="21"/>
          <w:szCs w:val="21"/>
        </w:rPr>
        <w:t xml:space="preserve"> průměrnou úrokovou sazbu u hypotečních úvěrů, </w:t>
      </w:r>
      <w:r w:rsidR="00113603" w:rsidRPr="000C6D26">
        <w:rPr>
          <w:rFonts w:asciiTheme="minorHAnsi" w:hAnsiTheme="minorHAnsi" w:cstheme="minorHAnsi"/>
          <w:sz w:val="21"/>
          <w:szCs w:val="21"/>
        </w:rPr>
        <w:t>které</w:t>
      </w:r>
      <w:r w:rsidRPr="000C6D26">
        <w:rPr>
          <w:rFonts w:asciiTheme="minorHAnsi" w:hAnsiTheme="minorHAnsi" w:cstheme="minorHAnsi"/>
          <w:sz w:val="21"/>
          <w:szCs w:val="21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0C6D26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0C6D26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0C6D26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0C6D26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0C6D26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0C6D26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0C6D26" w:rsidRDefault="00C42CA5" w:rsidP="008B5C5C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0C6D26">
        <w:rPr>
          <w:rFonts w:asciiTheme="minorHAnsi" w:hAnsiTheme="minorHAnsi" w:cstheme="minorHAnsi"/>
          <w:sz w:val="21"/>
          <w:szCs w:val="21"/>
        </w:rPr>
        <w:t>,</w:t>
      </w:r>
      <w:r w:rsidRPr="000C6D26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0C6D26">
        <w:rPr>
          <w:rFonts w:asciiTheme="minorHAnsi" w:hAnsiTheme="minorHAnsi" w:cstheme="minorHAnsi"/>
          <w:sz w:val="21"/>
          <w:szCs w:val="21"/>
        </w:rPr>
        <w:t>a</w:t>
      </w:r>
      <w:r w:rsidRPr="000C6D26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</w:t>
      </w:r>
      <w:r w:rsidRPr="000C6D26">
        <w:rPr>
          <w:rFonts w:asciiTheme="minorHAnsi" w:hAnsiTheme="minorHAnsi" w:cstheme="minorHAnsi"/>
          <w:sz w:val="21"/>
          <w:szCs w:val="21"/>
        </w:rPr>
        <w:lastRenderedPageBreak/>
        <w:t xml:space="preserve">většinou si vybírá právě nejnižší sazbu úvěru, který i v jiných parametrech splňuje jejich podmínky. Broker Consulting ročně zprostředkuje úvěry v objemu přesahujícím 13 miliard korun. </w:t>
      </w:r>
    </w:p>
    <w:p w14:paraId="6B1DF12D" w14:textId="18A0CCB4" w:rsidR="009345C9" w:rsidRPr="000C6D26" w:rsidRDefault="002E6DB6" w:rsidP="008B5C5C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0C6D26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0C6D26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0C6D26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0C6D26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0C6D26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0C6D26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0C6D26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0C6D26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0C6D26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691D3A33" w14:textId="77777777" w:rsidR="00C42CA5" w:rsidRPr="000C6D26" w:rsidRDefault="00C42CA5" w:rsidP="00C42CA5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21"/>
          <w:szCs w:val="21"/>
        </w:rPr>
      </w:pPr>
    </w:p>
    <w:p w14:paraId="4A4E372E" w14:textId="214E9ADC" w:rsidR="00CA1806" w:rsidRPr="000C6D26" w:rsidRDefault="00CA1806" w:rsidP="006529D7">
      <w:pPr>
        <w:rPr>
          <w:rFonts w:asciiTheme="minorHAnsi" w:hAnsiTheme="minorHAnsi" w:cstheme="minorHAnsi"/>
          <w:b/>
          <w:sz w:val="21"/>
          <w:szCs w:val="21"/>
        </w:rPr>
      </w:pPr>
    </w:p>
    <w:p w14:paraId="5FCF3C96" w14:textId="040F53B7" w:rsidR="00B01F39" w:rsidRPr="000C6D26" w:rsidRDefault="00C947C0" w:rsidP="006529D7">
      <w:pPr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b/>
          <w:sz w:val="21"/>
          <w:szCs w:val="21"/>
        </w:rPr>
        <w:t>P</w:t>
      </w:r>
      <w:r w:rsidR="00B37F41" w:rsidRPr="000C6D26">
        <w:rPr>
          <w:rFonts w:asciiTheme="minorHAnsi" w:hAnsiTheme="minorHAnsi" w:cstheme="minorHAnsi"/>
          <w:b/>
          <w:sz w:val="21"/>
          <w:szCs w:val="21"/>
        </w:rPr>
        <w:t>oznámka pro média:</w:t>
      </w:r>
      <w:r w:rsidR="00B37F41" w:rsidRPr="000C6D26">
        <w:rPr>
          <w:rFonts w:asciiTheme="minorHAnsi" w:hAnsiTheme="minorHAnsi" w:cstheme="minorHAnsi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="00B37F41"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="00B37F41" w:rsidRPr="000C6D26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="00B37F41" w:rsidRPr="000C6D26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="00B37F41"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index hypot</w:t>
      </w:r>
      <w:r w:rsidR="00830CE8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e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čních úvěrů). Více informací najdete též na webu </w:t>
      </w:r>
      <w:r w:rsidR="00B37F41" w:rsidRPr="000C6D26">
        <w:rPr>
          <w:rStyle w:val="Hypertextovodkaz"/>
          <w:rFonts w:asciiTheme="minorHAnsi" w:hAnsiTheme="minorHAnsi" w:cstheme="minorHAnsi"/>
          <w:i/>
          <w:w w:val="105"/>
          <w:sz w:val="21"/>
          <w:szCs w:val="21"/>
        </w:rPr>
        <w:t>https://www.bcas.cz/onas/pro-media/</w:t>
      </w:r>
      <w:r w:rsidR="00B37F41"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7DE80F01" w14:textId="5F0A8380" w:rsidR="00CA1806" w:rsidRPr="002F5550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7C1907C0" w14:textId="1D2EC938" w:rsidR="00D60D98" w:rsidRPr="000C6D26" w:rsidRDefault="00D60D98" w:rsidP="00D60D98">
      <w:pPr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090F1F41" w14:textId="2F88DEFA" w:rsidR="00B37F41" w:rsidRPr="000C6D26" w:rsidRDefault="00B37F41" w:rsidP="00D60D98">
      <w:pPr>
        <w:rPr>
          <w:rFonts w:asciiTheme="minorHAnsi" w:eastAsia="Calibri" w:hAnsiTheme="minorHAnsi" w:cstheme="minorHAnsi"/>
          <w:bCs/>
          <w:noProof/>
          <w:sz w:val="21"/>
          <w:szCs w:val="21"/>
        </w:rPr>
      </w:pPr>
    </w:p>
    <w:p w14:paraId="459105C8" w14:textId="3415D3B2" w:rsidR="00692610" w:rsidRPr="000C6D26" w:rsidRDefault="003529EF" w:rsidP="007748DA">
      <w:pPr>
        <w:spacing w:after="60"/>
        <w:rPr>
          <w:rFonts w:asciiTheme="minorHAnsi" w:eastAsia="Calibri" w:hAnsiTheme="minorHAnsi" w:cstheme="minorHAnsi"/>
          <w:bCs/>
          <w:noProof/>
          <w:sz w:val="21"/>
          <w:szCs w:val="21"/>
          <w:lang w:bidi="ar-SA"/>
        </w:rPr>
      </w:pPr>
      <w:r w:rsidRPr="000C6D26">
        <w:rPr>
          <w:rFonts w:asciiTheme="minorHAnsi" w:eastAsia="Calibri" w:hAnsiTheme="minorHAnsi" w:cstheme="minorHAnsi"/>
          <w:bCs/>
          <w:noProof/>
          <w:sz w:val="21"/>
          <w:szCs w:val="21"/>
        </w:rPr>
        <w:t>Michaela Sahulová</w:t>
      </w:r>
    </w:p>
    <w:p w14:paraId="3D378A07" w14:textId="7DB23AAC" w:rsidR="00692610" w:rsidRPr="000C6D26" w:rsidRDefault="00692610" w:rsidP="00692610">
      <w:pPr>
        <w:pStyle w:val="Bezmezer"/>
        <w:rPr>
          <w:rFonts w:eastAsia="Calibri" w:cstheme="minorHAnsi"/>
          <w:noProof/>
          <w:sz w:val="21"/>
          <w:szCs w:val="21"/>
        </w:rPr>
      </w:pPr>
      <w:r w:rsidRPr="000C6D26">
        <w:rPr>
          <w:rFonts w:eastAsia="Calibri" w:cstheme="minorHAnsi"/>
          <w:noProof/>
          <w:sz w:val="21"/>
          <w:szCs w:val="21"/>
        </w:rPr>
        <w:t>Specialistka PR a externí komunikace</w:t>
      </w:r>
    </w:p>
    <w:p w14:paraId="5B3D6899" w14:textId="334A3B70" w:rsidR="004928CB" w:rsidRPr="000C6D26" w:rsidRDefault="004928CB" w:rsidP="004928CB">
      <w:pPr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  <w:lang w:bidi="ar-SA"/>
        </w:rPr>
      </w:pPr>
      <w:r w:rsidRPr="000C6D26"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</w:rPr>
        <w:t>tel.: +420 731 538 373</w:t>
      </w:r>
    </w:p>
    <w:p w14:paraId="16B705EA" w14:textId="41D7186C" w:rsidR="00692610" w:rsidRPr="000C6D26" w:rsidRDefault="00692610" w:rsidP="00692610">
      <w:pPr>
        <w:rPr>
          <w:rFonts w:asciiTheme="minorHAnsi" w:eastAsia="Calibri" w:hAnsiTheme="minorHAnsi" w:cstheme="minorHAnsi"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E-mail: </w:t>
      </w:r>
      <w:hyperlink r:id="rId26" w:history="1">
        <w:r w:rsidR="003529EF" w:rsidRPr="000C6D26">
          <w:rPr>
            <w:rStyle w:val="Hypertextovodkaz"/>
            <w:rFonts w:asciiTheme="minorHAnsi" w:eastAsia="Calibri" w:hAnsiTheme="minorHAnsi" w:cstheme="minorHAnsi"/>
            <w:noProof/>
            <w:sz w:val="21"/>
            <w:szCs w:val="21"/>
          </w:rPr>
          <w:t>michaela.sahulova@bcas.cz</w:t>
        </w:r>
      </w:hyperlink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1913A" w14:textId="77777777" w:rsidR="00713CD7" w:rsidRDefault="00713CD7">
      <w:r>
        <w:separator/>
      </w:r>
    </w:p>
  </w:endnote>
  <w:endnote w:type="continuationSeparator" w:id="0">
    <w:p w14:paraId="2ADDDBA4" w14:textId="77777777" w:rsidR="00713CD7" w:rsidRDefault="00713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713CD7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CB5712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713CD7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CB5712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713CD7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CB5712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1FB27" w14:textId="77777777" w:rsidR="00713CD7" w:rsidRDefault="00713CD7">
      <w:r>
        <w:separator/>
      </w:r>
    </w:p>
  </w:footnote>
  <w:footnote w:type="continuationSeparator" w:id="0">
    <w:p w14:paraId="0A9CEDF8" w14:textId="77777777" w:rsidR="00713CD7" w:rsidRDefault="00713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92AEE"/>
    <w:rsid w:val="00092BB7"/>
    <w:rsid w:val="00092C6B"/>
    <w:rsid w:val="00094C16"/>
    <w:rsid w:val="00096425"/>
    <w:rsid w:val="0009776B"/>
    <w:rsid w:val="000A080B"/>
    <w:rsid w:val="000B187C"/>
    <w:rsid w:val="000B6DD9"/>
    <w:rsid w:val="000C181E"/>
    <w:rsid w:val="000C2DA6"/>
    <w:rsid w:val="000C5541"/>
    <w:rsid w:val="000C6D26"/>
    <w:rsid w:val="000C7564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03109"/>
    <w:rsid w:val="00106E26"/>
    <w:rsid w:val="001117DE"/>
    <w:rsid w:val="00111C28"/>
    <w:rsid w:val="00113603"/>
    <w:rsid w:val="001153E3"/>
    <w:rsid w:val="00117AE4"/>
    <w:rsid w:val="00120113"/>
    <w:rsid w:val="001214E7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6D8D"/>
    <w:rsid w:val="00137003"/>
    <w:rsid w:val="0013717C"/>
    <w:rsid w:val="00140987"/>
    <w:rsid w:val="00145622"/>
    <w:rsid w:val="001524FB"/>
    <w:rsid w:val="00154AC2"/>
    <w:rsid w:val="00156082"/>
    <w:rsid w:val="00160686"/>
    <w:rsid w:val="00160E1C"/>
    <w:rsid w:val="00161352"/>
    <w:rsid w:val="00161830"/>
    <w:rsid w:val="001620E3"/>
    <w:rsid w:val="00162D8E"/>
    <w:rsid w:val="0016482C"/>
    <w:rsid w:val="001675AF"/>
    <w:rsid w:val="0016771F"/>
    <w:rsid w:val="00174317"/>
    <w:rsid w:val="00175545"/>
    <w:rsid w:val="001767A5"/>
    <w:rsid w:val="00177C18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1E41"/>
    <w:rsid w:val="001B2A07"/>
    <w:rsid w:val="001B3B31"/>
    <w:rsid w:val="001B4F4B"/>
    <w:rsid w:val="001B501B"/>
    <w:rsid w:val="001B58E7"/>
    <w:rsid w:val="001B7936"/>
    <w:rsid w:val="001D015A"/>
    <w:rsid w:val="001D30C7"/>
    <w:rsid w:val="001D33FA"/>
    <w:rsid w:val="001D3DFC"/>
    <w:rsid w:val="001D45F5"/>
    <w:rsid w:val="001D5EFC"/>
    <w:rsid w:val="001E02C2"/>
    <w:rsid w:val="001E1597"/>
    <w:rsid w:val="001E4209"/>
    <w:rsid w:val="001F1D14"/>
    <w:rsid w:val="001F2399"/>
    <w:rsid w:val="001F7194"/>
    <w:rsid w:val="001F71BA"/>
    <w:rsid w:val="001F7577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676E8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5767"/>
    <w:rsid w:val="0028607C"/>
    <w:rsid w:val="002863CE"/>
    <w:rsid w:val="002961B5"/>
    <w:rsid w:val="00296B24"/>
    <w:rsid w:val="002A1185"/>
    <w:rsid w:val="002A498A"/>
    <w:rsid w:val="002A61B7"/>
    <w:rsid w:val="002B01AF"/>
    <w:rsid w:val="002B094E"/>
    <w:rsid w:val="002B1E20"/>
    <w:rsid w:val="002B2A94"/>
    <w:rsid w:val="002B3C6D"/>
    <w:rsid w:val="002B4919"/>
    <w:rsid w:val="002B4B98"/>
    <w:rsid w:val="002B6F4E"/>
    <w:rsid w:val="002B7650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5550"/>
    <w:rsid w:val="002F62C4"/>
    <w:rsid w:val="002F7EC2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22E5E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3DE2"/>
    <w:rsid w:val="003A4860"/>
    <w:rsid w:val="003A4D47"/>
    <w:rsid w:val="003A6435"/>
    <w:rsid w:val="003A7D32"/>
    <w:rsid w:val="003B0E4F"/>
    <w:rsid w:val="003B1966"/>
    <w:rsid w:val="003B5B25"/>
    <w:rsid w:val="003B60CA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79EC"/>
    <w:rsid w:val="00400129"/>
    <w:rsid w:val="00400A5A"/>
    <w:rsid w:val="00407AE9"/>
    <w:rsid w:val="004120C7"/>
    <w:rsid w:val="0042193A"/>
    <w:rsid w:val="004267DE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E2983"/>
    <w:rsid w:val="004E3BA4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7A64"/>
    <w:rsid w:val="005B0E8E"/>
    <w:rsid w:val="005B31D7"/>
    <w:rsid w:val="005B4E77"/>
    <w:rsid w:val="005B5427"/>
    <w:rsid w:val="005B5CA8"/>
    <w:rsid w:val="005B6889"/>
    <w:rsid w:val="005B68FA"/>
    <w:rsid w:val="005B7E46"/>
    <w:rsid w:val="005C0D63"/>
    <w:rsid w:val="005C41F6"/>
    <w:rsid w:val="005C48C1"/>
    <w:rsid w:val="005C7059"/>
    <w:rsid w:val="005D189A"/>
    <w:rsid w:val="005D6963"/>
    <w:rsid w:val="005E45D8"/>
    <w:rsid w:val="005E4855"/>
    <w:rsid w:val="005F18D4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076"/>
    <w:rsid w:val="006C4193"/>
    <w:rsid w:val="006C61E8"/>
    <w:rsid w:val="006D01AF"/>
    <w:rsid w:val="006D1884"/>
    <w:rsid w:val="006D65EC"/>
    <w:rsid w:val="006E074A"/>
    <w:rsid w:val="006E26DC"/>
    <w:rsid w:val="006E52B8"/>
    <w:rsid w:val="006E68CA"/>
    <w:rsid w:val="006F32FB"/>
    <w:rsid w:val="00700FD6"/>
    <w:rsid w:val="00705D83"/>
    <w:rsid w:val="0071201C"/>
    <w:rsid w:val="00713CD7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62254"/>
    <w:rsid w:val="00764BFF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445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C37DF"/>
    <w:rsid w:val="007C6288"/>
    <w:rsid w:val="007D05D4"/>
    <w:rsid w:val="007D06A5"/>
    <w:rsid w:val="007D085C"/>
    <w:rsid w:val="007D1100"/>
    <w:rsid w:val="007D2280"/>
    <w:rsid w:val="007D3EF7"/>
    <w:rsid w:val="007E1111"/>
    <w:rsid w:val="007E5614"/>
    <w:rsid w:val="007F0754"/>
    <w:rsid w:val="007F3198"/>
    <w:rsid w:val="007F515C"/>
    <w:rsid w:val="008009B8"/>
    <w:rsid w:val="00800CEA"/>
    <w:rsid w:val="00807AD4"/>
    <w:rsid w:val="008104E0"/>
    <w:rsid w:val="0081387C"/>
    <w:rsid w:val="00817512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46E1E"/>
    <w:rsid w:val="00850445"/>
    <w:rsid w:val="0085594F"/>
    <w:rsid w:val="00866791"/>
    <w:rsid w:val="00874FE0"/>
    <w:rsid w:val="008769D5"/>
    <w:rsid w:val="00882EE9"/>
    <w:rsid w:val="00883131"/>
    <w:rsid w:val="00883A3E"/>
    <w:rsid w:val="008848CF"/>
    <w:rsid w:val="00885B2F"/>
    <w:rsid w:val="008866ED"/>
    <w:rsid w:val="008868A5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0636"/>
    <w:rsid w:val="008B2EE5"/>
    <w:rsid w:val="008B3C82"/>
    <w:rsid w:val="008B5C5C"/>
    <w:rsid w:val="008C1795"/>
    <w:rsid w:val="008C4B0D"/>
    <w:rsid w:val="008C75D3"/>
    <w:rsid w:val="008D1E94"/>
    <w:rsid w:val="008D373A"/>
    <w:rsid w:val="008D484C"/>
    <w:rsid w:val="008D68A5"/>
    <w:rsid w:val="008E19F3"/>
    <w:rsid w:val="008E3B44"/>
    <w:rsid w:val="008E58ED"/>
    <w:rsid w:val="008E6712"/>
    <w:rsid w:val="008F2226"/>
    <w:rsid w:val="008F4980"/>
    <w:rsid w:val="008F6707"/>
    <w:rsid w:val="008F6AAF"/>
    <w:rsid w:val="00900951"/>
    <w:rsid w:val="00901813"/>
    <w:rsid w:val="00903020"/>
    <w:rsid w:val="00906176"/>
    <w:rsid w:val="00906E67"/>
    <w:rsid w:val="00914002"/>
    <w:rsid w:val="00915ADA"/>
    <w:rsid w:val="009161BE"/>
    <w:rsid w:val="00917F21"/>
    <w:rsid w:val="009213AE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2F66"/>
    <w:rsid w:val="00957B41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CA9"/>
    <w:rsid w:val="009B301F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14FC9"/>
    <w:rsid w:val="00A2066F"/>
    <w:rsid w:val="00A23C45"/>
    <w:rsid w:val="00A25B10"/>
    <w:rsid w:val="00A36D79"/>
    <w:rsid w:val="00A37A20"/>
    <w:rsid w:val="00A37AD0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A48E7"/>
    <w:rsid w:val="00AB3D30"/>
    <w:rsid w:val="00AB4794"/>
    <w:rsid w:val="00AB4842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1038"/>
    <w:rsid w:val="00AF2633"/>
    <w:rsid w:val="00AF74AF"/>
    <w:rsid w:val="00B01F39"/>
    <w:rsid w:val="00B05862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33C"/>
    <w:rsid w:val="00B815A3"/>
    <w:rsid w:val="00B85C55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7B0"/>
    <w:rsid w:val="00BD3715"/>
    <w:rsid w:val="00BD4630"/>
    <w:rsid w:val="00BD4EBD"/>
    <w:rsid w:val="00BD5A47"/>
    <w:rsid w:val="00BD6E76"/>
    <w:rsid w:val="00BE6717"/>
    <w:rsid w:val="00BF4092"/>
    <w:rsid w:val="00BF44F1"/>
    <w:rsid w:val="00C02E39"/>
    <w:rsid w:val="00C0301A"/>
    <w:rsid w:val="00C04F1A"/>
    <w:rsid w:val="00C05CCC"/>
    <w:rsid w:val="00C07F35"/>
    <w:rsid w:val="00C15993"/>
    <w:rsid w:val="00C17C49"/>
    <w:rsid w:val="00C22B1C"/>
    <w:rsid w:val="00C23E32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56DD"/>
    <w:rsid w:val="00C47E7D"/>
    <w:rsid w:val="00C52DA0"/>
    <w:rsid w:val="00C53031"/>
    <w:rsid w:val="00C56AD1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F04"/>
    <w:rsid w:val="00C97E6F"/>
    <w:rsid w:val="00CA079E"/>
    <w:rsid w:val="00CA135D"/>
    <w:rsid w:val="00CA1722"/>
    <w:rsid w:val="00CA1806"/>
    <w:rsid w:val="00CA5872"/>
    <w:rsid w:val="00CA78F9"/>
    <w:rsid w:val="00CA7CAF"/>
    <w:rsid w:val="00CB06F8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E0770"/>
    <w:rsid w:val="00CE6C6E"/>
    <w:rsid w:val="00CE76FD"/>
    <w:rsid w:val="00CF2033"/>
    <w:rsid w:val="00CF5DF2"/>
    <w:rsid w:val="00CF6C98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556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639C"/>
    <w:rsid w:val="00DD67DA"/>
    <w:rsid w:val="00DD7940"/>
    <w:rsid w:val="00DE1840"/>
    <w:rsid w:val="00DE1B89"/>
    <w:rsid w:val="00DE476A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3404F"/>
    <w:rsid w:val="00E41E9C"/>
    <w:rsid w:val="00E423C3"/>
    <w:rsid w:val="00E4323F"/>
    <w:rsid w:val="00E4469C"/>
    <w:rsid w:val="00E450AB"/>
    <w:rsid w:val="00E5280E"/>
    <w:rsid w:val="00E52CEE"/>
    <w:rsid w:val="00E53A7F"/>
    <w:rsid w:val="00E54A8E"/>
    <w:rsid w:val="00E563FC"/>
    <w:rsid w:val="00E57F9B"/>
    <w:rsid w:val="00E60634"/>
    <w:rsid w:val="00E6319B"/>
    <w:rsid w:val="00E6550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CA0"/>
    <w:rsid w:val="00EA5D92"/>
    <w:rsid w:val="00EB307B"/>
    <w:rsid w:val="00EB5354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2DCE"/>
    <w:rsid w:val="00F14982"/>
    <w:rsid w:val="00F22A26"/>
    <w:rsid w:val="00F23C0F"/>
    <w:rsid w:val="00F2598D"/>
    <w:rsid w:val="00F26166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638B"/>
    <w:rsid w:val="00F60301"/>
    <w:rsid w:val="00F628BC"/>
    <w:rsid w:val="00F628FC"/>
    <w:rsid w:val="00F7033F"/>
    <w:rsid w:val="00F7277F"/>
    <w:rsid w:val="00F72E32"/>
    <w:rsid w:val="00F73B85"/>
    <w:rsid w:val="00F829B7"/>
    <w:rsid w:val="00F82DF0"/>
    <w:rsid w:val="00F84A4F"/>
    <w:rsid w:val="00F84ACE"/>
    <w:rsid w:val="00F8617B"/>
    <w:rsid w:val="00F863D7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42E5"/>
    <w:rsid w:val="00FB59EE"/>
    <w:rsid w:val="00FB6B8F"/>
    <w:rsid w:val="00FC2522"/>
    <w:rsid w:val="00FC5B56"/>
    <w:rsid w:val="00FD4B12"/>
    <w:rsid w:val="00FD5009"/>
    <w:rsid w:val="00FD55C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E47B1-2F3F-4FFE-8B82-A982877B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</cp:revision>
  <cp:lastPrinted>2023-03-06T11:31:00Z</cp:lastPrinted>
  <dcterms:created xsi:type="dcterms:W3CDTF">2023-08-09T11:59:00Z</dcterms:created>
  <dcterms:modified xsi:type="dcterms:W3CDTF">2023-08-09T11:59:00Z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