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5F5512" w14:textId="77777777" w:rsidR="00B712F8" w:rsidRPr="005D11F0" w:rsidRDefault="00B712F8" w:rsidP="00B712F8">
      <w:pPr>
        <w:pStyle w:val="Zkladntext"/>
        <w:jc w:val="both"/>
        <w:rPr>
          <w:rFonts w:ascii="Arial" w:hAnsi="Arial" w:cs="Arial"/>
          <w:b/>
          <w:sz w:val="20"/>
        </w:rPr>
      </w:pPr>
    </w:p>
    <w:p w14:paraId="514F7B2A" w14:textId="77777777"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262CD423" w14:textId="77777777" w:rsidR="00B712F8" w:rsidRPr="00B712F8" w:rsidRDefault="00B712F8" w:rsidP="00B712F8">
      <w:pPr>
        <w:jc w:val="both"/>
        <w:rPr>
          <w:rFonts w:asciiTheme="minorHAnsi" w:hAnsiTheme="minorHAnsi" w:cstheme="minorHAnsi"/>
        </w:rPr>
      </w:pPr>
    </w:p>
    <w:p w14:paraId="6E11E649" w14:textId="549CA192" w:rsidR="00133BFD" w:rsidRPr="00100CE7" w:rsidRDefault="00B712F8" w:rsidP="00100CE7">
      <w:pPr>
        <w:jc w:val="both"/>
        <w:rPr>
          <w:rFonts w:asciiTheme="minorHAnsi" w:hAnsiTheme="minorHAnsi" w:cstheme="minorHAnsi"/>
          <w:sz w:val="20"/>
          <w:szCs w:val="20"/>
          <w:lang w:val="de-DE"/>
        </w:rPr>
      </w:pPr>
      <w:r w:rsidRPr="00B712F8">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E71C1E">
        <w:rPr>
          <w:rFonts w:asciiTheme="minorHAnsi" w:hAnsiTheme="minorHAnsi" w:cstheme="minorHAnsi"/>
          <w:sz w:val="20"/>
          <w:szCs w:val="20"/>
        </w:rPr>
        <w:t xml:space="preserve">který přináší společnost Broker </w:t>
      </w:r>
      <w:r w:rsidRPr="00B712F8">
        <w:rPr>
          <w:rFonts w:asciiTheme="minorHAnsi" w:hAnsiTheme="minorHAnsi" w:cstheme="minorHAnsi"/>
          <w:sz w:val="20"/>
          <w:szCs w:val="20"/>
        </w:rPr>
        <w:t xml:space="preserve">Consulting. </w:t>
      </w:r>
      <w:proofErr w:type="spellStart"/>
      <w:r w:rsidRPr="00B712F8">
        <w:rPr>
          <w:rStyle w:val="dn"/>
          <w:rFonts w:asciiTheme="minorHAnsi" w:hAnsiTheme="minorHAnsi" w:cstheme="minorHAnsi"/>
          <w:sz w:val="20"/>
          <w:szCs w:val="20"/>
        </w:rPr>
        <w:t>Více</w:t>
      </w:r>
      <w:proofErr w:type="spellEnd"/>
      <w:r w:rsidRPr="00B712F8">
        <w:rPr>
          <w:rStyle w:val="dn"/>
          <w:rFonts w:asciiTheme="minorHAnsi" w:hAnsiTheme="minorHAnsi" w:cstheme="minorHAnsi"/>
          <w:sz w:val="20"/>
          <w:szCs w:val="20"/>
        </w:rPr>
        <w:t xml:space="preserve"> na </w:t>
      </w:r>
      <w:hyperlink r:id="rId9" w:history="1">
        <w:r w:rsidRPr="00B712F8">
          <w:rPr>
            <w:rStyle w:val="Hypertextovodkaz"/>
            <w:rFonts w:asciiTheme="minorHAnsi" w:hAnsiTheme="minorHAnsi" w:cstheme="minorHAnsi"/>
            <w:color w:val="auto"/>
            <w:sz w:val="20"/>
            <w:szCs w:val="20"/>
          </w:rPr>
          <w:t>www.bcas.cz</w:t>
        </w:r>
      </w:hyperlink>
      <w:r w:rsidRPr="00B712F8">
        <w:rPr>
          <w:rStyle w:val="Hypertextovodkaz"/>
          <w:rFonts w:asciiTheme="minorHAnsi" w:hAnsiTheme="minorHAnsi" w:cstheme="minorHAnsi"/>
          <w:color w:val="auto"/>
          <w:sz w:val="20"/>
          <w:szCs w:val="20"/>
        </w:rPr>
        <w:t xml:space="preserve">, </w:t>
      </w:r>
      <w:hyperlink r:id="rId10" w:history="1">
        <w:r w:rsidRPr="00B712F8">
          <w:rPr>
            <w:rStyle w:val="Hypertextovodkaz"/>
            <w:rFonts w:asciiTheme="minorHAnsi" w:hAnsiTheme="minorHAnsi" w:cstheme="minorHAnsi"/>
            <w:color w:val="auto"/>
            <w:sz w:val="20"/>
            <w:szCs w:val="20"/>
          </w:rPr>
          <w:t>www.okpointy.cz</w:t>
        </w:r>
      </w:hyperlink>
      <w:r w:rsidRPr="00B712F8">
        <w:rPr>
          <w:rStyle w:val="Hypertextovodkaz"/>
          <w:rFonts w:asciiTheme="minorHAnsi" w:hAnsiTheme="minorHAnsi" w:cstheme="minorHAnsi"/>
          <w:color w:val="auto"/>
          <w:sz w:val="20"/>
          <w:szCs w:val="20"/>
        </w:rPr>
        <w:t>, www.okpoint.tv</w:t>
      </w:r>
      <w:r w:rsidRPr="00B712F8">
        <w:rPr>
          <w:rStyle w:val="dn"/>
          <w:rFonts w:asciiTheme="minorHAnsi" w:hAnsiTheme="minorHAnsi" w:cstheme="minorHAnsi"/>
          <w:sz w:val="20"/>
          <w:szCs w:val="20"/>
        </w:rPr>
        <w:t xml:space="preserve"> a na </w:t>
      </w:r>
      <w:hyperlink r:id="rId11" w:history="1">
        <w:r w:rsidRPr="00B712F8">
          <w:rPr>
            <w:rStyle w:val="Hypertextovodkaz"/>
            <w:rFonts w:asciiTheme="minorHAnsi" w:hAnsiTheme="minorHAnsi" w:cstheme="minorHAnsi"/>
            <w:color w:val="auto"/>
            <w:sz w:val="20"/>
            <w:szCs w:val="20"/>
          </w:rPr>
          <w:t>www.realityspolu.cz</w:t>
        </w:r>
      </w:hyperlink>
      <w:r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lang w:val="cs-CZ"/>
        </w:rPr>
        <w:t>Navštivte také náš</w:t>
      </w:r>
      <w:r w:rsidRPr="00B712F8">
        <w:rPr>
          <w:rStyle w:val="dn"/>
          <w:rFonts w:asciiTheme="minorHAnsi" w:hAnsiTheme="minorHAnsi" w:cstheme="minorHAnsi"/>
          <w:sz w:val="20"/>
          <w:szCs w:val="20"/>
        </w:rPr>
        <w:t xml:space="preserve"> </w:t>
      </w:r>
      <w:hyperlink r:id="rId12"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3" w:history="1">
        <w:proofErr w:type="spellStart"/>
        <w:r w:rsidRPr="00B712F8">
          <w:rPr>
            <w:rStyle w:val="Hypertextovodkaz"/>
            <w:rFonts w:asciiTheme="minorHAnsi" w:hAnsiTheme="minorHAnsi" w:cstheme="minorHAnsi"/>
            <w:color w:val="auto"/>
            <w:sz w:val="20"/>
            <w:szCs w:val="20"/>
          </w:rPr>
          <w:t>LinkedIN</w:t>
        </w:r>
        <w:proofErr w:type="spellEnd"/>
      </w:hyperlink>
      <w:r w:rsidRPr="00B712F8">
        <w:rPr>
          <w:rStyle w:val="dn"/>
          <w:rFonts w:asciiTheme="minorHAnsi" w:hAnsiTheme="minorHAnsi" w:cstheme="minorHAnsi"/>
          <w:sz w:val="20"/>
          <w:szCs w:val="20"/>
        </w:rPr>
        <w:t xml:space="preserve"> Broker Consulting a </w:t>
      </w:r>
      <w:hyperlink r:id="rId14"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5" w:history="1">
        <w:proofErr w:type="spellStart"/>
        <w:r w:rsidRPr="00B712F8">
          <w:rPr>
            <w:rStyle w:val="Hypertextovodkaz"/>
            <w:rFonts w:asciiTheme="minorHAnsi" w:hAnsiTheme="minorHAnsi" w:cstheme="minorHAnsi"/>
            <w:color w:val="auto"/>
            <w:sz w:val="20"/>
            <w:szCs w:val="20"/>
          </w:rPr>
          <w:t>LinkedI</w:t>
        </w:r>
      </w:hyperlink>
      <w:r w:rsidRPr="00B712F8">
        <w:rPr>
          <w:rStyle w:val="Hypertextovodkaz"/>
          <w:rFonts w:asciiTheme="minorHAnsi" w:hAnsiTheme="minorHAnsi" w:cstheme="minorHAnsi"/>
          <w:color w:val="auto"/>
          <w:sz w:val="20"/>
          <w:szCs w:val="20"/>
        </w:rPr>
        <w:t>N</w:t>
      </w:r>
      <w:proofErr w:type="spellEnd"/>
      <w:r w:rsidRPr="00B712F8">
        <w:rPr>
          <w:rStyle w:val="dn"/>
          <w:rFonts w:asciiTheme="minorHAnsi" w:hAnsiTheme="minorHAnsi" w:cstheme="minorHAnsi"/>
          <w:sz w:val="20"/>
          <w:szCs w:val="20"/>
        </w:rPr>
        <w:t xml:space="preserve"> OK </w:t>
      </w:r>
      <w:proofErr w:type="spellStart"/>
      <w:r w:rsidRPr="00B712F8">
        <w:rPr>
          <w:rStyle w:val="dn"/>
          <w:rFonts w:asciiTheme="minorHAnsi" w:hAnsiTheme="minorHAnsi" w:cstheme="minorHAnsi"/>
          <w:sz w:val="20"/>
          <w:szCs w:val="20"/>
        </w:rPr>
        <w:t>POINTů</w:t>
      </w:r>
      <w:proofErr w:type="spellEnd"/>
      <w:r w:rsidRPr="00B712F8">
        <w:rPr>
          <w:rStyle w:val="dn"/>
          <w:rFonts w:asciiTheme="minorHAnsi" w:hAnsiTheme="minorHAnsi" w:cstheme="minorHAnsi"/>
          <w:sz w:val="20"/>
          <w:szCs w:val="20"/>
        </w:rPr>
        <w:t xml:space="preserve">. </w:t>
      </w:r>
      <w:r w:rsidRPr="00B712F8">
        <w:rPr>
          <w:rFonts w:asciiTheme="minorHAnsi" w:hAnsiTheme="minorHAnsi" w:cstheme="minorHAnsi"/>
          <w:sz w:val="20"/>
          <w:szCs w:val="20"/>
        </w:rPr>
        <w:t xml:space="preserve"> </w:t>
      </w:r>
    </w:p>
    <w:p w14:paraId="35FBE92C" w14:textId="0A8F6293" w:rsidR="00133BFD" w:rsidRDefault="008D4839" w:rsidP="00681C83">
      <w:pPr>
        <w:spacing w:after="200"/>
        <w:jc w:val="center"/>
        <w:rPr>
          <w:rFonts w:asciiTheme="minorHAnsi" w:hAnsiTheme="minorHAnsi" w:cstheme="minorHAnsi"/>
          <w:b/>
          <w:sz w:val="30"/>
          <w:szCs w:val="30"/>
        </w:rPr>
      </w:pPr>
      <w:r>
        <w:rPr>
          <w:rFonts w:asciiTheme="minorHAnsi" w:hAnsiTheme="minorHAnsi" w:cstheme="minorHAnsi"/>
          <w:b/>
          <w:sz w:val="30"/>
          <w:szCs w:val="30"/>
        </w:rPr>
        <w:lastRenderedPageBreak/>
        <w:t>Ceny povinného ručení v květnu stagnovaly</w:t>
      </w:r>
    </w:p>
    <w:p w14:paraId="62FAC21D" w14:textId="3DF4193F" w:rsidR="004A7461" w:rsidRDefault="00441D22" w:rsidP="00441D22">
      <w:pPr>
        <w:pStyle w:val="Odstavecseseznamem"/>
        <w:numPr>
          <w:ilvl w:val="0"/>
          <w:numId w:val="24"/>
        </w:numPr>
        <w:ind w:left="357" w:right="40" w:hanging="357"/>
        <w:rPr>
          <w:rFonts w:asciiTheme="minorHAnsi" w:hAnsiTheme="minorHAnsi" w:cstheme="minorHAnsi"/>
          <w:b/>
          <w:sz w:val="21"/>
          <w:szCs w:val="21"/>
        </w:rPr>
      </w:pPr>
      <w:r>
        <w:rPr>
          <w:rFonts w:asciiTheme="minorHAnsi" w:hAnsiTheme="minorHAnsi" w:cstheme="minorHAnsi"/>
          <w:b/>
          <w:sz w:val="21"/>
          <w:szCs w:val="21"/>
        </w:rPr>
        <w:t>Broke</w:t>
      </w:r>
      <w:r w:rsidR="007238DB">
        <w:rPr>
          <w:rFonts w:asciiTheme="minorHAnsi" w:hAnsiTheme="minorHAnsi" w:cstheme="minorHAnsi"/>
          <w:b/>
          <w:sz w:val="21"/>
          <w:szCs w:val="21"/>
        </w:rPr>
        <w:t xml:space="preserve">r Consulting </w:t>
      </w:r>
      <w:proofErr w:type="spellStart"/>
      <w:r w:rsidR="007238DB">
        <w:rPr>
          <w:rFonts w:asciiTheme="minorHAnsi" w:hAnsiTheme="minorHAnsi" w:cstheme="minorHAnsi"/>
          <w:b/>
          <w:sz w:val="21"/>
          <w:szCs w:val="21"/>
        </w:rPr>
        <w:t>POVIn</w:t>
      </w:r>
      <w:r w:rsidR="00FF29F0">
        <w:rPr>
          <w:rFonts w:asciiTheme="minorHAnsi" w:hAnsiTheme="minorHAnsi" w:cstheme="minorHAnsi"/>
          <w:b/>
          <w:sz w:val="21"/>
          <w:szCs w:val="21"/>
        </w:rPr>
        <w:t>dex</w:t>
      </w:r>
      <w:proofErr w:type="spellEnd"/>
      <w:r w:rsidR="00FF29F0">
        <w:rPr>
          <w:rFonts w:asciiTheme="minorHAnsi" w:hAnsiTheme="minorHAnsi" w:cstheme="minorHAnsi"/>
          <w:b/>
          <w:sz w:val="21"/>
          <w:szCs w:val="21"/>
        </w:rPr>
        <w:t xml:space="preserve"> zůstal v květnu na hodnotě</w:t>
      </w:r>
      <w:r>
        <w:rPr>
          <w:rFonts w:asciiTheme="minorHAnsi" w:hAnsiTheme="minorHAnsi" w:cstheme="minorHAnsi"/>
          <w:b/>
          <w:sz w:val="21"/>
          <w:szCs w:val="21"/>
        </w:rPr>
        <w:t xml:space="preserve"> 6 848 Kč</w:t>
      </w:r>
    </w:p>
    <w:p w14:paraId="1EF45F4D" w14:textId="319F22C6" w:rsidR="007238DB" w:rsidRDefault="007238DB" w:rsidP="007238DB">
      <w:pPr>
        <w:pStyle w:val="Odstavecseseznamem"/>
        <w:numPr>
          <w:ilvl w:val="0"/>
          <w:numId w:val="24"/>
        </w:numPr>
        <w:ind w:left="357" w:right="40" w:hanging="357"/>
        <w:rPr>
          <w:rFonts w:asciiTheme="minorHAnsi" w:hAnsiTheme="minorHAnsi" w:cstheme="minorHAnsi"/>
          <w:b/>
          <w:sz w:val="21"/>
          <w:szCs w:val="21"/>
        </w:rPr>
      </w:pPr>
      <w:r>
        <w:rPr>
          <w:rFonts w:asciiTheme="minorHAnsi" w:hAnsiTheme="minorHAnsi" w:cstheme="minorHAnsi"/>
          <w:b/>
          <w:sz w:val="21"/>
          <w:szCs w:val="21"/>
        </w:rPr>
        <w:t xml:space="preserve">Aktuální měření překročilo celkový průměr </w:t>
      </w:r>
      <w:proofErr w:type="spellStart"/>
      <w:r>
        <w:rPr>
          <w:rFonts w:asciiTheme="minorHAnsi" w:hAnsiTheme="minorHAnsi" w:cstheme="minorHAnsi"/>
          <w:b/>
          <w:sz w:val="21"/>
          <w:szCs w:val="21"/>
        </w:rPr>
        <w:t>POVIndexu</w:t>
      </w:r>
      <w:proofErr w:type="spellEnd"/>
      <w:r>
        <w:rPr>
          <w:rFonts w:asciiTheme="minorHAnsi" w:hAnsiTheme="minorHAnsi" w:cstheme="minorHAnsi"/>
          <w:b/>
          <w:sz w:val="21"/>
          <w:szCs w:val="21"/>
        </w:rPr>
        <w:t>, který činí 6 727 Kč</w:t>
      </w:r>
    </w:p>
    <w:p w14:paraId="0F8E1311" w14:textId="309C05B2" w:rsidR="007238DB" w:rsidRPr="007238DB" w:rsidRDefault="007238DB" w:rsidP="007238DB">
      <w:pPr>
        <w:pStyle w:val="Odstavecseseznamem"/>
        <w:numPr>
          <w:ilvl w:val="0"/>
          <w:numId w:val="24"/>
        </w:numPr>
        <w:spacing w:after="200"/>
        <w:ind w:left="357" w:right="40" w:hanging="357"/>
        <w:rPr>
          <w:rFonts w:asciiTheme="minorHAnsi" w:hAnsiTheme="minorHAnsi" w:cstheme="minorHAnsi"/>
          <w:b/>
          <w:sz w:val="21"/>
          <w:szCs w:val="21"/>
        </w:rPr>
      </w:pPr>
      <w:r w:rsidRPr="007238DB">
        <w:rPr>
          <w:rFonts w:asciiTheme="minorHAnsi" w:hAnsiTheme="minorHAnsi" w:cstheme="minorHAnsi"/>
          <w:b/>
          <w:sz w:val="21"/>
          <w:szCs w:val="21"/>
        </w:rPr>
        <w:t xml:space="preserve">Trend růstu cen je podobný v celorepublikovém </w:t>
      </w:r>
      <w:r w:rsidR="00681C83">
        <w:rPr>
          <w:rFonts w:asciiTheme="minorHAnsi" w:hAnsiTheme="minorHAnsi" w:cstheme="minorHAnsi"/>
          <w:b/>
          <w:sz w:val="21"/>
          <w:szCs w:val="21"/>
        </w:rPr>
        <w:t>měření,</w:t>
      </w:r>
      <w:r w:rsidRPr="007238DB">
        <w:rPr>
          <w:rFonts w:asciiTheme="minorHAnsi" w:hAnsiTheme="minorHAnsi" w:cstheme="minorHAnsi"/>
          <w:b/>
          <w:sz w:val="21"/>
          <w:szCs w:val="21"/>
        </w:rPr>
        <w:t xml:space="preserve"> v Praze </w:t>
      </w:r>
      <w:r w:rsidR="00681C83">
        <w:rPr>
          <w:rFonts w:asciiTheme="minorHAnsi" w:hAnsiTheme="minorHAnsi" w:cstheme="minorHAnsi"/>
          <w:b/>
          <w:sz w:val="21"/>
          <w:szCs w:val="21"/>
        </w:rPr>
        <w:t>i</w:t>
      </w:r>
      <w:r w:rsidRPr="007238DB">
        <w:rPr>
          <w:rFonts w:asciiTheme="minorHAnsi" w:hAnsiTheme="minorHAnsi" w:cstheme="minorHAnsi"/>
          <w:b/>
          <w:sz w:val="21"/>
          <w:szCs w:val="21"/>
        </w:rPr>
        <w:t xml:space="preserve"> menším městě (Benešově u Prahy)</w:t>
      </w:r>
    </w:p>
    <w:p w14:paraId="00A1F3AE" w14:textId="60342D57" w:rsidR="00100CE7" w:rsidRPr="007238DB" w:rsidRDefault="00453762" w:rsidP="00681C83">
      <w:pPr>
        <w:spacing w:after="200"/>
        <w:ind w:right="40"/>
        <w:rPr>
          <w:rFonts w:asciiTheme="minorHAnsi" w:hAnsiTheme="minorHAnsi" w:cstheme="minorHAnsi"/>
          <w:b/>
          <w:sz w:val="21"/>
          <w:szCs w:val="21"/>
        </w:rPr>
      </w:pPr>
      <w:r>
        <w:rPr>
          <w:rFonts w:asciiTheme="minorHAnsi" w:hAnsiTheme="minorHAnsi" w:cstheme="minorHAnsi"/>
          <w:b/>
          <w:i/>
          <w:sz w:val="21"/>
          <w:szCs w:val="21"/>
        </w:rPr>
        <w:t>Praha, 31</w:t>
      </w:r>
      <w:bookmarkStart w:id="0" w:name="_GoBack"/>
      <w:bookmarkEnd w:id="0"/>
      <w:r w:rsidR="00100CE7" w:rsidRPr="007238DB">
        <w:rPr>
          <w:rFonts w:asciiTheme="minorHAnsi" w:hAnsiTheme="minorHAnsi" w:cstheme="minorHAnsi"/>
          <w:b/>
          <w:i/>
          <w:sz w:val="21"/>
          <w:szCs w:val="21"/>
        </w:rPr>
        <w:t>. května</w:t>
      </w:r>
      <w:r w:rsidR="00FE189D" w:rsidRPr="007238DB">
        <w:rPr>
          <w:rFonts w:asciiTheme="minorHAnsi" w:hAnsiTheme="minorHAnsi" w:cstheme="minorHAnsi"/>
          <w:b/>
          <w:i/>
          <w:sz w:val="21"/>
          <w:szCs w:val="21"/>
        </w:rPr>
        <w:t xml:space="preserve"> 2023</w:t>
      </w:r>
      <w:r w:rsidR="00395524" w:rsidRPr="007238DB">
        <w:rPr>
          <w:rFonts w:asciiTheme="minorHAnsi" w:hAnsiTheme="minorHAnsi" w:cstheme="minorHAnsi"/>
          <w:b/>
          <w:sz w:val="21"/>
          <w:szCs w:val="21"/>
        </w:rPr>
        <w:t xml:space="preserve"> – </w:t>
      </w:r>
      <w:r w:rsidR="00100CE7" w:rsidRPr="007238DB">
        <w:rPr>
          <w:rFonts w:asciiTheme="minorHAnsi" w:hAnsiTheme="minorHAnsi" w:cstheme="minorHAnsi"/>
          <w:b/>
          <w:sz w:val="21"/>
          <w:szCs w:val="21"/>
        </w:rPr>
        <w:t>Broker C</w:t>
      </w:r>
      <w:r w:rsidR="00087124" w:rsidRPr="007238DB">
        <w:rPr>
          <w:rFonts w:asciiTheme="minorHAnsi" w:hAnsiTheme="minorHAnsi" w:cstheme="minorHAnsi"/>
          <w:b/>
          <w:sz w:val="21"/>
          <w:szCs w:val="21"/>
        </w:rPr>
        <w:t xml:space="preserve">onsulting </w:t>
      </w:r>
      <w:proofErr w:type="spellStart"/>
      <w:r w:rsidR="00423B16" w:rsidRPr="007238DB">
        <w:rPr>
          <w:rFonts w:asciiTheme="minorHAnsi" w:hAnsiTheme="minorHAnsi" w:cstheme="minorHAnsi"/>
          <w:b/>
          <w:sz w:val="21"/>
          <w:szCs w:val="21"/>
        </w:rPr>
        <w:t>POVIndex</w:t>
      </w:r>
      <w:proofErr w:type="spellEnd"/>
      <w:r w:rsidR="00423B16" w:rsidRPr="007238DB">
        <w:rPr>
          <w:rFonts w:asciiTheme="minorHAnsi" w:hAnsiTheme="minorHAnsi" w:cstheme="minorHAnsi"/>
          <w:b/>
          <w:sz w:val="21"/>
          <w:szCs w:val="21"/>
        </w:rPr>
        <w:t xml:space="preserve"> nezaznamenal meziměsíční posun a jeho hodnota tak zůstala na </w:t>
      </w:r>
      <w:r w:rsidR="00C362AF" w:rsidRPr="007238DB">
        <w:rPr>
          <w:rFonts w:asciiTheme="minorHAnsi" w:hAnsiTheme="minorHAnsi" w:cstheme="minorHAnsi"/>
          <w:b/>
          <w:sz w:val="21"/>
          <w:szCs w:val="21"/>
        </w:rPr>
        <w:t xml:space="preserve"> </w:t>
      </w:r>
      <w:r w:rsidR="00423B16" w:rsidRPr="007238DB">
        <w:rPr>
          <w:rFonts w:asciiTheme="minorHAnsi" w:hAnsiTheme="minorHAnsi" w:cstheme="minorHAnsi"/>
          <w:b/>
          <w:sz w:val="21"/>
          <w:szCs w:val="21"/>
        </w:rPr>
        <w:t xml:space="preserve">6 848 korunách. </w:t>
      </w:r>
      <w:r w:rsidR="00C362AF" w:rsidRPr="007238DB">
        <w:rPr>
          <w:rFonts w:asciiTheme="minorHAnsi" w:hAnsiTheme="minorHAnsi" w:cstheme="minorHAnsi"/>
          <w:b/>
          <w:sz w:val="21"/>
          <w:szCs w:val="21"/>
        </w:rPr>
        <w:t>To je stále více než celorepublikový</w:t>
      </w:r>
      <w:r w:rsidR="00907B68" w:rsidRPr="007238DB">
        <w:rPr>
          <w:rFonts w:asciiTheme="minorHAnsi" w:hAnsiTheme="minorHAnsi" w:cstheme="minorHAnsi"/>
          <w:b/>
          <w:sz w:val="21"/>
          <w:szCs w:val="21"/>
        </w:rPr>
        <w:t xml:space="preserve"> </w:t>
      </w:r>
      <w:r w:rsidR="00C362AF" w:rsidRPr="007238DB">
        <w:rPr>
          <w:rFonts w:asciiTheme="minorHAnsi" w:hAnsiTheme="minorHAnsi" w:cstheme="minorHAnsi"/>
          <w:b/>
          <w:sz w:val="21"/>
          <w:szCs w:val="21"/>
        </w:rPr>
        <w:t>průměr</w:t>
      </w:r>
      <w:r w:rsidR="00907B68" w:rsidRPr="007238DB">
        <w:rPr>
          <w:rFonts w:asciiTheme="minorHAnsi" w:hAnsiTheme="minorHAnsi" w:cstheme="minorHAnsi"/>
          <w:b/>
          <w:sz w:val="21"/>
          <w:szCs w:val="21"/>
        </w:rPr>
        <w:t>, který za celé období činí 6 727 korun</w:t>
      </w:r>
      <w:r w:rsidR="00E04F24" w:rsidRPr="007238DB">
        <w:rPr>
          <w:rFonts w:asciiTheme="minorHAnsi" w:hAnsiTheme="minorHAnsi" w:cstheme="minorHAnsi"/>
          <w:b/>
          <w:sz w:val="21"/>
          <w:szCs w:val="21"/>
        </w:rPr>
        <w:t xml:space="preserve">. Letošní květen je také nejvyšší v porovnání s předchozími od počátku měření. Očekávání </w:t>
      </w:r>
      <w:r w:rsidR="00423B16" w:rsidRPr="007238DB">
        <w:rPr>
          <w:rFonts w:asciiTheme="minorHAnsi" w:hAnsiTheme="minorHAnsi" w:cstheme="minorHAnsi"/>
          <w:b/>
          <w:sz w:val="21"/>
          <w:szCs w:val="21"/>
        </w:rPr>
        <w:t>odborníků ohledně </w:t>
      </w:r>
      <w:r w:rsidR="00956932" w:rsidRPr="007238DB">
        <w:rPr>
          <w:rFonts w:asciiTheme="minorHAnsi" w:hAnsiTheme="minorHAnsi" w:cstheme="minorHAnsi"/>
          <w:b/>
          <w:sz w:val="21"/>
          <w:szCs w:val="21"/>
        </w:rPr>
        <w:t>růstu</w:t>
      </w:r>
      <w:r w:rsidR="00423B16" w:rsidRPr="007238DB">
        <w:rPr>
          <w:rFonts w:asciiTheme="minorHAnsi" w:hAnsiTheme="minorHAnsi" w:cstheme="minorHAnsi"/>
          <w:b/>
          <w:sz w:val="21"/>
          <w:szCs w:val="21"/>
        </w:rPr>
        <w:t xml:space="preserve"> </w:t>
      </w:r>
      <w:r w:rsidR="00956932" w:rsidRPr="007238DB">
        <w:rPr>
          <w:rFonts w:asciiTheme="minorHAnsi" w:hAnsiTheme="minorHAnsi" w:cstheme="minorHAnsi"/>
          <w:b/>
          <w:sz w:val="21"/>
          <w:szCs w:val="21"/>
        </w:rPr>
        <w:t>cen</w:t>
      </w:r>
      <w:r w:rsidR="00E04F24" w:rsidRPr="007238DB">
        <w:rPr>
          <w:rFonts w:asciiTheme="minorHAnsi" w:hAnsiTheme="minorHAnsi" w:cstheme="minorHAnsi"/>
          <w:b/>
          <w:sz w:val="21"/>
          <w:szCs w:val="21"/>
        </w:rPr>
        <w:t xml:space="preserve"> dál trvá. Kvůli </w:t>
      </w:r>
      <w:r w:rsidR="00956932" w:rsidRPr="007238DB">
        <w:rPr>
          <w:rFonts w:asciiTheme="minorHAnsi" w:hAnsiTheme="minorHAnsi" w:cstheme="minorHAnsi"/>
          <w:b/>
          <w:sz w:val="21"/>
          <w:szCs w:val="21"/>
        </w:rPr>
        <w:t xml:space="preserve">zdražování vstupů, ale i </w:t>
      </w:r>
      <w:r w:rsidR="00E04F24" w:rsidRPr="007238DB">
        <w:rPr>
          <w:rFonts w:asciiTheme="minorHAnsi" w:hAnsiTheme="minorHAnsi" w:cstheme="minorHAnsi"/>
          <w:b/>
          <w:sz w:val="21"/>
          <w:szCs w:val="21"/>
        </w:rPr>
        <w:t>práce</w:t>
      </w:r>
      <w:r w:rsidR="002365F3" w:rsidRPr="007238DB">
        <w:rPr>
          <w:rFonts w:asciiTheme="minorHAnsi" w:hAnsiTheme="minorHAnsi" w:cstheme="minorHAnsi"/>
          <w:b/>
          <w:sz w:val="21"/>
          <w:szCs w:val="21"/>
        </w:rPr>
        <w:t xml:space="preserve"> se</w:t>
      </w:r>
      <w:r w:rsidR="00956932" w:rsidRPr="007238DB">
        <w:rPr>
          <w:rFonts w:asciiTheme="minorHAnsi" w:hAnsiTheme="minorHAnsi" w:cstheme="minorHAnsi"/>
          <w:b/>
          <w:sz w:val="21"/>
          <w:szCs w:val="21"/>
        </w:rPr>
        <w:t xml:space="preserve"> </w:t>
      </w:r>
      <w:r w:rsidR="00E04F24" w:rsidRPr="007238DB">
        <w:rPr>
          <w:rFonts w:asciiTheme="minorHAnsi" w:hAnsiTheme="minorHAnsi" w:cstheme="minorHAnsi"/>
          <w:b/>
          <w:sz w:val="21"/>
          <w:szCs w:val="21"/>
        </w:rPr>
        <w:t xml:space="preserve">cena za POV </w:t>
      </w:r>
      <w:r w:rsidR="002365F3" w:rsidRPr="007238DB">
        <w:rPr>
          <w:rFonts w:asciiTheme="minorHAnsi" w:hAnsiTheme="minorHAnsi" w:cstheme="minorHAnsi"/>
          <w:b/>
          <w:sz w:val="21"/>
          <w:szCs w:val="21"/>
        </w:rPr>
        <w:t xml:space="preserve">nejspíše o něco zvýší.   </w:t>
      </w:r>
    </w:p>
    <w:p w14:paraId="598EEE89" w14:textId="7D50061D" w:rsidR="00E04F24" w:rsidRPr="00EA3186" w:rsidRDefault="00E04F24" w:rsidP="00FE189D">
      <w:pPr>
        <w:spacing w:after="240"/>
        <w:ind w:right="130"/>
        <w:jc w:val="both"/>
        <w:rPr>
          <w:rFonts w:asciiTheme="minorHAnsi" w:hAnsiTheme="minorHAnsi" w:cstheme="minorHAnsi"/>
          <w:sz w:val="21"/>
          <w:szCs w:val="21"/>
        </w:rPr>
      </w:pPr>
      <w:r w:rsidRPr="00EA3186">
        <w:rPr>
          <w:rFonts w:asciiTheme="minorHAnsi" w:hAnsiTheme="minorHAnsi" w:cstheme="minorHAnsi"/>
          <w:sz w:val="21"/>
          <w:szCs w:val="21"/>
        </w:rPr>
        <w:t xml:space="preserve">V květnu hodnota </w:t>
      </w:r>
      <w:proofErr w:type="spellStart"/>
      <w:r w:rsidRPr="00EA3186">
        <w:rPr>
          <w:rFonts w:asciiTheme="minorHAnsi" w:hAnsiTheme="minorHAnsi" w:cstheme="minorHAnsi"/>
          <w:sz w:val="21"/>
          <w:szCs w:val="21"/>
        </w:rPr>
        <w:t>POVIndexu</w:t>
      </w:r>
      <w:proofErr w:type="spellEnd"/>
      <w:r w:rsidRPr="00EA3186">
        <w:rPr>
          <w:rFonts w:asciiTheme="minorHAnsi" w:hAnsiTheme="minorHAnsi" w:cstheme="minorHAnsi"/>
          <w:sz w:val="21"/>
          <w:szCs w:val="21"/>
        </w:rPr>
        <w:t xml:space="preserve"> stagnovala</w:t>
      </w:r>
      <w:r w:rsidR="00CC60A9" w:rsidRPr="00EA3186">
        <w:rPr>
          <w:rFonts w:asciiTheme="minorHAnsi" w:hAnsiTheme="minorHAnsi" w:cstheme="minorHAnsi"/>
          <w:sz w:val="21"/>
          <w:szCs w:val="21"/>
        </w:rPr>
        <w:t>. Cena za povinné ručení tak zůstala stejná jako v dubnu, a to 6 848 korun. Ačkoli se poprvé za celou historii měření hodnota meziměsíčně nezměnila,</w:t>
      </w:r>
      <w:r w:rsidR="00681C83" w:rsidRPr="00EA3186">
        <w:rPr>
          <w:rFonts w:asciiTheme="minorHAnsi" w:hAnsiTheme="minorHAnsi" w:cstheme="minorHAnsi"/>
          <w:sz w:val="21"/>
          <w:szCs w:val="21"/>
        </w:rPr>
        <w:t xml:space="preserve"> ještě</w:t>
      </w:r>
      <w:r w:rsidR="00CC60A9" w:rsidRPr="00EA3186">
        <w:rPr>
          <w:rFonts w:asciiTheme="minorHAnsi" w:hAnsiTheme="minorHAnsi" w:cstheme="minorHAnsi"/>
          <w:sz w:val="21"/>
          <w:szCs w:val="21"/>
        </w:rPr>
        <w:t xml:space="preserve"> loni byla cena o 185</w:t>
      </w:r>
      <w:r w:rsidR="00D46587" w:rsidRPr="00EA3186">
        <w:rPr>
          <w:rFonts w:asciiTheme="minorHAnsi" w:hAnsiTheme="minorHAnsi" w:cstheme="minorHAnsi"/>
          <w:sz w:val="21"/>
          <w:szCs w:val="21"/>
        </w:rPr>
        <w:t xml:space="preserve"> korun nižší</w:t>
      </w:r>
      <w:r w:rsidR="00CC60A9" w:rsidRPr="00EA3186">
        <w:rPr>
          <w:rFonts w:asciiTheme="minorHAnsi" w:hAnsiTheme="minorHAnsi" w:cstheme="minorHAnsi"/>
          <w:sz w:val="21"/>
          <w:szCs w:val="21"/>
        </w:rPr>
        <w:t xml:space="preserve">. Celkově nejnižší byla podle ukazatele cena před dvěma lety, kdy byl </w:t>
      </w:r>
      <w:proofErr w:type="spellStart"/>
      <w:r w:rsidR="00CC60A9" w:rsidRPr="00EA3186">
        <w:rPr>
          <w:rFonts w:asciiTheme="minorHAnsi" w:hAnsiTheme="minorHAnsi" w:cstheme="minorHAnsi"/>
          <w:sz w:val="21"/>
          <w:szCs w:val="21"/>
        </w:rPr>
        <w:t>POVIndex</w:t>
      </w:r>
      <w:proofErr w:type="spellEnd"/>
      <w:r w:rsidR="00CC60A9" w:rsidRPr="00EA3186">
        <w:rPr>
          <w:rFonts w:asciiTheme="minorHAnsi" w:hAnsiTheme="minorHAnsi" w:cstheme="minorHAnsi"/>
          <w:sz w:val="21"/>
          <w:szCs w:val="21"/>
        </w:rPr>
        <w:t xml:space="preserve"> 6</w:t>
      </w:r>
      <w:r w:rsidR="00D46587" w:rsidRPr="00EA3186">
        <w:rPr>
          <w:rFonts w:asciiTheme="minorHAnsi" w:hAnsiTheme="minorHAnsi" w:cstheme="minorHAnsi"/>
          <w:sz w:val="21"/>
          <w:szCs w:val="21"/>
        </w:rPr>
        <w:t xml:space="preserve"> </w:t>
      </w:r>
      <w:r w:rsidR="00CC60A9" w:rsidRPr="00EA3186">
        <w:rPr>
          <w:rFonts w:asciiTheme="minorHAnsi" w:hAnsiTheme="minorHAnsi" w:cstheme="minorHAnsi"/>
          <w:sz w:val="21"/>
          <w:szCs w:val="21"/>
        </w:rPr>
        <w:t xml:space="preserve">405 Kč. </w:t>
      </w:r>
      <w:r w:rsidR="00D46587" w:rsidRPr="00EA3186">
        <w:rPr>
          <w:rFonts w:asciiTheme="minorHAnsi" w:hAnsiTheme="minorHAnsi" w:cstheme="minorHAnsi"/>
          <w:sz w:val="21"/>
          <w:szCs w:val="21"/>
        </w:rPr>
        <w:t xml:space="preserve">V porovnání s dneškem </w:t>
      </w:r>
      <w:r w:rsidR="00681C83" w:rsidRPr="00EA3186">
        <w:rPr>
          <w:rFonts w:asciiTheme="minorHAnsi" w:hAnsiTheme="minorHAnsi" w:cstheme="minorHAnsi"/>
          <w:sz w:val="21"/>
          <w:szCs w:val="21"/>
        </w:rPr>
        <w:t xml:space="preserve">jde tedy o rozdíl </w:t>
      </w:r>
      <w:r w:rsidR="00D46587" w:rsidRPr="00EA3186">
        <w:rPr>
          <w:rFonts w:asciiTheme="minorHAnsi" w:hAnsiTheme="minorHAnsi" w:cstheme="minorHAnsi"/>
          <w:sz w:val="21"/>
          <w:szCs w:val="21"/>
        </w:rPr>
        <w:t>více než 440</w:t>
      </w:r>
      <w:r w:rsidR="00681C83" w:rsidRPr="00EA3186">
        <w:rPr>
          <w:rFonts w:asciiTheme="minorHAnsi" w:hAnsiTheme="minorHAnsi" w:cstheme="minorHAnsi"/>
          <w:sz w:val="21"/>
          <w:szCs w:val="21"/>
        </w:rPr>
        <w:t xml:space="preserve"> korun</w:t>
      </w:r>
      <w:r w:rsidR="00D46587" w:rsidRPr="00EA3186">
        <w:rPr>
          <w:rFonts w:asciiTheme="minorHAnsi" w:hAnsiTheme="minorHAnsi" w:cstheme="minorHAnsi"/>
          <w:sz w:val="21"/>
          <w:szCs w:val="21"/>
        </w:rPr>
        <w:t>.</w:t>
      </w:r>
    </w:p>
    <w:p w14:paraId="38AF727A" w14:textId="79B00D36" w:rsidR="00FE189D" w:rsidRPr="00EA3186" w:rsidRDefault="00561997" w:rsidP="00FE189D">
      <w:pPr>
        <w:spacing w:after="240"/>
        <w:ind w:right="130"/>
        <w:jc w:val="both"/>
        <w:rPr>
          <w:rFonts w:asciiTheme="minorHAnsi" w:hAnsiTheme="minorHAnsi" w:cstheme="minorHAnsi"/>
          <w:b/>
          <w:sz w:val="21"/>
          <w:szCs w:val="21"/>
        </w:rPr>
      </w:pPr>
      <w:r w:rsidRPr="00EA3186">
        <w:rPr>
          <w:rFonts w:asciiTheme="minorHAnsi" w:hAnsiTheme="minorHAnsi" w:cstheme="minorHAnsi"/>
          <w:sz w:val="21"/>
          <w:szCs w:val="21"/>
        </w:rPr>
        <w:t xml:space="preserve"> </w:t>
      </w:r>
      <w:r w:rsidR="00FE189D" w:rsidRPr="00EA3186">
        <w:rPr>
          <w:rFonts w:asciiTheme="minorHAnsi" w:hAnsiTheme="minorHAnsi" w:cstheme="minorHAnsi"/>
          <w:sz w:val="21"/>
          <w:szCs w:val="21"/>
        </w:rPr>
        <w:t>„</w:t>
      </w:r>
      <w:r w:rsidRPr="00EA3186">
        <w:rPr>
          <w:rFonts w:asciiTheme="minorHAnsi" w:hAnsiTheme="minorHAnsi" w:cstheme="minorHAnsi"/>
          <w:i/>
          <w:sz w:val="21"/>
          <w:szCs w:val="21"/>
        </w:rPr>
        <w:t>Nadále o</w:t>
      </w:r>
      <w:r w:rsidR="001C4C44" w:rsidRPr="00EA3186">
        <w:rPr>
          <w:rFonts w:asciiTheme="minorHAnsi" w:hAnsiTheme="minorHAnsi" w:cstheme="minorHAnsi"/>
          <w:i/>
          <w:sz w:val="21"/>
          <w:szCs w:val="21"/>
        </w:rPr>
        <w:t xml:space="preserve">čekáváme, že se ceny povinného ručení budou </w:t>
      </w:r>
      <w:r w:rsidRPr="00EA3186">
        <w:rPr>
          <w:rFonts w:asciiTheme="minorHAnsi" w:hAnsiTheme="minorHAnsi" w:cstheme="minorHAnsi"/>
          <w:i/>
          <w:sz w:val="21"/>
          <w:szCs w:val="21"/>
        </w:rPr>
        <w:t>do konce roku nejspíše dál mírně zvedat</w:t>
      </w:r>
      <w:r w:rsidR="001C4C44" w:rsidRPr="00EA3186">
        <w:rPr>
          <w:rFonts w:asciiTheme="minorHAnsi" w:hAnsiTheme="minorHAnsi" w:cstheme="minorHAnsi"/>
          <w:i/>
          <w:sz w:val="21"/>
          <w:szCs w:val="21"/>
        </w:rPr>
        <w:t xml:space="preserve">. </w:t>
      </w:r>
      <w:r w:rsidRPr="00EA3186">
        <w:rPr>
          <w:rFonts w:asciiTheme="minorHAnsi" w:hAnsiTheme="minorHAnsi" w:cstheme="minorHAnsi"/>
          <w:i/>
          <w:sz w:val="21"/>
          <w:szCs w:val="21"/>
        </w:rPr>
        <w:t xml:space="preserve">Vliv na to budou mít zdražující se vstupy, energie, ale i </w:t>
      </w:r>
      <w:r w:rsidR="00E23F1D" w:rsidRPr="00EA3186">
        <w:rPr>
          <w:rFonts w:asciiTheme="minorHAnsi" w:hAnsiTheme="minorHAnsi" w:cstheme="minorHAnsi"/>
          <w:i/>
          <w:sz w:val="21"/>
          <w:szCs w:val="21"/>
        </w:rPr>
        <w:t>práce,</w:t>
      </w:r>
      <w:r w:rsidR="00FE189D" w:rsidRPr="00EA3186">
        <w:rPr>
          <w:rFonts w:asciiTheme="minorHAnsi" w:hAnsiTheme="minorHAnsi" w:cstheme="minorHAnsi"/>
          <w:sz w:val="21"/>
          <w:szCs w:val="21"/>
        </w:rPr>
        <w:t>“</w:t>
      </w:r>
      <w:r w:rsidR="00E23F1D" w:rsidRPr="00EA3186">
        <w:rPr>
          <w:rFonts w:asciiTheme="minorHAnsi" w:hAnsiTheme="minorHAnsi" w:cstheme="minorHAnsi"/>
          <w:sz w:val="21"/>
          <w:szCs w:val="21"/>
        </w:rPr>
        <w:t xml:space="preserve"> </w:t>
      </w:r>
      <w:r w:rsidRPr="00EA3186">
        <w:rPr>
          <w:rFonts w:asciiTheme="minorHAnsi" w:hAnsiTheme="minorHAnsi" w:cstheme="minorHAnsi"/>
          <w:sz w:val="21"/>
          <w:szCs w:val="21"/>
        </w:rPr>
        <w:t>dodává</w:t>
      </w:r>
      <w:r w:rsidRPr="00EA3186">
        <w:rPr>
          <w:rFonts w:asciiTheme="minorHAnsi" w:hAnsiTheme="minorHAnsi" w:cstheme="minorHAnsi"/>
          <w:b/>
          <w:sz w:val="21"/>
          <w:szCs w:val="21"/>
        </w:rPr>
        <w:t xml:space="preserve"> </w:t>
      </w:r>
      <w:r w:rsidR="00FE189D" w:rsidRPr="00EA3186">
        <w:rPr>
          <w:rFonts w:asciiTheme="minorHAnsi" w:hAnsiTheme="minorHAnsi" w:cstheme="minorHAnsi"/>
          <w:b/>
          <w:sz w:val="21"/>
          <w:szCs w:val="21"/>
        </w:rPr>
        <w:t>Jiří Váchal, analytik neživotního pojištění společnosti Broker Consulting.</w:t>
      </w:r>
    </w:p>
    <w:p w14:paraId="71F7BBD6" w14:textId="5302F59E" w:rsidR="00474E92" w:rsidRPr="00EA3186" w:rsidRDefault="00474E92" w:rsidP="00FE189D">
      <w:pPr>
        <w:spacing w:after="240"/>
        <w:ind w:right="130"/>
        <w:jc w:val="both"/>
        <w:rPr>
          <w:rFonts w:asciiTheme="minorHAnsi" w:hAnsiTheme="minorHAnsi" w:cstheme="minorHAnsi"/>
          <w:sz w:val="21"/>
          <w:szCs w:val="21"/>
        </w:rPr>
      </w:pPr>
      <w:r w:rsidRPr="00EA3186">
        <w:rPr>
          <w:rFonts w:asciiTheme="minorHAnsi" w:hAnsiTheme="minorHAnsi" w:cstheme="minorHAnsi"/>
          <w:sz w:val="21"/>
          <w:szCs w:val="21"/>
        </w:rPr>
        <w:t xml:space="preserve">Trendy růstu cen v hlavním a menším městě vesměs kopírují celkový trend </w:t>
      </w:r>
      <w:proofErr w:type="spellStart"/>
      <w:r w:rsidRPr="00EA3186">
        <w:rPr>
          <w:rFonts w:asciiTheme="minorHAnsi" w:hAnsiTheme="minorHAnsi" w:cstheme="minorHAnsi"/>
          <w:sz w:val="21"/>
          <w:szCs w:val="21"/>
        </w:rPr>
        <w:t>POVIndexu</w:t>
      </w:r>
      <w:proofErr w:type="spellEnd"/>
      <w:r w:rsidRPr="00EA3186">
        <w:rPr>
          <w:rFonts w:asciiTheme="minorHAnsi" w:hAnsiTheme="minorHAnsi" w:cstheme="minorHAnsi"/>
          <w:sz w:val="21"/>
          <w:szCs w:val="21"/>
        </w:rPr>
        <w:t xml:space="preserve">. </w:t>
      </w:r>
      <w:r w:rsidR="00090C9C" w:rsidRPr="00EA3186">
        <w:rPr>
          <w:rFonts w:asciiTheme="minorHAnsi" w:hAnsiTheme="minorHAnsi" w:cstheme="minorHAnsi"/>
          <w:sz w:val="21"/>
          <w:szCs w:val="21"/>
        </w:rPr>
        <w:t>Povinné ručení v Praze</w:t>
      </w:r>
      <w:r w:rsidRPr="00EA3186">
        <w:rPr>
          <w:rFonts w:asciiTheme="minorHAnsi" w:hAnsiTheme="minorHAnsi" w:cstheme="minorHAnsi"/>
          <w:sz w:val="21"/>
          <w:szCs w:val="21"/>
        </w:rPr>
        <w:t xml:space="preserve"> </w:t>
      </w:r>
      <w:r w:rsidR="00090C9C" w:rsidRPr="00EA3186">
        <w:rPr>
          <w:rFonts w:asciiTheme="minorHAnsi" w:hAnsiTheme="minorHAnsi" w:cstheme="minorHAnsi"/>
          <w:sz w:val="21"/>
          <w:szCs w:val="21"/>
        </w:rPr>
        <w:t>dosahovalo v měsíci květnu následujících hodnot:</w:t>
      </w:r>
      <w:r w:rsidRPr="00EA3186">
        <w:rPr>
          <w:rFonts w:asciiTheme="minorHAnsi" w:hAnsiTheme="minorHAnsi" w:cstheme="minorHAnsi"/>
          <w:sz w:val="21"/>
          <w:szCs w:val="21"/>
        </w:rPr>
        <w:t xml:space="preserve"> </w:t>
      </w:r>
      <w:r w:rsidR="00090C9C" w:rsidRPr="00EA3186">
        <w:rPr>
          <w:rFonts w:asciiTheme="minorHAnsi" w:hAnsiTheme="minorHAnsi" w:cstheme="minorHAnsi"/>
          <w:sz w:val="21"/>
          <w:szCs w:val="21"/>
        </w:rPr>
        <w:t>2023 -</w:t>
      </w:r>
      <w:r w:rsidRPr="00EA3186">
        <w:rPr>
          <w:rFonts w:asciiTheme="minorHAnsi" w:hAnsiTheme="minorHAnsi" w:cstheme="minorHAnsi"/>
          <w:sz w:val="21"/>
          <w:szCs w:val="21"/>
        </w:rPr>
        <w:t xml:space="preserve"> 7 500 Kč, </w:t>
      </w:r>
      <w:r w:rsidR="00090C9C" w:rsidRPr="00EA3186">
        <w:rPr>
          <w:rFonts w:asciiTheme="minorHAnsi" w:hAnsiTheme="minorHAnsi" w:cstheme="minorHAnsi"/>
          <w:sz w:val="21"/>
          <w:szCs w:val="21"/>
        </w:rPr>
        <w:t xml:space="preserve">2022 - 7 403 Kč, 2021 – 7 089 Kč, 2020 – 7 344 Kč. V Benešově poté těchto: 2023 – 6 190 Kč,  2022 - 5 923 Kč, 2021 – 5 649 Kč,  2020 – 5 741 Kč. </w:t>
      </w:r>
      <w:r w:rsidR="00681C83" w:rsidRPr="00EA3186">
        <w:rPr>
          <w:rFonts w:asciiTheme="minorHAnsi" w:hAnsiTheme="minorHAnsi" w:cstheme="minorHAnsi"/>
          <w:sz w:val="21"/>
          <w:szCs w:val="21"/>
        </w:rPr>
        <w:t>Při srovnání obou průměrů s celkovým, je Praha o 486</w:t>
      </w:r>
      <w:r w:rsidR="00EA3186" w:rsidRPr="00EA3186">
        <w:rPr>
          <w:rFonts w:asciiTheme="minorHAnsi" w:hAnsiTheme="minorHAnsi" w:cstheme="minorHAnsi"/>
          <w:sz w:val="21"/>
          <w:szCs w:val="21"/>
        </w:rPr>
        <w:t xml:space="preserve"> korun výš</w:t>
      </w:r>
      <w:r w:rsidR="00681C83" w:rsidRPr="00EA3186">
        <w:rPr>
          <w:rFonts w:asciiTheme="minorHAnsi" w:hAnsiTheme="minorHAnsi" w:cstheme="minorHAnsi"/>
          <w:sz w:val="21"/>
          <w:szCs w:val="21"/>
        </w:rPr>
        <w:t>, B</w:t>
      </w:r>
      <w:r w:rsidR="00EA3186" w:rsidRPr="00EA3186">
        <w:rPr>
          <w:rFonts w:asciiTheme="minorHAnsi" w:hAnsiTheme="minorHAnsi" w:cstheme="minorHAnsi"/>
          <w:sz w:val="21"/>
          <w:szCs w:val="21"/>
        </w:rPr>
        <w:t xml:space="preserve">enešov poté o necelých 1200 korun níž. </w:t>
      </w:r>
    </w:p>
    <w:p w14:paraId="70349785" w14:textId="0DF233F8" w:rsidR="00561997" w:rsidRPr="00EA3186" w:rsidRDefault="00090C9C" w:rsidP="00561997">
      <w:pPr>
        <w:ind w:right="130"/>
        <w:jc w:val="both"/>
        <w:rPr>
          <w:rFonts w:asciiTheme="minorHAnsi" w:hAnsiTheme="minorHAnsi" w:cstheme="minorHAnsi"/>
          <w:i/>
          <w:color w:val="000000" w:themeColor="text1"/>
          <w:sz w:val="21"/>
          <w:szCs w:val="21"/>
        </w:rPr>
      </w:pPr>
      <w:r w:rsidRPr="00EA3186">
        <w:rPr>
          <w:rFonts w:asciiTheme="minorHAnsi" w:hAnsiTheme="minorHAnsi" w:cstheme="minorHAnsi"/>
          <w:i/>
          <w:color w:val="000000" w:themeColor="text1"/>
          <w:sz w:val="21"/>
          <w:szCs w:val="21"/>
        </w:rPr>
        <w:t>„</w:t>
      </w:r>
      <w:r w:rsidR="00561997" w:rsidRPr="00EA3186">
        <w:rPr>
          <w:rFonts w:asciiTheme="minorHAnsi" w:hAnsiTheme="minorHAnsi" w:cstheme="minorHAnsi"/>
          <w:i/>
          <w:color w:val="000000" w:themeColor="text1"/>
          <w:sz w:val="21"/>
          <w:szCs w:val="21"/>
        </w:rPr>
        <w:t xml:space="preserve">Trend </w:t>
      </w:r>
      <w:r w:rsidRPr="00EA3186">
        <w:rPr>
          <w:rFonts w:asciiTheme="minorHAnsi" w:hAnsiTheme="minorHAnsi" w:cstheme="minorHAnsi"/>
          <w:i/>
          <w:color w:val="000000" w:themeColor="text1"/>
          <w:sz w:val="21"/>
          <w:szCs w:val="21"/>
        </w:rPr>
        <w:t xml:space="preserve">růstu cen u </w:t>
      </w:r>
      <w:r w:rsidR="00561997" w:rsidRPr="00EA3186">
        <w:rPr>
          <w:rFonts w:asciiTheme="minorHAnsi" w:hAnsiTheme="minorHAnsi" w:cstheme="minorHAnsi"/>
          <w:i/>
          <w:color w:val="000000" w:themeColor="text1"/>
          <w:sz w:val="21"/>
          <w:szCs w:val="21"/>
        </w:rPr>
        <w:t>povinného ručení je</w:t>
      </w:r>
      <w:r w:rsidRPr="00EA3186">
        <w:rPr>
          <w:rFonts w:asciiTheme="minorHAnsi" w:hAnsiTheme="minorHAnsi" w:cstheme="minorHAnsi"/>
          <w:i/>
          <w:color w:val="000000" w:themeColor="text1"/>
          <w:sz w:val="21"/>
          <w:szCs w:val="21"/>
        </w:rPr>
        <w:t xml:space="preserve"> v Praze i v Benešově u Prahy</w:t>
      </w:r>
      <w:r w:rsidR="00561997" w:rsidRPr="00EA3186">
        <w:rPr>
          <w:rFonts w:asciiTheme="minorHAnsi" w:hAnsiTheme="minorHAnsi" w:cstheme="minorHAnsi"/>
          <w:i/>
          <w:color w:val="000000" w:themeColor="text1"/>
          <w:sz w:val="21"/>
          <w:szCs w:val="21"/>
        </w:rPr>
        <w:t xml:space="preserve"> zce</w:t>
      </w:r>
      <w:r w:rsidRPr="00EA3186">
        <w:rPr>
          <w:rFonts w:asciiTheme="minorHAnsi" w:hAnsiTheme="minorHAnsi" w:cstheme="minorHAnsi"/>
          <w:i/>
          <w:color w:val="000000" w:themeColor="text1"/>
          <w:sz w:val="21"/>
          <w:szCs w:val="21"/>
        </w:rPr>
        <w:t xml:space="preserve">la totožný s průběhem celorepublikového </w:t>
      </w:r>
      <w:proofErr w:type="spellStart"/>
      <w:r w:rsidRPr="00EA3186">
        <w:rPr>
          <w:rFonts w:asciiTheme="minorHAnsi" w:hAnsiTheme="minorHAnsi" w:cstheme="minorHAnsi"/>
          <w:i/>
          <w:color w:val="000000" w:themeColor="text1"/>
          <w:sz w:val="21"/>
          <w:szCs w:val="21"/>
        </w:rPr>
        <w:t>POVIndexu</w:t>
      </w:r>
      <w:proofErr w:type="spellEnd"/>
      <w:r w:rsidRPr="00EA3186">
        <w:rPr>
          <w:rFonts w:asciiTheme="minorHAnsi" w:hAnsiTheme="minorHAnsi" w:cstheme="minorHAnsi"/>
          <w:i/>
          <w:color w:val="000000" w:themeColor="text1"/>
          <w:sz w:val="21"/>
          <w:szCs w:val="21"/>
        </w:rPr>
        <w:t xml:space="preserve">,“ </w:t>
      </w:r>
      <w:r w:rsidR="00E16928" w:rsidRPr="00EA3186">
        <w:rPr>
          <w:rFonts w:asciiTheme="minorHAnsi" w:hAnsiTheme="minorHAnsi" w:cstheme="minorHAnsi"/>
          <w:i/>
          <w:color w:val="000000" w:themeColor="text1"/>
          <w:sz w:val="21"/>
          <w:szCs w:val="21"/>
        </w:rPr>
        <w:t>potvrzuje</w:t>
      </w:r>
      <w:r w:rsidRPr="00EA3186">
        <w:rPr>
          <w:rFonts w:asciiTheme="minorHAnsi" w:hAnsiTheme="minorHAnsi" w:cstheme="minorHAnsi"/>
          <w:i/>
          <w:color w:val="000000" w:themeColor="text1"/>
          <w:sz w:val="21"/>
          <w:szCs w:val="21"/>
        </w:rPr>
        <w:t xml:space="preserve"> Jiří Váchal.  </w:t>
      </w:r>
    </w:p>
    <w:p w14:paraId="50097658" w14:textId="2510C4F1" w:rsidR="00E06CEA" w:rsidRPr="00BF3B93" w:rsidRDefault="004C5298" w:rsidP="004C5298">
      <w:pPr>
        <w:pBdr>
          <w:bottom w:val="single" w:sz="4" w:space="1" w:color="auto"/>
        </w:pBdr>
        <w:tabs>
          <w:tab w:val="left" w:pos="6130"/>
        </w:tabs>
        <w:spacing w:after="240"/>
        <w:ind w:right="130"/>
        <w:jc w:val="both"/>
        <w:rPr>
          <w:rFonts w:asciiTheme="minorHAnsi" w:hAnsiTheme="minorHAnsi" w:cstheme="minorHAnsi"/>
          <w:sz w:val="21"/>
          <w:szCs w:val="21"/>
        </w:rPr>
      </w:pPr>
      <w:r>
        <w:rPr>
          <w:rFonts w:asciiTheme="minorHAnsi" w:hAnsiTheme="minorHAnsi" w:cstheme="minorHAnsi"/>
          <w:sz w:val="21"/>
          <w:szCs w:val="21"/>
        </w:rPr>
        <w:tab/>
      </w:r>
    </w:p>
    <w:p w14:paraId="61F7F818" w14:textId="269A2FE0" w:rsidR="00CF7691" w:rsidRPr="004A7461" w:rsidRDefault="004C5298" w:rsidP="00E06CEA">
      <w:pPr>
        <w:spacing w:after="120"/>
        <w:ind w:right="130"/>
        <w:jc w:val="both"/>
        <w:rPr>
          <w:rFonts w:asciiTheme="minorHAnsi" w:hAnsiTheme="minorHAnsi" w:cstheme="minorHAnsi"/>
          <w:b/>
          <w:sz w:val="21"/>
          <w:szCs w:val="21"/>
        </w:rPr>
      </w:pPr>
      <w:r w:rsidRPr="004C5298">
        <w:rPr>
          <w:rFonts w:asciiTheme="minorHAnsi" w:hAnsiTheme="minorHAnsi" w:cstheme="minorHAnsi"/>
          <w:b/>
          <w:noProof/>
          <w:sz w:val="21"/>
          <w:szCs w:val="21"/>
          <w:lang w:bidi="ar-SA"/>
        </w:rPr>
        <w:drawing>
          <wp:inline distT="0" distB="0" distL="0" distR="0" wp14:anchorId="5BC18F57" wp14:editId="20DC958D">
            <wp:extent cx="6654165" cy="1902789"/>
            <wp:effectExtent l="0" t="0" r="0" b="2540"/>
            <wp:docPr id="2" name="Obrázek 2" descr="C:\Users\msahulova\Desktop\Propagace OKP - 2023\OKTV\POVIndex\Graf BC POVIndex - květen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hulova\Desktop\Propagace OKP - 2023\OKTV\POVIndex\Graf BC POVIndex - květen 20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4165" cy="1902789"/>
                    </a:xfrm>
                    <a:prstGeom prst="rect">
                      <a:avLst/>
                    </a:prstGeom>
                    <a:noFill/>
                    <a:ln>
                      <a:noFill/>
                    </a:ln>
                  </pic:spPr>
                </pic:pic>
              </a:graphicData>
            </a:graphic>
          </wp:inline>
        </w:drawing>
      </w:r>
    </w:p>
    <w:p w14:paraId="2928CDD5" w14:textId="77777777" w:rsidR="005B3E4A" w:rsidRPr="004A7461" w:rsidRDefault="005B3E4A" w:rsidP="005B3E4A">
      <w:pPr>
        <w:pBdr>
          <w:bottom w:val="single" w:sz="4" w:space="1" w:color="auto"/>
        </w:pBdr>
        <w:spacing w:after="240"/>
        <w:ind w:right="130"/>
        <w:jc w:val="both"/>
        <w:rPr>
          <w:rFonts w:asciiTheme="minorHAnsi" w:hAnsiTheme="minorHAnsi" w:cstheme="minorHAnsi"/>
          <w:b/>
          <w:sz w:val="21"/>
          <w:szCs w:val="21"/>
        </w:rPr>
      </w:pPr>
    </w:p>
    <w:p w14:paraId="12C50D18" w14:textId="282551AC" w:rsidR="00D31386" w:rsidRDefault="00D31386" w:rsidP="00D31386">
      <w:pPr>
        <w:pBdr>
          <w:bottom w:val="single" w:sz="4" w:space="1" w:color="auto"/>
        </w:pBdr>
        <w:shd w:val="clear" w:color="auto" w:fill="FFFFFF"/>
        <w:spacing w:after="200"/>
        <w:jc w:val="both"/>
        <w:rPr>
          <w:rFonts w:asciiTheme="minorHAnsi" w:hAnsiTheme="minorHAnsi" w:cstheme="minorHAnsi"/>
          <w:color w:val="000000"/>
          <w:sz w:val="21"/>
          <w:szCs w:val="21"/>
        </w:rPr>
      </w:pPr>
      <w:r w:rsidRPr="00D31386">
        <w:rPr>
          <w:rStyle w:val="Zdraznn"/>
          <w:rFonts w:asciiTheme="minorHAnsi" w:hAnsiTheme="minorHAnsi" w:cstheme="minorHAnsi"/>
          <w:color w:val="000000"/>
          <w:sz w:val="21"/>
          <w:szCs w:val="21"/>
        </w:rPr>
        <w:t>„Nejvíce pocítí zdražení povinného ručení řidiči, kteří jsou z pohledu pojišťoven rizikoví. Jsou to lidé, kteří často bourají, ale také mladí řidiči. Ti ovšem i bez ohledu na zdražení platí více než ostatní. Rozdíly v cenách povinného ručení mezi jednotlivými pojišťovnami vznikají hlavně proto, že každá z nich používá jiné parametry pro svůj výpočet pojistného,“</w:t>
      </w:r>
      <w:r w:rsidRPr="00D31386">
        <w:rPr>
          <w:rFonts w:asciiTheme="minorHAnsi" w:hAnsiTheme="minorHAnsi" w:cstheme="minorHAnsi"/>
          <w:color w:val="000000"/>
          <w:sz w:val="21"/>
          <w:szCs w:val="21"/>
        </w:rPr>
        <w:t> vysvětluje </w:t>
      </w:r>
      <w:r w:rsidRPr="00D31386">
        <w:rPr>
          <w:rStyle w:val="Siln"/>
          <w:rFonts w:asciiTheme="minorHAnsi" w:hAnsiTheme="minorHAnsi" w:cstheme="minorHAnsi"/>
          <w:color w:val="000000"/>
          <w:sz w:val="21"/>
          <w:szCs w:val="21"/>
        </w:rPr>
        <w:t>Váchal</w:t>
      </w:r>
      <w:r w:rsidRPr="00D31386">
        <w:rPr>
          <w:rFonts w:asciiTheme="minorHAnsi" w:hAnsiTheme="minorHAnsi" w:cstheme="minorHAnsi"/>
          <w:color w:val="000000"/>
          <w:sz w:val="21"/>
          <w:szCs w:val="21"/>
        </w:rPr>
        <w:t>. Povinné ručení slouží k úhradě škod způsobených vlastníkem vozu na zdraví a majetku třetích osob a musí ho mít sjednané každý vlastník motorového vozidla. Obecně se uvádí, že zhruba 7 z 10 lidí své povinné ručení přeplácí, přitom na této platbě lze ušetř</w:t>
      </w:r>
      <w:r w:rsidR="00A973F9">
        <w:rPr>
          <w:rFonts w:asciiTheme="minorHAnsi" w:hAnsiTheme="minorHAnsi" w:cstheme="minorHAnsi"/>
          <w:color w:val="000000"/>
          <w:sz w:val="21"/>
          <w:szCs w:val="21"/>
        </w:rPr>
        <w:t>it</w:t>
      </w:r>
      <w:r w:rsidRPr="00D31386">
        <w:rPr>
          <w:rFonts w:asciiTheme="minorHAnsi" w:hAnsiTheme="minorHAnsi" w:cstheme="minorHAnsi"/>
          <w:color w:val="000000"/>
          <w:sz w:val="21"/>
          <w:szCs w:val="21"/>
        </w:rPr>
        <w:t>. </w:t>
      </w:r>
      <w:r w:rsidRPr="00D31386">
        <w:rPr>
          <w:rStyle w:val="Zdraznn"/>
          <w:rFonts w:asciiTheme="minorHAnsi" w:hAnsiTheme="minorHAnsi" w:cstheme="minorHAnsi"/>
          <w:color w:val="000000"/>
          <w:sz w:val="21"/>
          <w:szCs w:val="21"/>
        </w:rPr>
        <w:t xml:space="preserve">„Celá řada pojišťoven také při on-line sjednání pojištění nabízí slevy. Některé pojišťovny zase umožňují klientům </w:t>
      </w:r>
      <w:r w:rsidRPr="00D31386">
        <w:rPr>
          <w:rStyle w:val="Zdraznn"/>
          <w:rFonts w:asciiTheme="minorHAnsi" w:hAnsiTheme="minorHAnsi" w:cstheme="minorHAnsi"/>
          <w:color w:val="000000"/>
          <w:sz w:val="21"/>
          <w:szCs w:val="21"/>
        </w:rPr>
        <w:lastRenderedPageBreak/>
        <w:t>platit povinné ručení úměrně najetým kilometrům,“</w:t>
      </w:r>
      <w:r>
        <w:rPr>
          <w:rFonts w:asciiTheme="minorHAnsi" w:hAnsiTheme="minorHAnsi" w:cstheme="minorHAnsi"/>
          <w:color w:val="000000"/>
          <w:sz w:val="21"/>
          <w:szCs w:val="21"/>
        </w:rPr>
        <w:t> dodává</w:t>
      </w:r>
      <w:r w:rsidRPr="00D31386">
        <w:rPr>
          <w:rFonts w:asciiTheme="minorHAnsi" w:hAnsiTheme="minorHAnsi" w:cstheme="minorHAnsi"/>
          <w:color w:val="000000"/>
          <w:sz w:val="21"/>
          <w:szCs w:val="21"/>
        </w:rPr>
        <w:t xml:space="preserve"> </w:t>
      </w:r>
      <w:r w:rsidRPr="00D31386">
        <w:rPr>
          <w:rFonts w:asciiTheme="minorHAnsi" w:hAnsiTheme="minorHAnsi" w:cstheme="minorHAnsi"/>
          <w:b/>
          <w:color w:val="000000"/>
          <w:sz w:val="21"/>
          <w:szCs w:val="21"/>
        </w:rPr>
        <w:t>Váchal</w:t>
      </w:r>
      <w:r w:rsidRPr="00D31386">
        <w:rPr>
          <w:rFonts w:asciiTheme="minorHAnsi" w:hAnsiTheme="minorHAnsi" w:cstheme="minorHAnsi"/>
          <w:color w:val="000000"/>
          <w:sz w:val="21"/>
          <w:szCs w:val="21"/>
        </w:rPr>
        <w:t>.</w:t>
      </w:r>
    </w:p>
    <w:p w14:paraId="5C599606" w14:textId="77777777" w:rsidR="00237B09" w:rsidRPr="00237B09" w:rsidRDefault="00237B09" w:rsidP="00D31386">
      <w:pPr>
        <w:pBdr>
          <w:bottom w:val="single" w:sz="4" w:space="1" w:color="auto"/>
        </w:pBdr>
        <w:shd w:val="clear" w:color="auto" w:fill="FFFFFF"/>
        <w:spacing w:after="200"/>
        <w:jc w:val="both"/>
        <w:rPr>
          <w:rFonts w:asciiTheme="minorHAnsi" w:hAnsiTheme="minorHAnsi" w:cstheme="minorHAnsi"/>
          <w:color w:val="000000"/>
          <w:sz w:val="21"/>
          <w:szCs w:val="21"/>
        </w:rPr>
      </w:pPr>
    </w:p>
    <w:p w14:paraId="3BDF8A87" w14:textId="4FA881DA" w:rsidR="006620C8" w:rsidRPr="00EA3186" w:rsidRDefault="00C86EBC" w:rsidP="005B3E4A">
      <w:pPr>
        <w:spacing w:before="120"/>
        <w:jc w:val="both"/>
        <w:rPr>
          <w:rFonts w:asciiTheme="minorHAnsi" w:hAnsiTheme="minorHAnsi" w:cstheme="minorHAnsi"/>
          <w:color w:val="000000" w:themeColor="text1"/>
          <w:sz w:val="21"/>
          <w:szCs w:val="21"/>
        </w:rPr>
      </w:pPr>
      <w:proofErr w:type="spellStart"/>
      <w:r w:rsidRPr="00EA3186">
        <w:rPr>
          <w:rFonts w:asciiTheme="minorHAnsi" w:hAnsiTheme="minorHAnsi" w:cstheme="minorHAnsi"/>
          <w:color w:val="000000" w:themeColor="text1"/>
          <w:sz w:val="21"/>
          <w:szCs w:val="21"/>
        </w:rPr>
        <w:t>POVIndex</w:t>
      </w:r>
      <w:proofErr w:type="spellEnd"/>
      <w:r w:rsidRPr="00EA3186">
        <w:rPr>
          <w:rFonts w:asciiTheme="minorHAnsi" w:hAnsiTheme="minorHAnsi" w:cstheme="minorHAnsi"/>
          <w:color w:val="000000" w:themeColor="text1"/>
          <w:sz w:val="21"/>
          <w:szCs w:val="21"/>
        </w:rPr>
        <w:t xml:space="preserve"> byl poprvé spuštěn v srpnu roku 2019. Od svého počátku sleduje vývoj nákladů na povinné ručení pro řidiče bez historie, ať už se jedná o nového řidiče, nebo o řidiče, který donedávna užíval služební vozidlo. Broker Consulting </w:t>
      </w:r>
      <w:proofErr w:type="spellStart"/>
      <w:r w:rsidRPr="00EA3186">
        <w:rPr>
          <w:rFonts w:asciiTheme="minorHAnsi" w:hAnsiTheme="minorHAnsi" w:cstheme="minorHAnsi"/>
          <w:color w:val="000000" w:themeColor="text1"/>
          <w:sz w:val="21"/>
          <w:szCs w:val="21"/>
        </w:rPr>
        <w:t>POVIndex</w:t>
      </w:r>
      <w:proofErr w:type="spellEnd"/>
      <w:r w:rsidRPr="00EA3186">
        <w:rPr>
          <w:rFonts w:asciiTheme="minorHAnsi" w:hAnsiTheme="minorHAnsi" w:cstheme="minorHAnsi"/>
          <w:color w:val="000000" w:themeColor="text1"/>
          <w:sz w:val="21"/>
          <w:szCs w:val="21"/>
        </w:rPr>
        <w:t xml:space="preserve"> je počítán odlišnou metodikou, než jako používá ČKP. Pro vizualizaci je zvolena značka vozu Škoda Octavia 1,6 TDI, 85 kW. </w:t>
      </w:r>
      <w:proofErr w:type="spellStart"/>
      <w:r w:rsidRPr="00EA3186">
        <w:rPr>
          <w:rFonts w:asciiTheme="minorHAnsi" w:hAnsiTheme="minorHAnsi" w:cstheme="minorHAnsi"/>
          <w:color w:val="000000" w:themeColor="text1"/>
          <w:sz w:val="21"/>
          <w:szCs w:val="21"/>
        </w:rPr>
        <w:t>POVIndex</w:t>
      </w:r>
      <w:proofErr w:type="spellEnd"/>
      <w:r w:rsidRPr="00EA3186">
        <w:rPr>
          <w:rFonts w:asciiTheme="minorHAnsi" w:hAnsiTheme="minorHAnsi" w:cstheme="minorHAnsi"/>
          <w:color w:val="000000" w:themeColor="text1"/>
          <w:sz w:val="21"/>
          <w:szCs w:val="21"/>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EA3186">
        <w:rPr>
          <w:rFonts w:asciiTheme="minorHAnsi" w:hAnsiTheme="minorHAnsi" w:cstheme="minorHAnsi"/>
          <w:color w:val="000000" w:themeColor="text1"/>
          <w:sz w:val="21"/>
          <w:szCs w:val="21"/>
        </w:rPr>
        <w:t>POVIndexu</w:t>
      </w:r>
      <w:proofErr w:type="spellEnd"/>
      <w:r w:rsidRPr="00EA3186">
        <w:rPr>
          <w:rFonts w:asciiTheme="minorHAnsi" w:hAnsiTheme="minorHAnsi" w:cstheme="minorHAnsi"/>
          <w:color w:val="000000" w:themeColor="text1"/>
          <w:sz w:val="21"/>
          <w:szCs w:val="21"/>
        </w:rPr>
        <w:t xml:space="preserve"> sledovat, zda pojišťovny základní sazby u typického vozu spíše zdražují, nebo zlevňují.</w:t>
      </w:r>
    </w:p>
    <w:p w14:paraId="5D07F572" w14:textId="68EFA569" w:rsidR="007E0AC1" w:rsidRPr="00EA3186" w:rsidRDefault="005B3DDD" w:rsidP="005B3E4A">
      <w:pPr>
        <w:pStyle w:val="Zkladntext"/>
        <w:spacing w:before="120" w:line="237" w:lineRule="auto"/>
        <w:jc w:val="both"/>
        <w:rPr>
          <w:rFonts w:asciiTheme="minorHAnsi" w:hAnsiTheme="minorHAnsi" w:cstheme="minorHAnsi"/>
          <w:sz w:val="21"/>
          <w:szCs w:val="21"/>
        </w:rPr>
      </w:pPr>
      <w:r w:rsidRPr="00EA3186">
        <w:rPr>
          <w:rFonts w:asciiTheme="minorHAnsi" w:hAnsiTheme="minorHAnsi" w:cstheme="minorHAnsi"/>
          <w:b/>
          <w:sz w:val="21"/>
          <w:szCs w:val="21"/>
        </w:rPr>
        <w:t xml:space="preserve">Broker Consulting </w:t>
      </w:r>
      <w:proofErr w:type="spellStart"/>
      <w:r w:rsidRPr="00EA3186">
        <w:rPr>
          <w:rFonts w:asciiTheme="minorHAnsi" w:hAnsiTheme="minorHAnsi" w:cstheme="minorHAnsi"/>
          <w:b/>
          <w:sz w:val="21"/>
          <w:szCs w:val="21"/>
        </w:rPr>
        <w:t>POVIndex</w:t>
      </w:r>
      <w:proofErr w:type="spellEnd"/>
      <w:r w:rsidR="00C503A0" w:rsidRPr="00EA3186">
        <w:rPr>
          <w:rFonts w:asciiTheme="minorHAnsi" w:hAnsiTheme="minorHAnsi" w:cstheme="minorHAnsi"/>
          <w:sz w:val="21"/>
          <w:szCs w:val="21"/>
        </w:rPr>
        <w:t xml:space="preserve"> j</w:t>
      </w:r>
      <w:r w:rsidRPr="00EA3186">
        <w:rPr>
          <w:rFonts w:asciiTheme="minorHAnsi" w:hAnsiTheme="minorHAnsi" w:cstheme="minorHAnsi"/>
          <w:sz w:val="21"/>
          <w:szCs w:val="21"/>
        </w:rPr>
        <w:t xml:space="preserve">e založen na odlišné metodice výpočtu, než jakou používá ČKP. Jeho hodnota nevychází z průměru hodnot celé řady veličin, ale z menšího množství parametrů. </w:t>
      </w:r>
      <w:proofErr w:type="spellStart"/>
      <w:r w:rsidRPr="00EA3186">
        <w:rPr>
          <w:rFonts w:asciiTheme="minorHAnsi" w:hAnsiTheme="minorHAnsi" w:cstheme="minorHAnsi"/>
          <w:sz w:val="21"/>
          <w:szCs w:val="21"/>
        </w:rPr>
        <w:t>POVIndex</w:t>
      </w:r>
      <w:proofErr w:type="spellEnd"/>
      <w:r w:rsidRPr="00EA3186">
        <w:rPr>
          <w:rFonts w:asciiTheme="minorHAnsi" w:hAnsiTheme="minorHAnsi" w:cstheme="minorHAnsi"/>
          <w:sz w:val="21"/>
          <w:szCs w:val="21"/>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EA3186">
        <w:rPr>
          <w:rFonts w:asciiTheme="minorHAnsi" w:hAnsiTheme="minorHAnsi" w:cstheme="minorHAnsi"/>
          <w:sz w:val="21"/>
          <w:szCs w:val="21"/>
        </w:rPr>
        <w:t>POVIndexu</w:t>
      </w:r>
      <w:proofErr w:type="spellEnd"/>
      <w:r w:rsidRPr="00EA3186">
        <w:rPr>
          <w:rFonts w:asciiTheme="minorHAnsi" w:hAnsiTheme="minorHAnsi" w:cstheme="minorHAnsi"/>
          <w:sz w:val="21"/>
          <w:szCs w:val="21"/>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1312ED3D" w14:textId="77777777" w:rsidR="00DE7CE1" w:rsidRPr="00EA3186" w:rsidRDefault="00DE7CE1" w:rsidP="00AD2933">
      <w:pPr>
        <w:pBdr>
          <w:bottom w:val="single" w:sz="4" w:space="0" w:color="auto"/>
        </w:pBdr>
        <w:rPr>
          <w:rFonts w:ascii="Arial" w:hAnsi="Arial" w:cs="Arial"/>
          <w:b/>
          <w:sz w:val="21"/>
          <w:szCs w:val="21"/>
        </w:rPr>
      </w:pPr>
    </w:p>
    <w:p w14:paraId="0572A7E3" w14:textId="6C510BF2" w:rsidR="00356FFC" w:rsidRPr="00EA3186" w:rsidRDefault="00356FFC" w:rsidP="00AD2933">
      <w:pPr>
        <w:pStyle w:val="Zkladntext"/>
        <w:spacing w:before="33" w:line="237" w:lineRule="auto"/>
        <w:rPr>
          <w:rFonts w:ascii="Arial" w:hAnsi="Arial" w:cs="Arial"/>
          <w:b/>
          <w:sz w:val="21"/>
          <w:szCs w:val="21"/>
        </w:rPr>
      </w:pPr>
    </w:p>
    <w:p w14:paraId="549F0D26" w14:textId="72161D24" w:rsidR="000E21D2" w:rsidRPr="00EA3186" w:rsidRDefault="00763554" w:rsidP="00AD2933">
      <w:pPr>
        <w:rPr>
          <w:rFonts w:asciiTheme="minorHAnsi" w:hAnsiTheme="minorHAnsi" w:cstheme="minorHAnsi"/>
          <w:sz w:val="21"/>
          <w:szCs w:val="21"/>
        </w:rPr>
      </w:pPr>
      <w:r w:rsidRPr="00EA3186">
        <w:rPr>
          <w:rFonts w:asciiTheme="minorHAnsi" w:hAnsiTheme="minorHAnsi" w:cstheme="minorHAnsi"/>
          <w:b/>
          <w:sz w:val="21"/>
          <w:szCs w:val="21"/>
        </w:rPr>
        <w:t>Poznámka pro média:</w:t>
      </w:r>
      <w:r w:rsidRPr="00EA3186">
        <w:rPr>
          <w:rFonts w:asciiTheme="minorHAnsi" w:hAnsiTheme="minorHAnsi" w:cstheme="minorHAnsi"/>
          <w:sz w:val="21"/>
          <w:szCs w:val="21"/>
        </w:rPr>
        <w:t xml:space="preserve"> </w:t>
      </w:r>
      <w:r w:rsidRPr="00EA3186">
        <w:rPr>
          <w:rFonts w:asciiTheme="minorHAnsi" w:hAnsiTheme="minorHAnsi" w:cstheme="minorHAnsi"/>
          <w:color w:val="1D1D1B"/>
          <w:w w:val="105"/>
          <w:sz w:val="21"/>
          <w:szCs w:val="21"/>
        </w:rPr>
        <w:t>Broker</w:t>
      </w:r>
      <w:r w:rsidRPr="00EA3186">
        <w:rPr>
          <w:rFonts w:asciiTheme="minorHAnsi" w:hAnsiTheme="minorHAnsi" w:cstheme="minorHAnsi"/>
          <w:color w:val="1D1D1B"/>
          <w:spacing w:val="-9"/>
          <w:w w:val="105"/>
          <w:sz w:val="21"/>
          <w:szCs w:val="21"/>
        </w:rPr>
        <w:t xml:space="preserve"> </w:t>
      </w:r>
      <w:r w:rsidRPr="00EA3186">
        <w:rPr>
          <w:rFonts w:asciiTheme="minorHAnsi" w:hAnsiTheme="minorHAnsi" w:cstheme="minorHAnsi"/>
          <w:color w:val="1D1D1B"/>
          <w:w w:val="105"/>
          <w:sz w:val="21"/>
          <w:szCs w:val="21"/>
        </w:rPr>
        <w:t>Consulting</w:t>
      </w:r>
      <w:r w:rsidRPr="00EA3186">
        <w:rPr>
          <w:rFonts w:asciiTheme="minorHAnsi" w:hAnsiTheme="minorHAnsi" w:cstheme="minorHAnsi"/>
          <w:color w:val="1D1D1B"/>
          <w:spacing w:val="-8"/>
          <w:w w:val="105"/>
          <w:sz w:val="21"/>
          <w:szCs w:val="21"/>
        </w:rPr>
        <w:t xml:space="preserve"> </w:t>
      </w:r>
      <w:r w:rsidRPr="00EA3186">
        <w:rPr>
          <w:rFonts w:asciiTheme="minorHAnsi" w:hAnsiTheme="minorHAnsi" w:cstheme="minorHAnsi"/>
          <w:color w:val="1D1D1B"/>
          <w:w w:val="105"/>
          <w:sz w:val="21"/>
          <w:szCs w:val="21"/>
        </w:rPr>
        <w:t>Indexy</w:t>
      </w:r>
      <w:r w:rsidRPr="00EA3186">
        <w:rPr>
          <w:rFonts w:asciiTheme="minorHAnsi" w:hAnsiTheme="minorHAnsi" w:cstheme="minorHAnsi"/>
          <w:color w:val="1D1D1B"/>
          <w:spacing w:val="-9"/>
          <w:w w:val="105"/>
          <w:sz w:val="21"/>
          <w:szCs w:val="21"/>
        </w:rPr>
        <w:t xml:space="preserve"> </w:t>
      </w:r>
      <w:r w:rsidRPr="00EA3186">
        <w:rPr>
          <w:rFonts w:asciiTheme="minorHAnsi" w:hAnsiTheme="minorHAnsi" w:cstheme="minorHAnsi"/>
          <w:color w:val="1D1D1B"/>
          <w:w w:val="105"/>
          <w:sz w:val="21"/>
          <w:szCs w:val="21"/>
        </w:rPr>
        <w:t>je</w:t>
      </w:r>
      <w:r w:rsidRPr="00EA3186">
        <w:rPr>
          <w:rFonts w:asciiTheme="minorHAnsi" w:hAnsiTheme="minorHAnsi" w:cstheme="minorHAnsi"/>
          <w:color w:val="1D1D1B"/>
          <w:spacing w:val="-8"/>
          <w:w w:val="105"/>
          <w:sz w:val="21"/>
          <w:szCs w:val="21"/>
        </w:rPr>
        <w:t xml:space="preserve"> </w:t>
      </w:r>
      <w:r w:rsidRPr="00EA3186">
        <w:rPr>
          <w:rFonts w:asciiTheme="minorHAnsi" w:hAnsiTheme="minorHAnsi" w:cstheme="minorHAnsi"/>
          <w:color w:val="1D1D1B"/>
          <w:w w:val="105"/>
          <w:sz w:val="21"/>
          <w:szCs w:val="21"/>
        </w:rPr>
        <w:t>možné</w:t>
      </w:r>
      <w:r w:rsidRPr="00EA3186">
        <w:rPr>
          <w:rFonts w:asciiTheme="minorHAnsi" w:hAnsiTheme="minorHAnsi" w:cstheme="minorHAnsi"/>
          <w:color w:val="1D1D1B"/>
          <w:spacing w:val="-9"/>
          <w:w w:val="105"/>
          <w:sz w:val="21"/>
          <w:szCs w:val="21"/>
        </w:rPr>
        <w:t xml:space="preserve"> </w:t>
      </w:r>
      <w:r w:rsidRPr="00EA3186">
        <w:rPr>
          <w:rFonts w:asciiTheme="minorHAnsi" w:hAnsiTheme="minorHAnsi" w:cstheme="minorHAnsi"/>
          <w:color w:val="1D1D1B"/>
          <w:w w:val="105"/>
          <w:sz w:val="21"/>
          <w:szCs w:val="21"/>
        </w:rPr>
        <w:t>volně</w:t>
      </w:r>
      <w:r w:rsidRPr="00EA3186">
        <w:rPr>
          <w:rFonts w:asciiTheme="minorHAnsi" w:hAnsiTheme="minorHAnsi" w:cstheme="minorHAnsi"/>
          <w:color w:val="1D1D1B"/>
          <w:spacing w:val="-8"/>
          <w:w w:val="105"/>
          <w:sz w:val="21"/>
          <w:szCs w:val="21"/>
        </w:rPr>
        <w:t xml:space="preserve"> </w:t>
      </w:r>
      <w:r w:rsidRPr="00EA3186">
        <w:rPr>
          <w:rFonts w:asciiTheme="minorHAnsi" w:hAnsiTheme="minorHAnsi" w:cstheme="minorHAnsi"/>
          <w:color w:val="1D1D1B"/>
          <w:spacing w:val="2"/>
          <w:w w:val="105"/>
          <w:sz w:val="21"/>
          <w:szCs w:val="21"/>
        </w:rPr>
        <w:t>publikovat</w:t>
      </w:r>
      <w:r w:rsidRPr="00EA3186">
        <w:rPr>
          <w:rFonts w:asciiTheme="minorHAnsi" w:hAnsiTheme="minorHAnsi" w:cstheme="minorHAnsi"/>
          <w:color w:val="1D1D1B"/>
          <w:spacing w:val="-9"/>
          <w:w w:val="105"/>
          <w:sz w:val="21"/>
          <w:szCs w:val="21"/>
        </w:rPr>
        <w:t xml:space="preserve"> </w:t>
      </w:r>
      <w:r w:rsidRPr="00EA3186">
        <w:rPr>
          <w:rFonts w:asciiTheme="minorHAnsi" w:hAnsiTheme="minorHAnsi" w:cstheme="minorHAnsi"/>
          <w:color w:val="1D1D1B"/>
          <w:w w:val="105"/>
          <w:sz w:val="21"/>
          <w:szCs w:val="21"/>
        </w:rPr>
        <w:t>pouze</w:t>
      </w:r>
      <w:r w:rsidRPr="00EA3186">
        <w:rPr>
          <w:rFonts w:asciiTheme="minorHAnsi" w:hAnsiTheme="minorHAnsi" w:cstheme="minorHAnsi"/>
          <w:color w:val="1D1D1B"/>
          <w:spacing w:val="-8"/>
          <w:w w:val="105"/>
          <w:sz w:val="21"/>
          <w:szCs w:val="21"/>
        </w:rPr>
        <w:t xml:space="preserve"> </w:t>
      </w:r>
      <w:r w:rsidRPr="00EA3186">
        <w:rPr>
          <w:rFonts w:asciiTheme="minorHAnsi" w:hAnsiTheme="minorHAnsi" w:cstheme="minorHAnsi"/>
          <w:color w:val="1D1D1B"/>
          <w:w w:val="105"/>
          <w:sz w:val="21"/>
          <w:szCs w:val="21"/>
        </w:rPr>
        <w:t>s</w:t>
      </w:r>
      <w:r w:rsidRPr="00EA3186">
        <w:rPr>
          <w:rFonts w:asciiTheme="minorHAnsi" w:hAnsiTheme="minorHAnsi" w:cstheme="minorHAnsi"/>
          <w:color w:val="1D1D1B"/>
          <w:spacing w:val="-9"/>
          <w:w w:val="105"/>
          <w:sz w:val="21"/>
          <w:szCs w:val="21"/>
        </w:rPr>
        <w:t xml:space="preserve"> </w:t>
      </w:r>
      <w:r w:rsidRPr="00EA3186">
        <w:rPr>
          <w:rFonts w:asciiTheme="minorHAnsi" w:hAnsiTheme="minorHAnsi" w:cstheme="minorHAnsi"/>
          <w:color w:val="1D1D1B"/>
          <w:w w:val="105"/>
          <w:sz w:val="21"/>
          <w:szCs w:val="21"/>
        </w:rPr>
        <w:t>označením</w:t>
      </w:r>
      <w:r w:rsidRPr="00EA3186">
        <w:rPr>
          <w:rFonts w:asciiTheme="minorHAnsi" w:hAnsiTheme="minorHAnsi" w:cstheme="minorHAnsi"/>
          <w:color w:val="1D1D1B"/>
          <w:spacing w:val="-8"/>
          <w:w w:val="105"/>
          <w:sz w:val="21"/>
          <w:szCs w:val="21"/>
        </w:rPr>
        <w:t xml:space="preserve"> </w:t>
      </w:r>
      <w:r w:rsidRPr="00EA3186">
        <w:rPr>
          <w:rFonts w:asciiTheme="minorHAnsi" w:hAnsiTheme="minorHAnsi" w:cstheme="minorHAnsi"/>
          <w:color w:val="1D1D1B"/>
          <w:w w:val="105"/>
          <w:sz w:val="21"/>
          <w:szCs w:val="21"/>
        </w:rPr>
        <w:t>„Broker</w:t>
      </w:r>
      <w:r w:rsidRPr="00EA3186">
        <w:rPr>
          <w:rFonts w:asciiTheme="minorHAnsi" w:hAnsiTheme="minorHAnsi" w:cstheme="minorHAnsi"/>
          <w:color w:val="1D1D1B"/>
          <w:spacing w:val="-9"/>
          <w:w w:val="105"/>
          <w:sz w:val="21"/>
          <w:szCs w:val="21"/>
        </w:rPr>
        <w:t xml:space="preserve"> </w:t>
      </w:r>
      <w:r w:rsidRPr="00EA3186">
        <w:rPr>
          <w:rFonts w:asciiTheme="minorHAnsi" w:hAnsiTheme="minorHAnsi" w:cstheme="minorHAnsi"/>
          <w:color w:val="1D1D1B"/>
          <w:w w:val="105"/>
          <w:sz w:val="21"/>
          <w:szCs w:val="21"/>
        </w:rPr>
        <w:t>Consulting</w:t>
      </w:r>
      <w:r w:rsidRPr="00EA3186">
        <w:rPr>
          <w:rFonts w:asciiTheme="minorHAnsi" w:hAnsiTheme="minorHAnsi" w:cstheme="minorHAnsi"/>
          <w:color w:val="1D1D1B"/>
          <w:spacing w:val="-8"/>
          <w:w w:val="105"/>
          <w:sz w:val="21"/>
          <w:szCs w:val="21"/>
        </w:rPr>
        <w:t xml:space="preserve"> </w:t>
      </w:r>
      <w:r w:rsidRPr="00EA3186">
        <w:rPr>
          <w:rFonts w:asciiTheme="minorHAnsi" w:hAnsiTheme="minorHAnsi" w:cstheme="minorHAnsi"/>
          <w:color w:val="1D1D1B"/>
          <w:w w:val="105"/>
          <w:sz w:val="21"/>
          <w:szCs w:val="21"/>
        </w:rPr>
        <w:t>Index“</w:t>
      </w:r>
      <w:r w:rsidRPr="00EA3186">
        <w:rPr>
          <w:rFonts w:asciiTheme="minorHAnsi" w:hAnsiTheme="minorHAnsi" w:cstheme="minorHAnsi"/>
          <w:color w:val="1D1D1B"/>
          <w:spacing w:val="-9"/>
          <w:w w:val="105"/>
          <w:sz w:val="21"/>
          <w:szCs w:val="21"/>
        </w:rPr>
        <w:t xml:space="preserve"> </w:t>
      </w:r>
      <w:r w:rsidRPr="00EA3186">
        <w:rPr>
          <w:rFonts w:asciiTheme="minorHAnsi" w:hAnsiTheme="minorHAnsi" w:cstheme="minorHAnsi"/>
          <w:color w:val="1D1D1B"/>
          <w:spacing w:val="-3"/>
          <w:w w:val="105"/>
          <w:sz w:val="21"/>
          <w:szCs w:val="21"/>
        </w:rPr>
        <w:t>(</w:t>
      </w:r>
      <w:r w:rsidRPr="00EA3186">
        <w:rPr>
          <w:rFonts w:asciiTheme="minorHAnsi" w:hAnsiTheme="minorHAnsi" w:cstheme="minorHAnsi"/>
          <w:i/>
          <w:color w:val="1D1D1B"/>
          <w:spacing w:val="-3"/>
          <w:w w:val="105"/>
          <w:sz w:val="21"/>
          <w:szCs w:val="21"/>
        </w:rPr>
        <w:t>např.</w:t>
      </w:r>
      <w:r w:rsidRPr="00EA3186">
        <w:rPr>
          <w:rFonts w:asciiTheme="minorHAnsi" w:hAnsiTheme="minorHAnsi" w:cstheme="minorHAnsi"/>
          <w:i/>
          <w:color w:val="1D1D1B"/>
          <w:spacing w:val="-8"/>
          <w:w w:val="105"/>
          <w:sz w:val="21"/>
          <w:szCs w:val="21"/>
        </w:rPr>
        <w:t xml:space="preserve"> </w:t>
      </w:r>
      <w:r w:rsidRPr="00EA3186">
        <w:rPr>
          <w:rFonts w:asciiTheme="minorHAnsi" w:hAnsiTheme="minorHAnsi" w:cstheme="minorHAnsi"/>
          <w:i/>
          <w:color w:val="1D1D1B"/>
          <w:w w:val="105"/>
          <w:sz w:val="21"/>
          <w:szCs w:val="21"/>
        </w:rPr>
        <w:t>Broker</w:t>
      </w:r>
      <w:r w:rsidRPr="00EA3186">
        <w:rPr>
          <w:rFonts w:asciiTheme="minorHAnsi" w:hAnsiTheme="minorHAnsi" w:cstheme="minorHAnsi"/>
          <w:i/>
          <w:color w:val="1D1D1B"/>
          <w:spacing w:val="-9"/>
          <w:w w:val="105"/>
          <w:sz w:val="21"/>
          <w:szCs w:val="21"/>
        </w:rPr>
        <w:t xml:space="preserve"> </w:t>
      </w:r>
      <w:r w:rsidRPr="00EA3186">
        <w:rPr>
          <w:rFonts w:asciiTheme="minorHAnsi" w:hAnsiTheme="minorHAnsi" w:cstheme="minorHAnsi"/>
          <w:i/>
          <w:color w:val="1D1D1B"/>
          <w:w w:val="105"/>
          <w:sz w:val="21"/>
          <w:szCs w:val="21"/>
        </w:rPr>
        <w:t>Consulting</w:t>
      </w:r>
      <w:r w:rsidRPr="00EA3186">
        <w:rPr>
          <w:rFonts w:asciiTheme="minorHAnsi" w:hAnsiTheme="minorHAnsi" w:cstheme="minorHAnsi"/>
          <w:i/>
          <w:color w:val="1D1D1B"/>
          <w:spacing w:val="-8"/>
          <w:w w:val="105"/>
          <w:sz w:val="21"/>
          <w:szCs w:val="21"/>
        </w:rPr>
        <w:t xml:space="preserve"> </w:t>
      </w:r>
      <w:r w:rsidRPr="00EA3186">
        <w:rPr>
          <w:rFonts w:asciiTheme="minorHAnsi" w:hAnsiTheme="minorHAnsi" w:cstheme="minorHAnsi"/>
          <w:i/>
          <w:color w:val="1D1D1B"/>
          <w:w w:val="105"/>
          <w:sz w:val="21"/>
          <w:szCs w:val="21"/>
        </w:rPr>
        <w:t xml:space="preserve">Index hypotečních úvěrů). Více informací najdete též na webu </w:t>
      </w:r>
      <w:r w:rsidRPr="00EA3186">
        <w:rPr>
          <w:rStyle w:val="Hypertextovodkaz"/>
          <w:rFonts w:asciiTheme="minorHAnsi" w:hAnsiTheme="minorHAnsi" w:cstheme="minorHAnsi"/>
          <w:i/>
          <w:w w:val="105"/>
          <w:sz w:val="21"/>
          <w:szCs w:val="21"/>
        </w:rPr>
        <w:t>https://www.bcas.cz/onas/pro-media/</w:t>
      </w:r>
      <w:r w:rsidRPr="00EA3186">
        <w:rPr>
          <w:rFonts w:asciiTheme="minorHAnsi" w:hAnsiTheme="minorHAnsi" w:cstheme="minorHAnsi"/>
          <w:i/>
          <w:color w:val="1D1D1B"/>
          <w:w w:val="105"/>
          <w:sz w:val="21"/>
          <w:szCs w:val="21"/>
        </w:rPr>
        <w:t xml:space="preserve">. </w:t>
      </w:r>
    </w:p>
    <w:p w14:paraId="43CFEAAA" w14:textId="77777777" w:rsidR="000E21D2" w:rsidRPr="00EA3186" w:rsidRDefault="000E21D2" w:rsidP="00DE7CE1">
      <w:pPr>
        <w:pStyle w:val="Bezmezer"/>
        <w:rPr>
          <w:rFonts w:eastAsia="F015TEELig" w:cstheme="minorHAnsi"/>
          <w:b/>
          <w:sz w:val="21"/>
          <w:szCs w:val="21"/>
        </w:rPr>
      </w:pPr>
    </w:p>
    <w:p w14:paraId="7966D3DF" w14:textId="74C850C7" w:rsidR="00DE7CE1" w:rsidRPr="00EA3186" w:rsidRDefault="00866220" w:rsidP="00DE7CE1">
      <w:pPr>
        <w:pStyle w:val="Bezmezer"/>
        <w:rPr>
          <w:rFonts w:eastAsia="F015TEELig" w:cstheme="minorHAnsi"/>
          <w:b/>
          <w:sz w:val="21"/>
          <w:szCs w:val="21"/>
        </w:rPr>
      </w:pPr>
      <w:r w:rsidRPr="00EA3186">
        <w:rPr>
          <w:rFonts w:eastAsia="F015TEELig" w:cstheme="minorHAnsi"/>
          <w:b/>
          <w:sz w:val="21"/>
          <w:szCs w:val="21"/>
        </w:rPr>
        <w:t>Kontakt pro média:</w:t>
      </w:r>
    </w:p>
    <w:p w14:paraId="2ACFC1DB" w14:textId="7D8BE6BA" w:rsidR="00DE7CE1" w:rsidRPr="00EA3186" w:rsidRDefault="00236B96" w:rsidP="00DE7CE1">
      <w:pPr>
        <w:pStyle w:val="Bezmezer"/>
        <w:rPr>
          <w:rFonts w:eastAsia="F015TEELig" w:cstheme="minorHAnsi"/>
          <w:sz w:val="21"/>
          <w:szCs w:val="21"/>
        </w:rPr>
      </w:pPr>
      <w:r w:rsidRPr="00EA3186">
        <w:rPr>
          <w:rFonts w:eastAsia="F015TEELig" w:cstheme="minorHAnsi"/>
          <w:sz w:val="21"/>
          <w:szCs w:val="21"/>
        </w:rPr>
        <w:t>Michaela Sahulová</w:t>
      </w:r>
    </w:p>
    <w:p w14:paraId="3373094C" w14:textId="6E64C468" w:rsidR="00866220" w:rsidRPr="00EA3186" w:rsidRDefault="00866220" w:rsidP="00DE7CE1">
      <w:pPr>
        <w:pStyle w:val="Bezmezer"/>
        <w:rPr>
          <w:rFonts w:eastAsia="F015TEELig" w:cstheme="minorHAnsi"/>
          <w:sz w:val="21"/>
          <w:szCs w:val="21"/>
        </w:rPr>
      </w:pPr>
      <w:r w:rsidRPr="00EA3186">
        <w:rPr>
          <w:rFonts w:eastAsia="F015TEELig" w:cstheme="minorHAnsi"/>
          <w:sz w:val="21"/>
          <w:szCs w:val="21"/>
        </w:rPr>
        <w:t>Specialistka PR a externí komunikace</w:t>
      </w:r>
    </w:p>
    <w:p w14:paraId="6FC0F9F5" w14:textId="6D2D4AC2" w:rsidR="004C7BB5" w:rsidRPr="00EA3186" w:rsidRDefault="00236B96" w:rsidP="00A1017F">
      <w:pPr>
        <w:pStyle w:val="Bezmezer"/>
        <w:rPr>
          <w:rFonts w:eastAsia="F015TEELig" w:cstheme="minorHAnsi"/>
          <w:sz w:val="21"/>
          <w:szCs w:val="21"/>
        </w:rPr>
      </w:pPr>
      <w:r w:rsidRPr="00EA3186">
        <w:rPr>
          <w:rFonts w:eastAsia="F015TEELig" w:cstheme="minorHAnsi"/>
          <w:sz w:val="21"/>
          <w:szCs w:val="21"/>
        </w:rPr>
        <w:t>Mobil: +420 731 538</w:t>
      </w:r>
      <w:r w:rsidR="005B3E4A" w:rsidRPr="00EA3186">
        <w:rPr>
          <w:rFonts w:eastAsia="F015TEELig" w:cstheme="minorHAnsi"/>
          <w:sz w:val="21"/>
          <w:szCs w:val="21"/>
        </w:rPr>
        <w:t> </w:t>
      </w:r>
      <w:r w:rsidRPr="00EA3186">
        <w:rPr>
          <w:rFonts w:eastAsia="F015TEELig" w:cstheme="minorHAnsi"/>
          <w:sz w:val="21"/>
          <w:szCs w:val="21"/>
        </w:rPr>
        <w:t>373</w:t>
      </w:r>
      <w:r w:rsidR="005B3E4A" w:rsidRPr="00EA3186">
        <w:rPr>
          <w:rFonts w:eastAsia="F015TEELig" w:cstheme="minorHAnsi"/>
          <w:sz w:val="21"/>
          <w:szCs w:val="21"/>
        </w:rPr>
        <w:t>, e</w:t>
      </w:r>
      <w:r w:rsidR="00866220" w:rsidRPr="00EA3186">
        <w:rPr>
          <w:rFonts w:eastAsia="F015TEELig" w:cstheme="minorHAnsi"/>
          <w:sz w:val="21"/>
          <w:szCs w:val="21"/>
        </w:rPr>
        <w:t>-mail:</w:t>
      </w:r>
      <w:r w:rsidR="00866220" w:rsidRPr="00EA3186">
        <w:rPr>
          <w:rFonts w:eastAsia="Calibri" w:cstheme="minorHAnsi"/>
          <w:noProof/>
          <w:sz w:val="21"/>
          <w:szCs w:val="21"/>
        </w:rPr>
        <w:t xml:space="preserve"> </w:t>
      </w:r>
      <w:hyperlink r:id="rId17" w:history="1">
        <w:r w:rsidR="005B3DDD" w:rsidRPr="00EA3186">
          <w:rPr>
            <w:rStyle w:val="Hypertextovodkaz"/>
            <w:rFonts w:eastAsia="Calibri" w:cstheme="minorHAnsi"/>
            <w:noProof/>
            <w:sz w:val="21"/>
            <w:szCs w:val="21"/>
          </w:rPr>
          <w:t>michaela.sahulova@bcas.cz</w:t>
        </w:r>
      </w:hyperlink>
      <w:r w:rsidR="00866220" w:rsidRPr="00EA3186">
        <w:rPr>
          <w:rFonts w:eastAsia="Calibri" w:cstheme="minorHAnsi"/>
          <w:noProof/>
          <w:sz w:val="21"/>
          <w:szCs w:val="21"/>
        </w:rPr>
        <w:t xml:space="preserve"> </w:t>
      </w:r>
    </w:p>
    <w:sectPr w:rsidR="004C7BB5" w:rsidRPr="00EA3186" w:rsidSect="006B54C7">
      <w:headerReference w:type="default" r:id="rId18"/>
      <w:footerReference w:type="default" r:id="rId19"/>
      <w:headerReference w:type="first" r:id="rId20"/>
      <w:footerReference w:type="first" r:id="rId21"/>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A60B7" w14:textId="77777777" w:rsidR="00633924" w:rsidRDefault="00633924">
      <w:r>
        <w:separator/>
      </w:r>
    </w:p>
  </w:endnote>
  <w:endnote w:type="continuationSeparator" w:id="0">
    <w:p w14:paraId="15F812F6" w14:textId="77777777" w:rsidR="00633924" w:rsidRDefault="0063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61FB21A1"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453762">
          <w:rPr>
            <w:rFonts w:asciiTheme="minorHAnsi" w:hAnsiTheme="minorHAnsi" w:cstheme="minorHAnsi"/>
            <w:noProof/>
            <w:sz w:val="20"/>
            <w:szCs w:val="20"/>
          </w:rPr>
          <w:t>3</w:t>
        </w:r>
        <w:r w:rsidRPr="006B54C7">
          <w:rPr>
            <w:rFonts w:asciiTheme="minorHAnsi" w:hAnsiTheme="minorHAnsi" w:cstheme="minorHAnsi"/>
            <w:sz w:val="20"/>
            <w:szCs w:val="20"/>
          </w:rPr>
          <w:fldChar w:fldCharType="end"/>
        </w:r>
        <w:r w:rsidRPr="006B54C7">
          <w:rPr>
            <w:rFonts w:asciiTheme="minorHAnsi" w:hAnsiTheme="minorHAnsi" w:cstheme="minorHAnsi"/>
            <w:sz w:val="20"/>
            <w:szCs w:val="20"/>
          </w:rPr>
          <w:t>/3</w:t>
        </w:r>
      </w:p>
      <w:p w14:paraId="5AF2E761" w14:textId="77777777" w:rsidR="006B54C7" w:rsidRDefault="006B54C7">
        <w:pPr>
          <w:pStyle w:val="Zpat"/>
          <w:jc w:val="center"/>
        </w:pPr>
      </w:p>
      <w:p w14:paraId="21AECC00" w14:textId="52E0DABD" w:rsidR="006B54C7" w:rsidRDefault="00633924">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76F45" w14:textId="77777777" w:rsidR="00633924" w:rsidRDefault="00633924">
      <w:r>
        <w:separator/>
      </w:r>
    </w:p>
  </w:footnote>
  <w:footnote w:type="continuationSeparator" w:id="0">
    <w:p w14:paraId="39622193" w14:textId="77777777" w:rsidR="00633924" w:rsidRDefault="00633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28C96E50" w14:textId="013FC64A" w:rsidR="00B65A3B" w:rsidRPr="00C8584A" w:rsidRDefault="00AF0BE0" w:rsidP="00B65A3B">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p w14:paraId="5006E230" w14:textId="77777777" w:rsidR="00C8584A" w:rsidRDefault="00C858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4"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5"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
  </w:num>
  <w:num w:numId="3">
    <w:abstractNumId w:val="18"/>
  </w:num>
  <w:num w:numId="4">
    <w:abstractNumId w:val="5"/>
  </w:num>
  <w:num w:numId="5">
    <w:abstractNumId w:val="0"/>
  </w:num>
  <w:num w:numId="6">
    <w:abstractNumId w:val="20"/>
  </w:num>
  <w:num w:numId="7">
    <w:abstractNumId w:val="12"/>
  </w:num>
  <w:num w:numId="8">
    <w:abstractNumId w:val="11"/>
  </w:num>
  <w:num w:numId="9">
    <w:abstractNumId w:val="8"/>
  </w:num>
  <w:num w:numId="10">
    <w:abstractNumId w:val="10"/>
  </w:num>
  <w:num w:numId="11">
    <w:abstractNumId w:val="6"/>
  </w:num>
  <w:num w:numId="12">
    <w:abstractNumId w:val="3"/>
  </w:num>
  <w:num w:numId="13">
    <w:abstractNumId w:val="15"/>
  </w:num>
  <w:num w:numId="14">
    <w:abstractNumId w:val="23"/>
  </w:num>
  <w:num w:numId="15">
    <w:abstractNumId w:val="1"/>
  </w:num>
  <w:num w:numId="16">
    <w:abstractNumId w:val="14"/>
  </w:num>
  <w:num w:numId="17">
    <w:abstractNumId w:val="4"/>
  </w:num>
  <w:num w:numId="18">
    <w:abstractNumId w:val="9"/>
  </w:num>
  <w:num w:numId="19">
    <w:abstractNumId w:val="17"/>
  </w:num>
  <w:num w:numId="20">
    <w:abstractNumId w:val="22"/>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1"/>
    <w:lvlOverride w:ilvl="0"/>
    <w:lvlOverride w:ilvl="1">
      <w:startOverride w:val="4"/>
    </w:lvlOverride>
    <w:lvlOverride w:ilvl="2"/>
    <w:lvlOverride w:ilvl="3"/>
    <w:lvlOverride w:ilvl="4"/>
    <w:lvlOverride w:ilvl="5"/>
    <w:lvlOverride w:ilvl="6"/>
    <w:lvlOverride w:ilvl="7"/>
    <w:lvlOverride w:ilv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05FCB"/>
    <w:rsid w:val="00010812"/>
    <w:rsid w:val="000118E9"/>
    <w:rsid w:val="00011BB8"/>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60D"/>
    <w:rsid w:val="000504BA"/>
    <w:rsid w:val="0005423A"/>
    <w:rsid w:val="00055470"/>
    <w:rsid w:val="00056BB7"/>
    <w:rsid w:val="00056ECA"/>
    <w:rsid w:val="00062E18"/>
    <w:rsid w:val="00066A72"/>
    <w:rsid w:val="00067BA6"/>
    <w:rsid w:val="000705A5"/>
    <w:rsid w:val="00070D3C"/>
    <w:rsid w:val="0007198D"/>
    <w:rsid w:val="0007340D"/>
    <w:rsid w:val="00073462"/>
    <w:rsid w:val="00076845"/>
    <w:rsid w:val="00076C44"/>
    <w:rsid w:val="00077CC7"/>
    <w:rsid w:val="000866C0"/>
    <w:rsid w:val="00087124"/>
    <w:rsid w:val="00087D87"/>
    <w:rsid w:val="00090C9C"/>
    <w:rsid w:val="00090F2A"/>
    <w:rsid w:val="00091509"/>
    <w:rsid w:val="00094F77"/>
    <w:rsid w:val="00096AE4"/>
    <w:rsid w:val="000A06EA"/>
    <w:rsid w:val="000A170E"/>
    <w:rsid w:val="000A51D0"/>
    <w:rsid w:val="000A6FB0"/>
    <w:rsid w:val="000A77CE"/>
    <w:rsid w:val="000C1AB4"/>
    <w:rsid w:val="000C32B0"/>
    <w:rsid w:val="000C351D"/>
    <w:rsid w:val="000C38CB"/>
    <w:rsid w:val="000C3C4C"/>
    <w:rsid w:val="000C53D6"/>
    <w:rsid w:val="000C5B38"/>
    <w:rsid w:val="000C7119"/>
    <w:rsid w:val="000C74BD"/>
    <w:rsid w:val="000D11FB"/>
    <w:rsid w:val="000D133F"/>
    <w:rsid w:val="000D2044"/>
    <w:rsid w:val="000D2DDE"/>
    <w:rsid w:val="000D333C"/>
    <w:rsid w:val="000D6870"/>
    <w:rsid w:val="000E21D2"/>
    <w:rsid w:val="000E286C"/>
    <w:rsid w:val="000F040D"/>
    <w:rsid w:val="000F1935"/>
    <w:rsid w:val="000F47AE"/>
    <w:rsid w:val="000F56EF"/>
    <w:rsid w:val="000F6249"/>
    <w:rsid w:val="00100869"/>
    <w:rsid w:val="00100CE7"/>
    <w:rsid w:val="0010426A"/>
    <w:rsid w:val="00104FCB"/>
    <w:rsid w:val="00106651"/>
    <w:rsid w:val="00107E00"/>
    <w:rsid w:val="00112F65"/>
    <w:rsid w:val="00114392"/>
    <w:rsid w:val="00114D2B"/>
    <w:rsid w:val="00114D66"/>
    <w:rsid w:val="00114E09"/>
    <w:rsid w:val="00115CF8"/>
    <w:rsid w:val="00116173"/>
    <w:rsid w:val="00116A29"/>
    <w:rsid w:val="00117988"/>
    <w:rsid w:val="0012132F"/>
    <w:rsid w:val="0012713E"/>
    <w:rsid w:val="0013044E"/>
    <w:rsid w:val="00131F7B"/>
    <w:rsid w:val="00133BFD"/>
    <w:rsid w:val="0013512D"/>
    <w:rsid w:val="00136D21"/>
    <w:rsid w:val="00137003"/>
    <w:rsid w:val="00137E3C"/>
    <w:rsid w:val="00141303"/>
    <w:rsid w:val="001434CE"/>
    <w:rsid w:val="0014388A"/>
    <w:rsid w:val="001449CB"/>
    <w:rsid w:val="00146956"/>
    <w:rsid w:val="00150500"/>
    <w:rsid w:val="00152185"/>
    <w:rsid w:val="00152EDC"/>
    <w:rsid w:val="00153161"/>
    <w:rsid w:val="00155667"/>
    <w:rsid w:val="00160060"/>
    <w:rsid w:val="001603AF"/>
    <w:rsid w:val="00164219"/>
    <w:rsid w:val="001722EA"/>
    <w:rsid w:val="00173C9F"/>
    <w:rsid w:val="00174394"/>
    <w:rsid w:val="0017797E"/>
    <w:rsid w:val="00177E6B"/>
    <w:rsid w:val="0018139F"/>
    <w:rsid w:val="00181E9B"/>
    <w:rsid w:val="001844F8"/>
    <w:rsid w:val="00186E95"/>
    <w:rsid w:val="00190C04"/>
    <w:rsid w:val="00193B5D"/>
    <w:rsid w:val="00194628"/>
    <w:rsid w:val="00194A47"/>
    <w:rsid w:val="00197408"/>
    <w:rsid w:val="00197AF4"/>
    <w:rsid w:val="00197DE5"/>
    <w:rsid w:val="001A210B"/>
    <w:rsid w:val="001A4DDB"/>
    <w:rsid w:val="001A54DD"/>
    <w:rsid w:val="001B195D"/>
    <w:rsid w:val="001B1C05"/>
    <w:rsid w:val="001B4EE4"/>
    <w:rsid w:val="001B5A35"/>
    <w:rsid w:val="001B5D34"/>
    <w:rsid w:val="001B79AC"/>
    <w:rsid w:val="001C4A67"/>
    <w:rsid w:val="001C4C44"/>
    <w:rsid w:val="001D3C90"/>
    <w:rsid w:val="001E265F"/>
    <w:rsid w:val="001E2B55"/>
    <w:rsid w:val="001E2DCC"/>
    <w:rsid w:val="001E68DE"/>
    <w:rsid w:val="001F27AC"/>
    <w:rsid w:val="00200F89"/>
    <w:rsid w:val="00202BE8"/>
    <w:rsid w:val="002108A4"/>
    <w:rsid w:val="00211C5C"/>
    <w:rsid w:val="00214949"/>
    <w:rsid w:val="00214E98"/>
    <w:rsid w:val="00215EF1"/>
    <w:rsid w:val="00215FFE"/>
    <w:rsid w:val="002174D5"/>
    <w:rsid w:val="0022642E"/>
    <w:rsid w:val="002333DA"/>
    <w:rsid w:val="0023472C"/>
    <w:rsid w:val="00235828"/>
    <w:rsid w:val="002365F3"/>
    <w:rsid w:val="00236B96"/>
    <w:rsid w:val="00237068"/>
    <w:rsid w:val="00237B09"/>
    <w:rsid w:val="00237D4E"/>
    <w:rsid w:val="00240BAE"/>
    <w:rsid w:val="00241313"/>
    <w:rsid w:val="00242251"/>
    <w:rsid w:val="002506AD"/>
    <w:rsid w:val="0025264B"/>
    <w:rsid w:val="0025408A"/>
    <w:rsid w:val="00254F1F"/>
    <w:rsid w:val="002555B1"/>
    <w:rsid w:val="00255E96"/>
    <w:rsid w:val="00255FAB"/>
    <w:rsid w:val="002609B2"/>
    <w:rsid w:val="00261C33"/>
    <w:rsid w:val="00261EE7"/>
    <w:rsid w:val="002636B1"/>
    <w:rsid w:val="002665EC"/>
    <w:rsid w:val="00267A14"/>
    <w:rsid w:val="00267AB1"/>
    <w:rsid w:val="00267F28"/>
    <w:rsid w:val="00270DB3"/>
    <w:rsid w:val="00275325"/>
    <w:rsid w:val="0028080D"/>
    <w:rsid w:val="002812A1"/>
    <w:rsid w:val="0028211A"/>
    <w:rsid w:val="002912BF"/>
    <w:rsid w:val="002928FF"/>
    <w:rsid w:val="0029552F"/>
    <w:rsid w:val="00295CB7"/>
    <w:rsid w:val="00295DB6"/>
    <w:rsid w:val="0029614B"/>
    <w:rsid w:val="002A2FB9"/>
    <w:rsid w:val="002A7348"/>
    <w:rsid w:val="002A7AE9"/>
    <w:rsid w:val="002A7DB8"/>
    <w:rsid w:val="002B053B"/>
    <w:rsid w:val="002B3EE0"/>
    <w:rsid w:val="002B5B4B"/>
    <w:rsid w:val="002B6A48"/>
    <w:rsid w:val="002C0392"/>
    <w:rsid w:val="002C635D"/>
    <w:rsid w:val="002D5492"/>
    <w:rsid w:val="002E2785"/>
    <w:rsid w:val="002E27C5"/>
    <w:rsid w:val="002E2F8E"/>
    <w:rsid w:val="002F0335"/>
    <w:rsid w:val="002F0C79"/>
    <w:rsid w:val="002F5A42"/>
    <w:rsid w:val="002F5A56"/>
    <w:rsid w:val="002F6814"/>
    <w:rsid w:val="002F68D1"/>
    <w:rsid w:val="00301660"/>
    <w:rsid w:val="00302AE6"/>
    <w:rsid w:val="00303223"/>
    <w:rsid w:val="00303C85"/>
    <w:rsid w:val="0030477F"/>
    <w:rsid w:val="00305EA9"/>
    <w:rsid w:val="00307CEB"/>
    <w:rsid w:val="00307D0F"/>
    <w:rsid w:val="00312311"/>
    <w:rsid w:val="003128F8"/>
    <w:rsid w:val="003203FF"/>
    <w:rsid w:val="0032274C"/>
    <w:rsid w:val="00322BE1"/>
    <w:rsid w:val="00325CD8"/>
    <w:rsid w:val="00326268"/>
    <w:rsid w:val="00330918"/>
    <w:rsid w:val="0033104C"/>
    <w:rsid w:val="003404F4"/>
    <w:rsid w:val="00341A59"/>
    <w:rsid w:val="003428A4"/>
    <w:rsid w:val="003473B3"/>
    <w:rsid w:val="00347557"/>
    <w:rsid w:val="003504FD"/>
    <w:rsid w:val="00352433"/>
    <w:rsid w:val="0035286E"/>
    <w:rsid w:val="00352D61"/>
    <w:rsid w:val="00354DBF"/>
    <w:rsid w:val="00356FFC"/>
    <w:rsid w:val="00363124"/>
    <w:rsid w:val="00374B71"/>
    <w:rsid w:val="00375451"/>
    <w:rsid w:val="00375CF7"/>
    <w:rsid w:val="00381F5F"/>
    <w:rsid w:val="003830B5"/>
    <w:rsid w:val="003863F0"/>
    <w:rsid w:val="00390304"/>
    <w:rsid w:val="0039102F"/>
    <w:rsid w:val="0039395A"/>
    <w:rsid w:val="00395524"/>
    <w:rsid w:val="00397D4B"/>
    <w:rsid w:val="003A4180"/>
    <w:rsid w:val="003A7C59"/>
    <w:rsid w:val="003A7C9A"/>
    <w:rsid w:val="003B08AC"/>
    <w:rsid w:val="003B4B9E"/>
    <w:rsid w:val="003B54D9"/>
    <w:rsid w:val="003B7BFE"/>
    <w:rsid w:val="003C4D4B"/>
    <w:rsid w:val="003D03A6"/>
    <w:rsid w:val="003D07A2"/>
    <w:rsid w:val="003D2590"/>
    <w:rsid w:val="003D2CAC"/>
    <w:rsid w:val="003D386F"/>
    <w:rsid w:val="003D43DB"/>
    <w:rsid w:val="003D4C73"/>
    <w:rsid w:val="003D556B"/>
    <w:rsid w:val="003D653E"/>
    <w:rsid w:val="003E2280"/>
    <w:rsid w:val="003E2ADC"/>
    <w:rsid w:val="003F38E5"/>
    <w:rsid w:val="003F73C3"/>
    <w:rsid w:val="00401210"/>
    <w:rsid w:val="00404CDA"/>
    <w:rsid w:val="00406B06"/>
    <w:rsid w:val="00410BF5"/>
    <w:rsid w:val="0041222E"/>
    <w:rsid w:val="0041224F"/>
    <w:rsid w:val="004130A2"/>
    <w:rsid w:val="0041452A"/>
    <w:rsid w:val="004151E6"/>
    <w:rsid w:val="00415BA7"/>
    <w:rsid w:val="00416F40"/>
    <w:rsid w:val="00417E36"/>
    <w:rsid w:val="00422B4E"/>
    <w:rsid w:val="0042312B"/>
    <w:rsid w:val="00423B16"/>
    <w:rsid w:val="00423F48"/>
    <w:rsid w:val="0042625B"/>
    <w:rsid w:val="0043207C"/>
    <w:rsid w:val="0043263D"/>
    <w:rsid w:val="004336FA"/>
    <w:rsid w:val="004349B6"/>
    <w:rsid w:val="00436FD5"/>
    <w:rsid w:val="00437639"/>
    <w:rsid w:val="004413A6"/>
    <w:rsid w:val="00441D22"/>
    <w:rsid w:val="00444BB9"/>
    <w:rsid w:val="00445D0A"/>
    <w:rsid w:val="00447E56"/>
    <w:rsid w:val="00453482"/>
    <w:rsid w:val="00453762"/>
    <w:rsid w:val="00453CFE"/>
    <w:rsid w:val="00457E45"/>
    <w:rsid w:val="00463570"/>
    <w:rsid w:val="00467207"/>
    <w:rsid w:val="0047109D"/>
    <w:rsid w:val="00472B53"/>
    <w:rsid w:val="00474E92"/>
    <w:rsid w:val="00476C23"/>
    <w:rsid w:val="004809C7"/>
    <w:rsid w:val="00483A48"/>
    <w:rsid w:val="0048779A"/>
    <w:rsid w:val="00493430"/>
    <w:rsid w:val="00495519"/>
    <w:rsid w:val="00496EFA"/>
    <w:rsid w:val="004A245D"/>
    <w:rsid w:val="004A2E7A"/>
    <w:rsid w:val="004A3A91"/>
    <w:rsid w:val="004A557B"/>
    <w:rsid w:val="004A7461"/>
    <w:rsid w:val="004B4992"/>
    <w:rsid w:val="004B6687"/>
    <w:rsid w:val="004B73DC"/>
    <w:rsid w:val="004C3C0D"/>
    <w:rsid w:val="004C4033"/>
    <w:rsid w:val="004C5298"/>
    <w:rsid w:val="004C5C61"/>
    <w:rsid w:val="004C6594"/>
    <w:rsid w:val="004C7507"/>
    <w:rsid w:val="004C798D"/>
    <w:rsid w:val="004C7BB5"/>
    <w:rsid w:val="004D4111"/>
    <w:rsid w:val="004D52BD"/>
    <w:rsid w:val="004D69FB"/>
    <w:rsid w:val="004E1108"/>
    <w:rsid w:val="004E207F"/>
    <w:rsid w:val="004E3877"/>
    <w:rsid w:val="004E4203"/>
    <w:rsid w:val="004E42A8"/>
    <w:rsid w:val="004F0D7B"/>
    <w:rsid w:val="004F0DC0"/>
    <w:rsid w:val="004F2548"/>
    <w:rsid w:val="004F43C7"/>
    <w:rsid w:val="004F5CC5"/>
    <w:rsid w:val="004F63FD"/>
    <w:rsid w:val="0050130C"/>
    <w:rsid w:val="005039B0"/>
    <w:rsid w:val="005058FE"/>
    <w:rsid w:val="00507696"/>
    <w:rsid w:val="005154F9"/>
    <w:rsid w:val="00520EA0"/>
    <w:rsid w:val="00523BD9"/>
    <w:rsid w:val="0052644E"/>
    <w:rsid w:val="0052748B"/>
    <w:rsid w:val="005336E7"/>
    <w:rsid w:val="00543BFB"/>
    <w:rsid w:val="00543F98"/>
    <w:rsid w:val="00544F68"/>
    <w:rsid w:val="00547816"/>
    <w:rsid w:val="00552CC5"/>
    <w:rsid w:val="005546DD"/>
    <w:rsid w:val="005613E9"/>
    <w:rsid w:val="00561757"/>
    <w:rsid w:val="00561997"/>
    <w:rsid w:val="00562CA8"/>
    <w:rsid w:val="00562DBA"/>
    <w:rsid w:val="00567402"/>
    <w:rsid w:val="005733BD"/>
    <w:rsid w:val="0057359A"/>
    <w:rsid w:val="00576552"/>
    <w:rsid w:val="005773EE"/>
    <w:rsid w:val="00580B4C"/>
    <w:rsid w:val="00580D50"/>
    <w:rsid w:val="00582565"/>
    <w:rsid w:val="005837F8"/>
    <w:rsid w:val="005853C3"/>
    <w:rsid w:val="00587549"/>
    <w:rsid w:val="00587B4C"/>
    <w:rsid w:val="0059081F"/>
    <w:rsid w:val="00592002"/>
    <w:rsid w:val="00592071"/>
    <w:rsid w:val="00595E44"/>
    <w:rsid w:val="00596E22"/>
    <w:rsid w:val="005973B7"/>
    <w:rsid w:val="00597E85"/>
    <w:rsid w:val="005A5F89"/>
    <w:rsid w:val="005A61D5"/>
    <w:rsid w:val="005A6E1C"/>
    <w:rsid w:val="005A75AE"/>
    <w:rsid w:val="005B13F7"/>
    <w:rsid w:val="005B32C5"/>
    <w:rsid w:val="005B35D6"/>
    <w:rsid w:val="005B360B"/>
    <w:rsid w:val="005B3DDD"/>
    <w:rsid w:val="005B3E4A"/>
    <w:rsid w:val="005C3043"/>
    <w:rsid w:val="005D11F0"/>
    <w:rsid w:val="005D3281"/>
    <w:rsid w:val="005D4C94"/>
    <w:rsid w:val="005D5B42"/>
    <w:rsid w:val="005D74FB"/>
    <w:rsid w:val="005D7DFF"/>
    <w:rsid w:val="005E1F28"/>
    <w:rsid w:val="005E443E"/>
    <w:rsid w:val="005E4C96"/>
    <w:rsid w:val="005E60F6"/>
    <w:rsid w:val="005F31C1"/>
    <w:rsid w:val="00601F8F"/>
    <w:rsid w:val="006033BD"/>
    <w:rsid w:val="00605FAF"/>
    <w:rsid w:val="00606B19"/>
    <w:rsid w:val="00606FBC"/>
    <w:rsid w:val="00612B3B"/>
    <w:rsid w:val="006156DC"/>
    <w:rsid w:val="00623B26"/>
    <w:rsid w:val="00624C21"/>
    <w:rsid w:val="00625503"/>
    <w:rsid w:val="00630C55"/>
    <w:rsid w:val="00633924"/>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1C83"/>
    <w:rsid w:val="00682B2C"/>
    <w:rsid w:val="006849F6"/>
    <w:rsid w:val="00684B75"/>
    <w:rsid w:val="00684BC2"/>
    <w:rsid w:val="00684D30"/>
    <w:rsid w:val="006856FF"/>
    <w:rsid w:val="006863D8"/>
    <w:rsid w:val="00690AD8"/>
    <w:rsid w:val="00695734"/>
    <w:rsid w:val="00695EEC"/>
    <w:rsid w:val="006A20B3"/>
    <w:rsid w:val="006B0FE8"/>
    <w:rsid w:val="006B1609"/>
    <w:rsid w:val="006B3946"/>
    <w:rsid w:val="006B54C7"/>
    <w:rsid w:val="006B7033"/>
    <w:rsid w:val="006B7FBE"/>
    <w:rsid w:val="006C2E50"/>
    <w:rsid w:val="006C53A7"/>
    <w:rsid w:val="006C6246"/>
    <w:rsid w:val="006C7AE7"/>
    <w:rsid w:val="006D5A9A"/>
    <w:rsid w:val="006E15E4"/>
    <w:rsid w:val="006E1F02"/>
    <w:rsid w:val="006E3397"/>
    <w:rsid w:val="006F11BD"/>
    <w:rsid w:val="006F3882"/>
    <w:rsid w:val="006F4BEB"/>
    <w:rsid w:val="006F6676"/>
    <w:rsid w:val="007001E0"/>
    <w:rsid w:val="007123C2"/>
    <w:rsid w:val="0071316F"/>
    <w:rsid w:val="007136E6"/>
    <w:rsid w:val="00720E37"/>
    <w:rsid w:val="00720FC0"/>
    <w:rsid w:val="0072349E"/>
    <w:rsid w:val="007238DB"/>
    <w:rsid w:val="00724536"/>
    <w:rsid w:val="007253E3"/>
    <w:rsid w:val="007255CD"/>
    <w:rsid w:val="007318BA"/>
    <w:rsid w:val="007334EA"/>
    <w:rsid w:val="00735F36"/>
    <w:rsid w:val="00737025"/>
    <w:rsid w:val="00737A54"/>
    <w:rsid w:val="00737FB2"/>
    <w:rsid w:val="00741E4A"/>
    <w:rsid w:val="007437EE"/>
    <w:rsid w:val="00744F5A"/>
    <w:rsid w:val="00746E66"/>
    <w:rsid w:val="00747F40"/>
    <w:rsid w:val="0075063F"/>
    <w:rsid w:val="007605C8"/>
    <w:rsid w:val="00763554"/>
    <w:rsid w:val="00764614"/>
    <w:rsid w:val="0076526B"/>
    <w:rsid w:val="007652AE"/>
    <w:rsid w:val="007677BE"/>
    <w:rsid w:val="007707AA"/>
    <w:rsid w:val="0077224E"/>
    <w:rsid w:val="00781039"/>
    <w:rsid w:val="007825E8"/>
    <w:rsid w:val="00790246"/>
    <w:rsid w:val="00793C25"/>
    <w:rsid w:val="007A1136"/>
    <w:rsid w:val="007A5C4C"/>
    <w:rsid w:val="007B0579"/>
    <w:rsid w:val="007B6AD8"/>
    <w:rsid w:val="007B6D97"/>
    <w:rsid w:val="007B7906"/>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F2249"/>
    <w:rsid w:val="007F28B9"/>
    <w:rsid w:val="007F6C2A"/>
    <w:rsid w:val="008001D1"/>
    <w:rsid w:val="008020D3"/>
    <w:rsid w:val="008043AE"/>
    <w:rsid w:val="00804869"/>
    <w:rsid w:val="00804908"/>
    <w:rsid w:val="0080704C"/>
    <w:rsid w:val="00807BB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3260"/>
    <w:rsid w:val="00854470"/>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4334"/>
    <w:rsid w:val="008B0E70"/>
    <w:rsid w:val="008B3C30"/>
    <w:rsid w:val="008B5577"/>
    <w:rsid w:val="008C2161"/>
    <w:rsid w:val="008C3AC7"/>
    <w:rsid w:val="008C47FA"/>
    <w:rsid w:val="008C5342"/>
    <w:rsid w:val="008C692E"/>
    <w:rsid w:val="008C7230"/>
    <w:rsid w:val="008C7A52"/>
    <w:rsid w:val="008D26B6"/>
    <w:rsid w:val="008D26CF"/>
    <w:rsid w:val="008D368D"/>
    <w:rsid w:val="008D4344"/>
    <w:rsid w:val="008D4839"/>
    <w:rsid w:val="008E0C1C"/>
    <w:rsid w:val="008E45B5"/>
    <w:rsid w:val="008E4A71"/>
    <w:rsid w:val="008E5FF5"/>
    <w:rsid w:val="008F30F4"/>
    <w:rsid w:val="008F7F4E"/>
    <w:rsid w:val="00904B90"/>
    <w:rsid w:val="00906147"/>
    <w:rsid w:val="00907B68"/>
    <w:rsid w:val="009111C1"/>
    <w:rsid w:val="009130AC"/>
    <w:rsid w:val="0091561E"/>
    <w:rsid w:val="00915ADA"/>
    <w:rsid w:val="00917467"/>
    <w:rsid w:val="00922831"/>
    <w:rsid w:val="00922872"/>
    <w:rsid w:val="00924030"/>
    <w:rsid w:val="0093538A"/>
    <w:rsid w:val="009362DC"/>
    <w:rsid w:val="00937D6D"/>
    <w:rsid w:val="00937EF5"/>
    <w:rsid w:val="00940EA3"/>
    <w:rsid w:val="00947E0F"/>
    <w:rsid w:val="00950337"/>
    <w:rsid w:val="009509CC"/>
    <w:rsid w:val="0095216F"/>
    <w:rsid w:val="0095680F"/>
    <w:rsid w:val="00956932"/>
    <w:rsid w:val="00956A25"/>
    <w:rsid w:val="00960235"/>
    <w:rsid w:val="009612EF"/>
    <w:rsid w:val="00962D05"/>
    <w:rsid w:val="00963043"/>
    <w:rsid w:val="009634C8"/>
    <w:rsid w:val="0096488C"/>
    <w:rsid w:val="00965007"/>
    <w:rsid w:val="0096518D"/>
    <w:rsid w:val="0096547A"/>
    <w:rsid w:val="00967EDE"/>
    <w:rsid w:val="009706CE"/>
    <w:rsid w:val="00974A2D"/>
    <w:rsid w:val="0097633B"/>
    <w:rsid w:val="00976A70"/>
    <w:rsid w:val="00977B31"/>
    <w:rsid w:val="00982774"/>
    <w:rsid w:val="00982991"/>
    <w:rsid w:val="00983C40"/>
    <w:rsid w:val="00984D4F"/>
    <w:rsid w:val="00986C46"/>
    <w:rsid w:val="009911D2"/>
    <w:rsid w:val="009A1543"/>
    <w:rsid w:val="009A315A"/>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26C"/>
    <w:rsid w:val="00A06687"/>
    <w:rsid w:val="00A07B57"/>
    <w:rsid w:val="00A1017F"/>
    <w:rsid w:val="00A11002"/>
    <w:rsid w:val="00A12D97"/>
    <w:rsid w:val="00A145E2"/>
    <w:rsid w:val="00A15C5F"/>
    <w:rsid w:val="00A1706A"/>
    <w:rsid w:val="00A17595"/>
    <w:rsid w:val="00A2129E"/>
    <w:rsid w:val="00A22380"/>
    <w:rsid w:val="00A267CE"/>
    <w:rsid w:val="00A3119E"/>
    <w:rsid w:val="00A3163A"/>
    <w:rsid w:val="00A34404"/>
    <w:rsid w:val="00A345F7"/>
    <w:rsid w:val="00A351F4"/>
    <w:rsid w:val="00A35204"/>
    <w:rsid w:val="00A35900"/>
    <w:rsid w:val="00A36D79"/>
    <w:rsid w:val="00A371A8"/>
    <w:rsid w:val="00A401A3"/>
    <w:rsid w:val="00A4441D"/>
    <w:rsid w:val="00A51DB8"/>
    <w:rsid w:val="00A526C9"/>
    <w:rsid w:val="00A52E40"/>
    <w:rsid w:val="00A553F8"/>
    <w:rsid w:val="00A644DF"/>
    <w:rsid w:val="00A661EE"/>
    <w:rsid w:val="00A672EA"/>
    <w:rsid w:val="00A67865"/>
    <w:rsid w:val="00A706DB"/>
    <w:rsid w:val="00A75581"/>
    <w:rsid w:val="00A80A8B"/>
    <w:rsid w:val="00A85069"/>
    <w:rsid w:val="00A86EF2"/>
    <w:rsid w:val="00A902B4"/>
    <w:rsid w:val="00A93669"/>
    <w:rsid w:val="00A969E4"/>
    <w:rsid w:val="00A973F9"/>
    <w:rsid w:val="00AA0C1B"/>
    <w:rsid w:val="00AA13C3"/>
    <w:rsid w:val="00AA1EF9"/>
    <w:rsid w:val="00AA3C5C"/>
    <w:rsid w:val="00AA58B4"/>
    <w:rsid w:val="00AC0B97"/>
    <w:rsid w:val="00AC0F4F"/>
    <w:rsid w:val="00AC14FC"/>
    <w:rsid w:val="00AC1B87"/>
    <w:rsid w:val="00AC1E03"/>
    <w:rsid w:val="00AC3155"/>
    <w:rsid w:val="00AC4CEE"/>
    <w:rsid w:val="00AD0B09"/>
    <w:rsid w:val="00AD2933"/>
    <w:rsid w:val="00AD3089"/>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3DF1"/>
    <w:rsid w:val="00B14797"/>
    <w:rsid w:val="00B1561F"/>
    <w:rsid w:val="00B15FD4"/>
    <w:rsid w:val="00B177AF"/>
    <w:rsid w:val="00B17AD8"/>
    <w:rsid w:val="00B21A92"/>
    <w:rsid w:val="00B21D7F"/>
    <w:rsid w:val="00B2288F"/>
    <w:rsid w:val="00B244B9"/>
    <w:rsid w:val="00B24AB2"/>
    <w:rsid w:val="00B26C1E"/>
    <w:rsid w:val="00B278D2"/>
    <w:rsid w:val="00B30195"/>
    <w:rsid w:val="00B3074F"/>
    <w:rsid w:val="00B3103A"/>
    <w:rsid w:val="00B3354F"/>
    <w:rsid w:val="00B34562"/>
    <w:rsid w:val="00B41012"/>
    <w:rsid w:val="00B45ED0"/>
    <w:rsid w:val="00B45F71"/>
    <w:rsid w:val="00B46015"/>
    <w:rsid w:val="00B475E1"/>
    <w:rsid w:val="00B51F3C"/>
    <w:rsid w:val="00B5230B"/>
    <w:rsid w:val="00B52B36"/>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80003"/>
    <w:rsid w:val="00B81F38"/>
    <w:rsid w:val="00B82BA4"/>
    <w:rsid w:val="00B84690"/>
    <w:rsid w:val="00B86D21"/>
    <w:rsid w:val="00B92DE5"/>
    <w:rsid w:val="00B95EBA"/>
    <w:rsid w:val="00BA29AE"/>
    <w:rsid w:val="00BA6059"/>
    <w:rsid w:val="00BA6DBC"/>
    <w:rsid w:val="00BA6DD7"/>
    <w:rsid w:val="00BA7E4C"/>
    <w:rsid w:val="00BB0801"/>
    <w:rsid w:val="00BB5F03"/>
    <w:rsid w:val="00BC10FE"/>
    <w:rsid w:val="00BC1BA1"/>
    <w:rsid w:val="00BC30D1"/>
    <w:rsid w:val="00BC43C3"/>
    <w:rsid w:val="00BD0305"/>
    <w:rsid w:val="00BD18EA"/>
    <w:rsid w:val="00BD25BD"/>
    <w:rsid w:val="00BD26AB"/>
    <w:rsid w:val="00BD4FB4"/>
    <w:rsid w:val="00BD56CC"/>
    <w:rsid w:val="00BD6A7F"/>
    <w:rsid w:val="00BD7095"/>
    <w:rsid w:val="00BE127F"/>
    <w:rsid w:val="00BE34DD"/>
    <w:rsid w:val="00BF02EE"/>
    <w:rsid w:val="00BF0F80"/>
    <w:rsid w:val="00BF1CB0"/>
    <w:rsid w:val="00BF3B93"/>
    <w:rsid w:val="00BF4FA6"/>
    <w:rsid w:val="00BF5DE1"/>
    <w:rsid w:val="00C00860"/>
    <w:rsid w:val="00C0488B"/>
    <w:rsid w:val="00C05509"/>
    <w:rsid w:val="00C12B80"/>
    <w:rsid w:val="00C1553C"/>
    <w:rsid w:val="00C16A07"/>
    <w:rsid w:val="00C2196C"/>
    <w:rsid w:val="00C25A49"/>
    <w:rsid w:val="00C30103"/>
    <w:rsid w:val="00C306CA"/>
    <w:rsid w:val="00C35BFC"/>
    <w:rsid w:val="00C36244"/>
    <w:rsid w:val="00C362AF"/>
    <w:rsid w:val="00C36818"/>
    <w:rsid w:val="00C36AC8"/>
    <w:rsid w:val="00C36E73"/>
    <w:rsid w:val="00C40157"/>
    <w:rsid w:val="00C42096"/>
    <w:rsid w:val="00C45232"/>
    <w:rsid w:val="00C503A0"/>
    <w:rsid w:val="00C505D4"/>
    <w:rsid w:val="00C50A39"/>
    <w:rsid w:val="00C51E90"/>
    <w:rsid w:val="00C55E4E"/>
    <w:rsid w:val="00C5726E"/>
    <w:rsid w:val="00C6048F"/>
    <w:rsid w:val="00C607F2"/>
    <w:rsid w:val="00C61777"/>
    <w:rsid w:val="00C639A8"/>
    <w:rsid w:val="00C63DF0"/>
    <w:rsid w:val="00C63E32"/>
    <w:rsid w:val="00C64B40"/>
    <w:rsid w:val="00C650DB"/>
    <w:rsid w:val="00C72C9B"/>
    <w:rsid w:val="00C73FC6"/>
    <w:rsid w:val="00C7462C"/>
    <w:rsid w:val="00C805AC"/>
    <w:rsid w:val="00C85300"/>
    <w:rsid w:val="00C8584A"/>
    <w:rsid w:val="00C85AB7"/>
    <w:rsid w:val="00C86EBC"/>
    <w:rsid w:val="00C91F7F"/>
    <w:rsid w:val="00CA3FE4"/>
    <w:rsid w:val="00CA5FC8"/>
    <w:rsid w:val="00CB1985"/>
    <w:rsid w:val="00CB40F4"/>
    <w:rsid w:val="00CB7416"/>
    <w:rsid w:val="00CC04E3"/>
    <w:rsid w:val="00CC32D9"/>
    <w:rsid w:val="00CC45E5"/>
    <w:rsid w:val="00CC5BEB"/>
    <w:rsid w:val="00CC60A9"/>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7B7"/>
    <w:rsid w:val="00D11870"/>
    <w:rsid w:val="00D132FF"/>
    <w:rsid w:val="00D15557"/>
    <w:rsid w:val="00D15686"/>
    <w:rsid w:val="00D16F9E"/>
    <w:rsid w:val="00D21B27"/>
    <w:rsid w:val="00D223BF"/>
    <w:rsid w:val="00D2253B"/>
    <w:rsid w:val="00D22A67"/>
    <w:rsid w:val="00D245D2"/>
    <w:rsid w:val="00D25B0B"/>
    <w:rsid w:val="00D31127"/>
    <w:rsid w:val="00D31386"/>
    <w:rsid w:val="00D31FA8"/>
    <w:rsid w:val="00D3396D"/>
    <w:rsid w:val="00D3397B"/>
    <w:rsid w:val="00D3569B"/>
    <w:rsid w:val="00D35A90"/>
    <w:rsid w:val="00D36065"/>
    <w:rsid w:val="00D40D11"/>
    <w:rsid w:val="00D423AD"/>
    <w:rsid w:val="00D46528"/>
    <w:rsid w:val="00D46587"/>
    <w:rsid w:val="00D46E13"/>
    <w:rsid w:val="00D4733D"/>
    <w:rsid w:val="00D53085"/>
    <w:rsid w:val="00D57146"/>
    <w:rsid w:val="00D618AD"/>
    <w:rsid w:val="00D63DD3"/>
    <w:rsid w:val="00D6464D"/>
    <w:rsid w:val="00D72895"/>
    <w:rsid w:val="00D777C9"/>
    <w:rsid w:val="00D80B6D"/>
    <w:rsid w:val="00D82E2D"/>
    <w:rsid w:val="00D8513A"/>
    <w:rsid w:val="00D87CCE"/>
    <w:rsid w:val="00D9306C"/>
    <w:rsid w:val="00DA1662"/>
    <w:rsid w:val="00DA327C"/>
    <w:rsid w:val="00DA576C"/>
    <w:rsid w:val="00DA6D6A"/>
    <w:rsid w:val="00DA7689"/>
    <w:rsid w:val="00DA78FC"/>
    <w:rsid w:val="00DB270B"/>
    <w:rsid w:val="00DB365A"/>
    <w:rsid w:val="00DB4335"/>
    <w:rsid w:val="00DB7664"/>
    <w:rsid w:val="00DC1FA8"/>
    <w:rsid w:val="00DC2A4B"/>
    <w:rsid w:val="00DC6476"/>
    <w:rsid w:val="00DC6AB6"/>
    <w:rsid w:val="00DD1EC1"/>
    <w:rsid w:val="00DE17B0"/>
    <w:rsid w:val="00DE36DE"/>
    <w:rsid w:val="00DE448F"/>
    <w:rsid w:val="00DE75F4"/>
    <w:rsid w:val="00DE7686"/>
    <w:rsid w:val="00DE7CE1"/>
    <w:rsid w:val="00DF006F"/>
    <w:rsid w:val="00DF1F56"/>
    <w:rsid w:val="00DF296C"/>
    <w:rsid w:val="00DF2A53"/>
    <w:rsid w:val="00DF388B"/>
    <w:rsid w:val="00E02125"/>
    <w:rsid w:val="00E04F24"/>
    <w:rsid w:val="00E04F7B"/>
    <w:rsid w:val="00E06CEA"/>
    <w:rsid w:val="00E11435"/>
    <w:rsid w:val="00E121F2"/>
    <w:rsid w:val="00E166F1"/>
    <w:rsid w:val="00E16928"/>
    <w:rsid w:val="00E16FE8"/>
    <w:rsid w:val="00E17539"/>
    <w:rsid w:val="00E23F1D"/>
    <w:rsid w:val="00E24FED"/>
    <w:rsid w:val="00E25085"/>
    <w:rsid w:val="00E343B0"/>
    <w:rsid w:val="00E364A9"/>
    <w:rsid w:val="00E36E36"/>
    <w:rsid w:val="00E400AA"/>
    <w:rsid w:val="00E40BF0"/>
    <w:rsid w:val="00E42149"/>
    <w:rsid w:val="00E4768E"/>
    <w:rsid w:val="00E47BA7"/>
    <w:rsid w:val="00E515C8"/>
    <w:rsid w:val="00E53945"/>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56C2"/>
    <w:rsid w:val="00E90FB8"/>
    <w:rsid w:val="00E938B3"/>
    <w:rsid w:val="00E945C4"/>
    <w:rsid w:val="00E9495C"/>
    <w:rsid w:val="00EA29EC"/>
    <w:rsid w:val="00EA3186"/>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5EE0"/>
    <w:rsid w:val="00EF62F8"/>
    <w:rsid w:val="00F0275F"/>
    <w:rsid w:val="00F040CA"/>
    <w:rsid w:val="00F04FF5"/>
    <w:rsid w:val="00F06420"/>
    <w:rsid w:val="00F06844"/>
    <w:rsid w:val="00F0734C"/>
    <w:rsid w:val="00F1214E"/>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632A"/>
    <w:rsid w:val="00F52462"/>
    <w:rsid w:val="00F53850"/>
    <w:rsid w:val="00F542F8"/>
    <w:rsid w:val="00F61061"/>
    <w:rsid w:val="00F63E7A"/>
    <w:rsid w:val="00F64A9E"/>
    <w:rsid w:val="00F6505F"/>
    <w:rsid w:val="00F655E3"/>
    <w:rsid w:val="00F65A7D"/>
    <w:rsid w:val="00F739AD"/>
    <w:rsid w:val="00F76B0E"/>
    <w:rsid w:val="00F7782E"/>
    <w:rsid w:val="00F77BD8"/>
    <w:rsid w:val="00F8482C"/>
    <w:rsid w:val="00F84DCA"/>
    <w:rsid w:val="00F93799"/>
    <w:rsid w:val="00F95B39"/>
    <w:rsid w:val="00F968E3"/>
    <w:rsid w:val="00F97A8C"/>
    <w:rsid w:val="00FA0F28"/>
    <w:rsid w:val="00FA1AF3"/>
    <w:rsid w:val="00FA6E14"/>
    <w:rsid w:val="00FB551F"/>
    <w:rsid w:val="00FB6C4F"/>
    <w:rsid w:val="00FB7593"/>
    <w:rsid w:val="00FC1254"/>
    <w:rsid w:val="00FC33AA"/>
    <w:rsid w:val="00FD08A6"/>
    <w:rsid w:val="00FD37BD"/>
    <w:rsid w:val="00FD5578"/>
    <w:rsid w:val="00FE189D"/>
    <w:rsid w:val="00FE28BC"/>
    <w:rsid w:val="00FE3A27"/>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F5039-C343-4969-A5F0-C12D5E42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Pages>
  <Words>915</Words>
  <Characters>5402</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19</cp:revision>
  <dcterms:created xsi:type="dcterms:W3CDTF">2023-05-29T10:21:00Z</dcterms:created>
  <dcterms:modified xsi:type="dcterms:W3CDTF">2023-05-31T07:34:00Z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