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A92255" w:rsidRDefault="00D80B6D" w:rsidP="002A28A6">
          <w:pPr>
            <w:jc w:val="both"/>
            <w:rPr>
              <w:rFonts w:asciiTheme="minorHAnsi" w:hAnsiTheme="minorHAnsi" w:cstheme="minorHAnsi"/>
              <w:highlight w:val="yellow"/>
            </w:rPr>
          </w:pPr>
        </w:p>
        <w:p w14:paraId="7ED014A1" w14:textId="77777777" w:rsidR="00D80B6D" w:rsidRPr="00A92255" w:rsidRDefault="00D80B6D" w:rsidP="002A28A6">
          <w:pPr>
            <w:pStyle w:val="Nadpis3"/>
            <w:spacing w:before="10"/>
            <w:jc w:val="both"/>
            <w:rPr>
              <w:rFonts w:asciiTheme="minorHAnsi" w:hAnsiTheme="minorHAnsi" w:cstheme="minorHAnsi"/>
              <w:color w:val="1D1D1B"/>
              <w:highlight w:val="yellow"/>
            </w:rPr>
          </w:pPr>
        </w:p>
        <w:p w14:paraId="0FB45B67" w14:textId="47A728CE" w:rsidR="00D80B6D" w:rsidRDefault="00D80B6D" w:rsidP="005E069A">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 xml:space="preserve">INDEX HYPOTEČNÍCH ÚVĚRŮ </w:t>
          </w:r>
          <w:r w:rsidRPr="00A92255">
            <w:rPr>
              <w:rFonts w:asciiTheme="minorHAnsi" w:hAnsiTheme="minorHAnsi" w:cstheme="minorHAnsi"/>
              <w:color w:val="CD1719"/>
              <w:sz w:val="24"/>
            </w:rPr>
            <w:t xml:space="preserve">| </w:t>
          </w:r>
          <w:r w:rsidRPr="00A92255">
            <w:rPr>
              <w:rFonts w:asciiTheme="minorHAnsi" w:hAnsiTheme="minorHAnsi" w:cstheme="minorHAnsi"/>
              <w:color w:val="1D1D1B"/>
              <w:sz w:val="24"/>
            </w:rPr>
            <w:t>FIXINDEX</w:t>
          </w:r>
        </w:p>
        <w:p w14:paraId="32900BCE" w14:textId="77026CE5" w:rsidR="00D80B6D" w:rsidRDefault="006849D3" w:rsidP="005E069A">
          <w:pPr>
            <w:spacing w:before="240" w:line="288" w:lineRule="exact"/>
            <w:ind w:left="162"/>
            <w:jc w:val="center"/>
            <w:rPr>
              <w:rFonts w:asciiTheme="minorHAnsi" w:hAnsiTheme="minorHAnsi" w:cstheme="minorHAnsi"/>
              <w:color w:val="1D1D1B"/>
              <w:sz w:val="24"/>
            </w:rPr>
          </w:pPr>
          <w:r w:rsidRPr="00A92255">
            <w:rPr>
              <w:rFonts w:asciiTheme="minorHAnsi" w:hAnsiTheme="minorHAnsi" w:cstheme="minorHAnsi"/>
              <w:color w:val="1D1D1B"/>
              <w:sz w:val="24"/>
            </w:rPr>
            <w:t>INDEX PODÍLOVÝCH FONDŮ</w:t>
          </w:r>
        </w:p>
        <w:p w14:paraId="336822E5" w14:textId="77777777" w:rsidR="006849D3" w:rsidRPr="00A92255" w:rsidRDefault="006849D3" w:rsidP="005E069A">
          <w:pPr>
            <w:spacing w:before="240" w:line="288" w:lineRule="exact"/>
            <w:ind w:left="162"/>
            <w:jc w:val="center"/>
            <w:rPr>
              <w:rFonts w:asciiTheme="minorHAnsi" w:hAnsiTheme="minorHAnsi" w:cstheme="minorHAnsi"/>
              <w:b/>
              <w:color w:val="1D1D1B"/>
              <w:sz w:val="24"/>
            </w:rPr>
          </w:pPr>
          <w:r>
            <w:rPr>
              <w:rFonts w:asciiTheme="minorHAnsi" w:hAnsiTheme="minorHAnsi" w:cstheme="minorHAnsi"/>
              <w:b/>
              <w:color w:val="1D1D1B"/>
              <w:sz w:val="24"/>
            </w:rPr>
            <w:t>REAL</w:t>
          </w:r>
          <w:r w:rsidRPr="00A92255">
            <w:rPr>
              <w:rFonts w:asciiTheme="minorHAnsi" w:hAnsiTheme="minorHAnsi" w:cstheme="minorHAnsi"/>
              <w:b/>
              <w:color w:val="1D1D1B"/>
              <w:sz w:val="24"/>
            </w:rPr>
            <w:t>INDEX</w:t>
          </w:r>
        </w:p>
        <w:p w14:paraId="7907983C" w14:textId="72D5355C" w:rsidR="006849D3" w:rsidRPr="00A92255" w:rsidRDefault="006849D3" w:rsidP="005E069A">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POVINDEX</w:t>
          </w:r>
        </w:p>
        <w:p w14:paraId="5B21B8A6" w14:textId="786CF20B" w:rsidR="00D80B6D" w:rsidRPr="00A92255" w:rsidRDefault="00D80B6D" w:rsidP="005E069A">
          <w:pPr>
            <w:spacing w:before="230"/>
            <w:ind w:left="165"/>
            <w:jc w:val="center"/>
            <w:rPr>
              <w:rFonts w:asciiTheme="minorHAnsi" w:hAnsiTheme="minorHAnsi" w:cstheme="minorHAnsi"/>
              <w:color w:val="CD1719"/>
              <w:sz w:val="24"/>
            </w:rPr>
          </w:pPr>
          <w:r w:rsidRPr="00A92255">
            <w:rPr>
              <w:rFonts w:asciiTheme="minorHAnsi" w:hAnsiTheme="minorHAnsi" w:cstheme="minorHAnsi"/>
              <w:color w:val="1D1D1B"/>
              <w:sz w:val="24"/>
            </w:rPr>
            <w:t>INDEX SPOTŘEBITELSKÝCH ÚVĚRŮ</w:t>
          </w:r>
        </w:p>
        <w:p w14:paraId="1FCC0C9E" w14:textId="77777777" w:rsidR="00D80B6D" w:rsidRPr="00FC2522" w:rsidRDefault="00D80B6D" w:rsidP="002A28A6">
          <w:pPr>
            <w:pStyle w:val="Zkladntext"/>
            <w:spacing w:before="240"/>
            <w:jc w:val="both"/>
            <w:rPr>
              <w:sz w:val="20"/>
              <w:highlight w:val="yellow"/>
            </w:rPr>
          </w:pPr>
        </w:p>
        <w:p w14:paraId="720CCDBB" w14:textId="77777777" w:rsidR="00D80B6D" w:rsidRPr="00FC2522" w:rsidRDefault="00D80B6D" w:rsidP="002A28A6">
          <w:pPr>
            <w:pStyle w:val="Zkladntext"/>
            <w:spacing w:before="240"/>
            <w:jc w:val="both"/>
            <w:rPr>
              <w:sz w:val="20"/>
              <w:highlight w:val="yellow"/>
            </w:rPr>
          </w:pPr>
        </w:p>
        <w:p w14:paraId="703D71F2" w14:textId="77777777" w:rsidR="00D80B6D" w:rsidRPr="00FC2522" w:rsidRDefault="00D80B6D" w:rsidP="002A28A6">
          <w:pPr>
            <w:pStyle w:val="Zkladntext"/>
            <w:jc w:val="both"/>
            <w:rPr>
              <w:sz w:val="20"/>
              <w:highlight w:val="yellow"/>
            </w:rPr>
          </w:pPr>
        </w:p>
        <w:p w14:paraId="00494A3A" w14:textId="77777777" w:rsidR="00D80B6D" w:rsidRPr="00FC2522" w:rsidRDefault="00D80B6D" w:rsidP="002A28A6">
          <w:pPr>
            <w:pStyle w:val="Zkladntext"/>
            <w:jc w:val="both"/>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2A28A6">
          <w:pPr>
            <w:pStyle w:val="Zkladntext"/>
            <w:jc w:val="both"/>
            <w:rPr>
              <w:sz w:val="20"/>
              <w:highlight w:val="yellow"/>
            </w:rPr>
          </w:pPr>
        </w:p>
        <w:p w14:paraId="2A5F355C" w14:textId="77777777" w:rsidR="00D80B6D" w:rsidRPr="00FC2522" w:rsidRDefault="00D80B6D" w:rsidP="002A28A6">
          <w:pPr>
            <w:pStyle w:val="Zkladntext"/>
            <w:jc w:val="both"/>
            <w:rPr>
              <w:sz w:val="20"/>
              <w:highlight w:val="yellow"/>
            </w:rPr>
          </w:pPr>
        </w:p>
        <w:p w14:paraId="218EE6CB" w14:textId="77777777" w:rsidR="00D80B6D" w:rsidRPr="00FC2522" w:rsidRDefault="00D80B6D" w:rsidP="002A28A6">
          <w:pPr>
            <w:pStyle w:val="Zkladntext"/>
            <w:jc w:val="both"/>
            <w:rPr>
              <w:sz w:val="20"/>
              <w:highlight w:val="yellow"/>
            </w:rPr>
          </w:pPr>
        </w:p>
        <w:p w14:paraId="0238B3AB" w14:textId="77777777" w:rsidR="00D80B6D" w:rsidRPr="00FC2522" w:rsidRDefault="00D80B6D" w:rsidP="002A28A6">
          <w:pPr>
            <w:pStyle w:val="Zkladntext"/>
            <w:jc w:val="both"/>
            <w:rPr>
              <w:sz w:val="20"/>
              <w:highlight w:val="yellow"/>
            </w:rPr>
          </w:pPr>
        </w:p>
        <w:p w14:paraId="54516A42" w14:textId="77777777" w:rsidR="00D80B6D" w:rsidRPr="00FC2522" w:rsidRDefault="00D80B6D" w:rsidP="002A28A6">
          <w:pPr>
            <w:pStyle w:val="Zkladntext"/>
            <w:jc w:val="both"/>
            <w:rPr>
              <w:sz w:val="20"/>
              <w:highlight w:val="yellow"/>
            </w:rPr>
          </w:pPr>
        </w:p>
        <w:p w14:paraId="5266363A" w14:textId="77777777" w:rsidR="00D80B6D" w:rsidRPr="00FC2522" w:rsidRDefault="00D80B6D" w:rsidP="002A28A6">
          <w:pPr>
            <w:pStyle w:val="Zkladntext"/>
            <w:jc w:val="both"/>
            <w:rPr>
              <w:sz w:val="20"/>
              <w:highlight w:val="yellow"/>
            </w:rPr>
          </w:pPr>
        </w:p>
        <w:p w14:paraId="363B2E28" w14:textId="77777777" w:rsidR="00D80B6D" w:rsidRPr="00FC2522" w:rsidRDefault="00D80B6D" w:rsidP="002A28A6">
          <w:pPr>
            <w:pStyle w:val="Zkladntext"/>
            <w:jc w:val="both"/>
            <w:rPr>
              <w:sz w:val="20"/>
              <w:highlight w:val="yellow"/>
            </w:rPr>
          </w:pPr>
        </w:p>
        <w:p w14:paraId="17667B44" w14:textId="77777777" w:rsidR="00D80B6D" w:rsidRPr="00FC2522" w:rsidRDefault="00D80B6D" w:rsidP="002A28A6">
          <w:pPr>
            <w:pStyle w:val="Zkladntext"/>
            <w:jc w:val="both"/>
            <w:rPr>
              <w:rFonts w:ascii="Arial" w:hAnsi="Arial" w:cs="Arial"/>
              <w:color w:val="FFFFFF" w:themeColor="background1"/>
              <w:sz w:val="20"/>
              <w:highlight w:val="yellow"/>
            </w:rPr>
          </w:pPr>
        </w:p>
        <w:p w14:paraId="5193A529" w14:textId="77777777" w:rsidR="00D80B6D" w:rsidRPr="00FC2522" w:rsidRDefault="00D80B6D" w:rsidP="002A28A6">
          <w:pPr>
            <w:pStyle w:val="Zkladntext"/>
            <w:jc w:val="both"/>
            <w:rPr>
              <w:rFonts w:ascii="Arial" w:hAnsi="Arial" w:cs="Arial"/>
              <w:b/>
              <w:sz w:val="20"/>
              <w:highlight w:val="yellow"/>
            </w:rPr>
          </w:pPr>
        </w:p>
        <w:p w14:paraId="2833FE59" w14:textId="77777777" w:rsidR="00D80B6D" w:rsidRPr="00FC2522" w:rsidRDefault="00D80B6D" w:rsidP="002A28A6">
          <w:pPr>
            <w:pStyle w:val="Zkladntext"/>
            <w:jc w:val="both"/>
            <w:rPr>
              <w:rFonts w:ascii="Arial" w:hAnsi="Arial" w:cs="Arial"/>
              <w:b/>
              <w:sz w:val="20"/>
              <w:highlight w:val="yellow"/>
            </w:rPr>
          </w:pPr>
        </w:p>
        <w:p w14:paraId="6DB157BF" w14:textId="77777777" w:rsidR="00D80B6D" w:rsidRPr="00FC2522" w:rsidRDefault="00D80B6D" w:rsidP="002A28A6">
          <w:pPr>
            <w:pStyle w:val="Zkladntext"/>
            <w:jc w:val="both"/>
            <w:rPr>
              <w:rFonts w:ascii="Arial" w:hAnsi="Arial" w:cs="Arial"/>
              <w:b/>
              <w:sz w:val="20"/>
              <w:highlight w:val="yellow"/>
            </w:rPr>
          </w:pPr>
        </w:p>
        <w:p w14:paraId="47803C2A" w14:textId="77777777" w:rsidR="00D80B6D" w:rsidRPr="00FC2522" w:rsidRDefault="00D80B6D" w:rsidP="002A28A6">
          <w:pPr>
            <w:pStyle w:val="Zkladntext"/>
            <w:jc w:val="both"/>
            <w:rPr>
              <w:rFonts w:ascii="Arial" w:hAnsi="Arial" w:cs="Arial"/>
              <w:b/>
              <w:sz w:val="20"/>
              <w:highlight w:val="yellow"/>
            </w:rPr>
          </w:pPr>
        </w:p>
        <w:p w14:paraId="1D90E1D0" w14:textId="77777777" w:rsidR="00D80B6D" w:rsidRPr="00FC2522" w:rsidRDefault="00D80B6D" w:rsidP="002A28A6">
          <w:pPr>
            <w:pStyle w:val="Zkladntext"/>
            <w:jc w:val="both"/>
            <w:rPr>
              <w:rFonts w:ascii="Arial" w:hAnsi="Arial" w:cs="Arial"/>
              <w:b/>
              <w:sz w:val="20"/>
              <w:highlight w:val="yellow"/>
            </w:rPr>
          </w:pPr>
        </w:p>
        <w:p w14:paraId="5A33B823" w14:textId="77777777" w:rsidR="00D80B6D" w:rsidRPr="00FC2522" w:rsidRDefault="00D80B6D" w:rsidP="002A28A6">
          <w:pPr>
            <w:pStyle w:val="Zkladntext"/>
            <w:jc w:val="both"/>
            <w:rPr>
              <w:rFonts w:ascii="Arial" w:hAnsi="Arial" w:cs="Arial"/>
              <w:b/>
              <w:sz w:val="20"/>
              <w:highlight w:val="yellow"/>
            </w:rPr>
          </w:pPr>
        </w:p>
        <w:p w14:paraId="0D2BECD0" w14:textId="77777777" w:rsidR="00D80B6D" w:rsidRPr="00FC2522" w:rsidRDefault="00D80B6D" w:rsidP="002A28A6">
          <w:pPr>
            <w:pStyle w:val="Zkladntext"/>
            <w:jc w:val="both"/>
            <w:rPr>
              <w:rFonts w:ascii="Arial" w:hAnsi="Arial" w:cs="Arial"/>
              <w:b/>
              <w:sz w:val="20"/>
              <w:highlight w:val="yellow"/>
            </w:rPr>
          </w:pPr>
        </w:p>
        <w:p w14:paraId="69288FB9" w14:textId="77777777" w:rsidR="00D80B6D" w:rsidRPr="00FC2522" w:rsidRDefault="00D80B6D" w:rsidP="002A28A6">
          <w:pPr>
            <w:pStyle w:val="Zkladntext"/>
            <w:jc w:val="both"/>
            <w:rPr>
              <w:rFonts w:ascii="Arial" w:hAnsi="Arial" w:cs="Arial"/>
              <w:b/>
              <w:sz w:val="20"/>
              <w:highlight w:val="yellow"/>
            </w:rPr>
          </w:pPr>
        </w:p>
        <w:p w14:paraId="541E93D5" w14:textId="77777777" w:rsidR="00D80B6D" w:rsidRPr="00FC2522" w:rsidRDefault="00D80B6D" w:rsidP="002A28A6">
          <w:pPr>
            <w:pStyle w:val="Zkladntext"/>
            <w:jc w:val="both"/>
            <w:rPr>
              <w:rFonts w:ascii="Arial" w:hAnsi="Arial" w:cs="Arial"/>
              <w:b/>
              <w:sz w:val="20"/>
              <w:highlight w:val="yellow"/>
            </w:rPr>
          </w:pPr>
        </w:p>
        <w:p w14:paraId="341A343C" w14:textId="77777777" w:rsidR="00D80B6D" w:rsidRPr="00FC2522" w:rsidRDefault="00D80B6D" w:rsidP="002A28A6">
          <w:pPr>
            <w:pStyle w:val="Zkladntext"/>
            <w:jc w:val="both"/>
            <w:rPr>
              <w:rFonts w:ascii="Arial" w:hAnsi="Arial" w:cs="Arial"/>
              <w:b/>
              <w:sz w:val="20"/>
              <w:highlight w:val="yellow"/>
            </w:rPr>
          </w:pPr>
        </w:p>
        <w:p w14:paraId="6C52C42D" w14:textId="77777777" w:rsidR="00D80B6D" w:rsidRPr="00FC2522" w:rsidRDefault="00D80B6D" w:rsidP="002A28A6">
          <w:pPr>
            <w:pStyle w:val="Zkladntext"/>
            <w:jc w:val="both"/>
            <w:rPr>
              <w:rFonts w:ascii="Arial" w:hAnsi="Arial" w:cs="Arial"/>
              <w:b/>
              <w:sz w:val="20"/>
              <w:highlight w:val="yellow"/>
            </w:rPr>
          </w:pPr>
        </w:p>
        <w:p w14:paraId="3E3CDF25" w14:textId="77777777" w:rsidR="00D80B6D" w:rsidRPr="00FC2522" w:rsidRDefault="00D80B6D" w:rsidP="002A28A6">
          <w:pPr>
            <w:pStyle w:val="Zkladntext"/>
            <w:jc w:val="both"/>
            <w:rPr>
              <w:rFonts w:ascii="Arial" w:hAnsi="Arial" w:cs="Arial"/>
              <w:b/>
              <w:sz w:val="20"/>
              <w:highlight w:val="yellow"/>
            </w:rPr>
          </w:pPr>
        </w:p>
        <w:p w14:paraId="40495E64" w14:textId="77777777" w:rsidR="00D80B6D" w:rsidRPr="00FC2522" w:rsidRDefault="00D80B6D" w:rsidP="002A28A6">
          <w:pPr>
            <w:pStyle w:val="Zkladntext"/>
            <w:jc w:val="both"/>
            <w:rPr>
              <w:rFonts w:ascii="Arial" w:hAnsi="Arial" w:cs="Arial"/>
              <w:b/>
              <w:sz w:val="20"/>
              <w:highlight w:val="yellow"/>
            </w:rPr>
          </w:pPr>
        </w:p>
        <w:p w14:paraId="59B6F4E6" w14:textId="77777777" w:rsidR="00D80B6D" w:rsidRPr="00FC2522" w:rsidRDefault="00D80B6D" w:rsidP="002A28A6">
          <w:pPr>
            <w:pStyle w:val="Zkladntext"/>
            <w:jc w:val="both"/>
            <w:rPr>
              <w:rFonts w:ascii="Arial" w:hAnsi="Arial" w:cs="Arial"/>
              <w:b/>
              <w:sz w:val="20"/>
              <w:highlight w:val="yellow"/>
            </w:rPr>
          </w:pPr>
        </w:p>
        <w:p w14:paraId="5ADDFBD6" w14:textId="77777777" w:rsidR="00D80B6D" w:rsidRPr="00FC2522" w:rsidRDefault="00D80B6D" w:rsidP="002A28A6">
          <w:pPr>
            <w:pStyle w:val="Zkladntext"/>
            <w:jc w:val="both"/>
            <w:rPr>
              <w:rFonts w:ascii="Arial" w:hAnsi="Arial" w:cs="Arial"/>
              <w:b/>
              <w:sz w:val="20"/>
              <w:highlight w:val="yellow"/>
            </w:rPr>
          </w:pPr>
        </w:p>
        <w:p w14:paraId="1CB27DF8" w14:textId="77777777" w:rsidR="007B358E" w:rsidRPr="00FC2522" w:rsidRDefault="007B358E" w:rsidP="002A28A6">
          <w:pPr>
            <w:pStyle w:val="Zkladntext"/>
            <w:jc w:val="both"/>
            <w:rPr>
              <w:rFonts w:ascii="Arial" w:hAnsi="Arial" w:cs="Arial"/>
              <w:b/>
              <w:sz w:val="20"/>
              <w:highlight w:val="yellow"/>
            </w:rPr>
          </w:pPr>
        </w:p>
        <w:p w14:paraId="3A61C564" w14:textId="77777777" w:rsidR="0068617E" w:rsidRPr="00FC2522" w:rsidRDefault="0068617E" w:rsidP="002A28A6">
          <w:pPr>
            <w:pStyle w:val="Zkladntext"/>
            <w:jc w:val="both"/>
            <w:rPr>
              <w:rFonts w:ascii="Arial" w:hAnsi="Arial" w:cs="Arial"/>
              <w:b/>
              <w:sz w:val="20"/>
              <w:highlight w:val="yellow"/>
            </w:rPr>
          </w:pPr>
        </w:p>
        <w:p w14:paraId="1414E639" w14:textId="77777777" w:rsidR="0068617E" w:rsidRPr="00A92255" w:rsidRDefault="0068617E" w:rsidP="002A28A6">
          <w:pPr>
            <w:pStyle w:val="Zkladntext"/>
            <w:jc w:val="both"/>
            <w:rPr>
              <w:rFonts w:asciiTheme="minorHAnsi" w:hAnsiTheme="minorHAnsi" w:cstheme="minorHAnsi"/>
              <w:b/>
              <w:highlight w:val="yellow"/>
            </w:rPr>
          </w:pPr>
        </w:p>
        <w:p w14:paraId="11132A3F" w14:textId="53DE594E" w:rsidR="00D80B6D" w:rsidRPr="00A92255" w:rsidRDefault="00D80B6D" w:rsidP="002A28A6">
          <w:pPr>
            <w:pStyle w:val="Zkladntext"/>
            <w:jc w:val="both"/>
            <w:rPr>
              <w:rFonts w:asciiTheme="minorHAnsi" w:hAnsiTheme="minorHAnsi" w:cstheme="minorHAnsi"/>
              <w:b/>
            </w:rPr>
          </w:pPr>
          <w:r w:rsidRPr="00A92255">
            <w:rPr>
              <w:rFonts w:asciiTheme="minorHAnsi" w:hAnsiTheme="minorHAnsi" w:cstheme="minorHAnsi"/>
              <w:b/>
            </w:rPr>
            <w:t>O společnosti Broker Consulting</w:t>
          </w:r>
        </w:p>
        <w:p w14:paraId="27485CC6" w14:textId="77777777" w:rsidR="00D80B6D" w:rsidRPr="00FC2522" w:rsidRDefault="00D80B6D" w:rsidP="002A28A6">
          <w:pPr>
            <w:jc w:val="both"/>
            <w:rPr>
              <w:rFonts w:ascii="Arial" w:hAnsi="Arial" w:cs="Arial"/>
              <w:sz w:val="20"/>
            </w:rPr>
          </w:pPr>
        </w:p>
        <w:p w14:paraId="08070DCC" w14:textId="1E35E74E" w:rsidR="00792EE9" w:rsidRPr="00A92255" w:rsidRDefault="00792EE9" w:rsidP="002A28A6">
          <w:pPr>
            <w:jc w:val="both"/>
            <w:rPr>
              <w:rStyle w:val="dn"/>
              <w:rFonts w:asciiTheme="minorHAnsi" w:hAnsiTheme="minorHAnsi" w:cstheme="minorHAnsi"/>
              <w:sz w:val="20"/>
              <w:szCs w:val="20"/>
            </w:rPr>
          </w:pPr>
          <w:r w:rsidRPr="00A92255">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sidRPr="00A92255">
            <w:rPr>
              <w:rFonts w:asciiTheme="minorHAnsi" w:hAnsiTheme="minorHAnsi" w:cstheme="minorHAnsi"/>
              <w:sz w:val="20"/>
              <w:szCs w:val="20"/>
            </w:rPr>
            <w:t xml:space="preserve">přes </w:t>
          </w:r>
          <w:r w:rsidR="002141AF" w:rsidRPr="00A92255">
            <w:rPr>
              <w:rFonts w:asciiTheme="minorHAnsi" w:hAnsiTheme="minorHAnsi" w:cstheme="minorHAnsi"/>
              <w:sz w:val="20"/>
              <w:szCs w:val="20"/>
            </w:rPr>
            <w:t>4</w:t>
          </w:r>
          <w:r w:rsidR="00C41741" w:rsidRPr="00A92255">
            <w:rPr>
              <w:rFonts w:asciiTheme="minorHAnsi" w:hAnsiTheme="minorHAnsi" w:cstheme="minorHAnsi"/>
              <w:sz w:val="20"/>
              <w:szCs w:val="20"/>
            </w:rPr>
            <w:t>0</w:t>
          </w:r>
          <w:r w:rsidRPr="00A92255">
            <w:rPr>
              <w:rFonts w:asciiTheme="minorHAnsi" w:hAnsiTheme="minorHAnsi" w:cstheme="minorHAnsi"/>
              <w:sz w:val="20"/>
              <w:szCs w:val="20"/>
            </w:rPr>
            <w:t xml:space="preserve"> franšízových </w:t>
          </w:r>
          <w:proofErr w:type="spellStart"/>
          <w:r w:rsidRPr="00A92255">
            <w:rPr>
              <w:rFonts w:asciiTheme="minorHAnsi" w:hAnsiTheme="minorHAnsi" w:cstheme="minorHAnsi"/>
              <w:sz w:val="20"/>
              <w:szCs w:val="20"/>
            </w:rPr>
            <w:t>poboč</w:t>
          </w:r>
          <w:r w:rsidR="00C41741" w:rsidRPr="00A92255">
            <w:rPr>
              <w:rFonts w:asciiTheme="minorHAnsi" w:hAnsiTheme="minorHAnsi" w:cstheme="minorHAnsi"/>
              <w:sz w:val="20"/>
              <w:szCs w:val="20"/>
            </w:rPr>
            <w:t>eká</w:t>
          </w:r>
          <w:proofErr w:type="spellEnd"/>
          <w:r w:rsidRPr="00A92255">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sidRPr="00A92255">
            <w:rPr>
              <w:rFonts w:asciiTheme="minorHAnsi" w:hAnsiTheme="minorHAnsi" w:cstheme="minorHAnsi"/>
              <w:sz w:val="20"/>
              <w:szCs w:val="20"/>
            </w:rPr>
            <w:t xml:space="preserve"> Broker Consulting</w:t>
          </w:r>
          <w:r w:rsidRPr="00A92255">
            <w:rPr>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Více</w:t>
          </w:r>
          <w:proofErr w:type="spellEnd"/>
          <w:r w:rsidRPr="00A92255">
            <w:rPr>
              <w:rStyle w:val="dn"/>
              <w:rFonts w:asciiTheme="minorHAnsi" w:hAnsiTheme="minorHAnsi" w:cstheme="minorHAnsi"/>
              <w:sz w:val="20"/>
              <w:szCs w:val="20"/>
            </w:rPr>
            <w:t xml:space="preserve"> na </w:t>
          </w:r>
          <w:hyperlink r:id="rId9" w:history="1">
            <w:r w:rsidRPr="00A92255">
              <w:rPr>
                <w:rStyle w:val="Hypertextovodkaz"/>
                <w:rFonts w:asciiTheme="minorHAnsi" w:hAnsiTheme="minorHAnsi" w:cstheme="minorHAnsi"/>
                <w:color w:val="FF0000"/>
                <w:sz w:val="20"/>
                <w:szCs w:val="20"/>
              </w:rPr>
              <w:t>www.bcas.cz</w:t>
            </w:r>
          </w:hyperlink>
          <w:r w:rsidRPr="00A92255">
            <w:rPr>
              <w:rStyle w:val="Hypertextovodkaz"/>
              <w:rFonts w:asciiTheme="minorHAnsi" w:hAnsiTheme="minorHAnsi" w:cstheme="minorHAnsi"/>
              <w:sz w:val="20"/>
              <w:szCs w:val="20"/>
            </w:rPr>
            <w:t xml:space="preserve">, </w:t>
          </w:r>
          <w:hyperlink r:id="rId10" w:history="1">
            <w:r w:rsidRPr="00A92255">
              <w:rPr>
                <w:rStyle w:val="Hypertextovodkaz"/>
                <w:rFonts w:asciiTheme="minorHAnsi" w:hAnsiTheme="minorHAnsi" w:cstheme="minorHAnsi"/>
                <w:color w:val="FF0000"/>
                <w:sz w:val="20"/>
                <w:szCs w:val="20"/>
              </w:rPr>
              <w:t>www.okpointy.cz</w:t>
            </w:r>
          </w:hyperlink>
          <w:r w:rsidR="004F6195" w:rsidRPr="00A92255">
            <w:rPr>
              <w:rStyle w:val="Hypertextovodkaz"/>
              <w:rFonts w:asciiTheme="minorHAnsi" w:hAnsiTheme="minorHAnsi" w:cstheme="minorHAnsi"/>
              <w:color w:val="FF0000"/>
              <w:sz w:val="20"/>
              <w:szCs w:val="20"/>
            </w:rPr>
            <w:t>, www.okpoint.tv</w:t>
          </w:r>
          <w:r w:rsidRPr="00A92255">
            <w:rPr>
              <w:rStyle w:val="dn"/>
              <w:rFonts w:asciiTheme="minorHAnsi" w:hAnsiTheme="minorHAnsi" w:cstheme="minorHAnsi"/>
              <w:sz w:val="20"/>
              <w:szCs w:val="20"/>
            </w:rPr>
            <w:t xml:space="preserve"> a na </w:t>
          </w:r>
          <w:hyperlink r:id="rId11" w:history="1">
            <w:r w:rsidRPr="00A92255">
              <w:rPr>
                <w:rStyle w:val="Hypertextovodkaz"/>
                <w:rFonts w:asciiTheme="minorHAnsi" w:hAnsiTheme="minorHAnsi" w:cstheme="minorHAnsi"/>
                <w:color w:val="FF0000"/>
                <w:sz w:val="20"/>
                <w:szCs w:val="20"/>
              </w:rPr>
              <w:t>www.realityspolu.cz</w:t>
            </w:r>
          </w:hyperlink>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Navštivte</w:t>
          </w:r>
          <w:proofErr w:type="spellEnd"/>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také</w:t>
          </w:r>
          <w:proofErr w:type="spellEnd"/>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náš</w:t>
          </w:r>
          <w:proofErr w:type="spellEnd"/>
          <w:r w:rsidRPr="00A92255">
            <w:rPr>
              <w:rStyle w:val="dn"/>
              <w:rFonts w:asciiTheme="minorHAnsi" w:hAnsiTheme="minorHAnsi" w:cstheme="minorHAnsi"/>
              <w:sz w:val="20"/>
              <w:szCs w:val="20"/>
            </w:rPr>
            <w:t xml:space="preserve"> </w:t>
          </w:r>
          <w:hyperlink r:id="rId12" w:history="1">
            <w:proofErr w:type="spellStart"/>
            <w:r w:rsidRPr="00A92255">
              <w:rPr>
                <w:rStyle w:val="Hypertextovodkaz"/>
                <w:rFonts w:asciiTheme="minorHAnsi" w:hAnsiTheme="minorHAnsi" w:cstheme="minorHAnsi"/>
                <w:color w:val="FF0000"/>
                <w:sz w:val="20"/>
                <w:szCs w:val="20"/>
              </w:rPr>
              <w:t>Facebook</w:t>
            </w:r>
            <w:proofErr w:type="spellEnd"/>
          </w:hyperlink>
          <w:r w:rsidR="00B65531">
            <w:rPr>
              <w:rStyle w:val="dn"/>
              <w:rFonts w:asciiTheme="minorHAnsi" w:hAnsiTheme="minorHAnsi" w:cstheme="minorHAnsi"/>
              <w:color w:val="FF0000"/>
              <w:sz w:val="20"/>
              <w:szCs w:val="20"/>
            </w:rPr>
            <w:t xml:space="preserve">, </w:t>
          </w:r>
          <w:hyperlink r:id="rId13" w:history="1">
            <w:proofErr w:type="spellStart"/>
            <w:r w:rsidRPr="00A92255">
              <w:rPr>
                <w:rStyle w:val="Hypertextovodkaz"/>
                <w:rFonts w:asciiTheme="minorHAnsi" w:hAnsiTheme="minorHAnsi" w:cstheme="minorHAnsi"/>
                <w:color w:val="FF0000"/>
                <w:sz w:val="20"/>
                <w:szCs w:val="20"/>
              </w:rPr>
              <w:t>LinkedIN</w:t>
            </w:r>
            <w:proofErr w:type="spellEnd"/>
          </w:hyperlink>
          <w:r w:rsidRPr="00A92255">
            <w:rPr>
              <w:rStyle w:val="dn"/>
              <w:rFonts w:asciiTheme="minorHAnsi" w:hAnsiTheme="minorHAnsi" w:cstheme="minorHAnsi"/>
              <w:sz w:val="20"/>
              <w:szCs w:val="20"/>
            </w:rPr>
            <w:t xml:space="preserve"> Broker Consulting</w:t>
          </w:r>
          <w:r w:rsidR="00B65531">
            <w:rPr>
              <w:rStyle w:val="dn"/>
              <w:rFonts w:asciiTheme="minorHAnsi" w:hAnsiTheme="minorHAnsi" w:cstheme="minorHAnsi"/>
              <w:sz w:val="20"/>
              <w:szCs w:val="20"/>
            </w:rPr>
            <w:t xml:space="preserve"> a </w:t>
          </w:r>
          <w:r w:rsidR="00B65531" w:rsidRPr="00F256A8">
            <w:rPr>
              <w:rStyle w:val="dn"/>
              <w:rFonts w:asciiTheme="minorHAnsi" w:hAnsiTheme="minorHAnsi" w:cstheme="minorHAnsi"/>
              <w:sz w:val="20"/>
              <w:szCs w:val="20"/>
            </w:rPr>
            <w:t>Twitter @</w:t>
          </w:r>
          <w:proofErr w:type="spellStart"/>
          <w:r w:rsidR="00B65531" w:rsidRPr="00F256A8">
            <w:rPr>
              <w:rStyle w:val="dn"/>
              <w:rFonts w:asciiTheme="minorHAnsi" w:hAnsiTheme="minorHAnsi" w:cstheme="minorHAnsi"/>
              <w:sz w:val="20"/>
              <w:szCs w:val="20"/>
            </w:rPr>
            <w:t>BC_oficialni</w:t>
          </w:r>
          <w:proofErr w:type="spellEnd"/>
          <w:r w:rsidRPr="00A92255">
            <w:rPr>
              <w:rStyle w:val="dn"/>
              <w:rFonts w:asciiTheme="minorHAnsi" w:hAnsiTheme="minorHAnsi" w:cstheme="minorHAnsi"/>
              <w:sz w:val="20"/>
              <w:szCs w:val="20"/>
            </w:rPr>
            <w:t xml:space="preserve"> a </w:t>
          </w:r>
          <w:hyperlink r:id="rId14" w:history="1">
            <w:proofErr w:type="spellStart"/>
            <w:r w:rsidRPr="00A92255">
              <w:rPr>
                <w:rStyle w:val="Hypertextovodkaz"/>
                <w:rFonts w:asciiTheme="minorHAnsi" w:hAnsiTheme="minorHAnsi" w:cstheme="minorHAnsi"/>
                <w:color w:val="FF0000"/>
                <w:sz w:val="20"/>
                <w:szCs w:val="20"/>
              </w:rPr>
              <w:t>Facebook</w:t>
            </w:r>
            <w:proofErr w:type="spellEnd"/>
          </w:hyperlink>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a </w:t>
          </w:r>
          <w:hyperlink r:id="rId15" w:history="1">
            <w:proofErr w:type="spellStart"/>
            <w:r w:rsidRPr="00A92255">
              <w:rPr>
                <w:rStyle w:val="Hypertextovodkaz"/>
                <w:rFonts w:asciiTheme="minorHAnsi" w:hAnsiTheme="minorHAnsi" w:cstheme="minorHAnsi"/>
                <w:color w:val="FF0000"/>
                <w:sz w:val="20"/>
                <w:szCs w:val="20"/>
              </w:rPr>
              <w:t>LinkedI</w:t>
            </w:r>
          </w:hyperlink>
          <w:r w:rsidRPr="00A92255">
            <w:rPr>
              <w:rStyle w:val="Hypertextovodkaz"/>
              <w:rFonts w:asciiTheme="minorHAnsi" w:hAnsiTheme="minorHAnsi" w:cstheme="minorHAnsi"/>
              <w:color w:val="FF0000"/>
              <w:sz w:val="20"/>
              <w:szCs w:val="20"/>
            </w:rPr>
            <w:t>N</w:t>
          </w:r>
          <w:proofErr w:type="spellEnd"/>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OK </w:t>
          </w:r>
          <w:proofErr w:type="spellStart"/>
          <w:r w:rsidRPr="00A92255">
            <w:rPr>
              <w:rStyle w:val="dn"/>
              <w:rFonts w:asciiTheme="minorHAnsi" w:hAnsiTheme="minorHAnsi" w:cstheme="minorHAnsi"/>
              <w:sz w:val="20"/>
              <w:szCs w:val="20"/>
            </w:rPr>
            <w:t>POINTů</w:t>
          </w:r>
          <w:proofErr w:type="spellEnd"/>
          <w:r w:rsidRPr="00A92255">
            <w:rPr>
              <w:rStyle w:val="dn"/>
              <w:rFonts w:asciiTheme="minorHAnsi" w:hAnsiTheme="minorHAnsi" w:cstheme="minorHAnsi"/>
              <w:sz w:val="20"/>
              <w:szCs w:val="20"/>
            </w:rPr>
            <w:t xml:space="preserve">. </w:t>
          </w:r>
        </w:p>
        <w:p w14:paraId="3F0EC976" w14:textId="3496D289" w:rsidR="00D80B6D" w:rsidRPr="00FC2522" w:rsidRDefault="00D80B6D" w:rsidP="002A28A6">
          <w:pPr>
            <w:pStyle w:val="Zkladntext"/>
            <w:jc w:val="both"/>
            <w:rPr>
              <w:rFonts w:ascii="Arial" w:hAnsi="Arial" w:cs="Arial"/>
              <w:sz w:val="20"/>
              <w:highlight w:val="yellow"/>
            </w:rPr>
            <w:sectPr w:rsidR="00D80B6D" w:rsidRPr="00FC2522" w:rsidSect="00956B8E">
              <w:headerReference w:type="default" r:id="rId16"/>
              <w:footerReference w:type="default" r:id="rId17"/>
              <w:headerReference w:type="first" r:id="rId18"/>
              <w:pgSz w:w="11910" w:h="16840"/>
              <w:pgMar w:top="960" w:right="740" w:bottom="0" w:left="720" w:header="708" w:footer="708" w:gutter="0"/>
              <w:cols w:space="708"/>
              <w:titlePg/>
              <w:docGrid w:linePitch="299"/>
            </w:sectPr>
          </w:pPr>
        </w:p>
        <w:p w14:paraId="35539C65" w14:textId="7A3AAC27" w:rsidR="00D31127" w:rsidRPr="00FC2522" w:rsidRDefault="00AB2A66" w:rsidP="0025264B">
          <w:pPr>
            <w:rPr>
              <w:rFonts w:ascii="Arial" w:hAnsi="Arial" w:cs="Arial"/>
              <w:b/>
              <w:sz w:val="20"/>
              <w:szCs w:val="20"/>
              <w:highlight w:val="yellow"/>
            </w:rPr>
            <w:sectPr w:rsidR="00D31127" w:rsidRPr="00FC2522" w:rsidSect="002A28A6">
              <w:headerReference w:type="even" r:id="rId19"/>
              <w:headerReference w:type="default" r:id="rId20"/>
              <w:footerReference w:type="even" r:id="rId21"/>
              <w:headerReference w:type="first" r:id="rId22"/>
              <w:footerReference w:type="first" r:id="rId23"/>
              <w:pgSz w:w="11910" w:h="16840"/>
              <w:pgMar w:top="1418" w:right="740" w:bottom="420" w:left="720" w:header="340" w:footer="709" w:gutter="0"/>
              <w:cols w:space="708"/>
              <w:docGrid w:linePitch="299"/>
            </w:sectPr>
          </w:pPr>
        </w:p>
      </w:sdtContent>
    </w:sdt>
    <w:p w14:paraId="37DCC8E7" w14:textId="5406A5E5" w:rsidR="00733809" w:rsidRDefault="00733809" w:rsidP="000B294E">
      <w:pPr>
        <w:spacing w:after="120"/>
        <w:jc w:val="center"/>
        <w:rPr>
          <w:rFonts w:asciiTheme="minorHAnsi" w:hAnsiTheme="minorHAnsi" w:cstheme="minorHAnsi"/>
          <w:b/>
          <w:color w:val="0D0D0D" w:themeColor="text1" w:themeTint="F2"/>
          <w:sz w:val="30"/>
          <w:szCs w:val="30"/>
        </w:rPr>
      </w:pPr>
      <w:r w:rsidRPr="00733809">
        <w:rPr>
          <w:rFonts w:asciiTheme="minorHAnsi" w:hAnsiTheme="minorHAnsi" w:cstheme="minorHAnsi"/>
          <w:b/>
          <w:color w:val="0D0D0D" w:themeColor="text1" w:themeTint="F2"/>
          <w:sz w:val="30"/>
          <w:szCs w:val="30"/>
        </w:rPr>
        <w:t>Rozdíl v očekávání nabízejících a kupujících se dál prohlubuje</w:t>
      </w:r>
    </w:p>
    <w:p w14:paraId="707CF7B3" w14:textId="261C5A03" w:rsidR="00C04FC5" w:rsidRDefault="00C04FC5" w:rsidP="00882FC1">
      <w:pPr>
        <w:pStyle w:val="Odstavecseseznamem"/>
        <w:numPr>
          <w:ilvl w:val="0"/>
          <w:numId w:val="6"/>
        </w:numPr>
        <w:ind w:left="697" w:right="0" w:hanging="357"/>
        <w:jc w:val="both"/>
        <w:rPr>
          <w:rFonts w:asciiTheme="minorHAnsi" w:hAnsiTheme="minorHAnsi" w:cstheme="minorHAnsi"/>
          <w:b/>
          <w:color w:val="0D0D0D" w:themeColor="text1" w:themeTint="F2"/>
          <w:sz w:val="21"/>
          <w:szCs w:val="21"/>
        </w:rPr>
      </w:pPr>
      <w:r>
        <w:rPr>
          <w:rFonts w:asciiTheme="minorHAnsi" w:hAnsiTheme="minorHAnsi" w:cstheme="minorHAnsi"/>
          <w:b/>
          <w:color w:val="0D0D0D" w:themeColor="text1" w:themeTint="F2"/>
          <w:sz w:val="21"/>
          <w:szCs w:val="21"/>
        </w:rPr>
        <w:t>Broker Consulting REALIndex poklesl za první kvartál letošního roku o minus třináct procent</w:t>
      </w:r>
    </w:p>
    <w:p w14:paraId="28B5DE7D" w14:textId="386760C5" w:rsidR="00C04FC5" w:rsidRDefault="00882FC1" w:rsidP="00882FC1">
      <w:pPr>
        <w:pStyle w:val="Odstavecseseznamem"/>
        <w:numPr>
          <w:ilvl w:val="0"/>
          <w:numId w:val="6"/>
        </w:numPr>
        <w:ind w:right="0"/>
        <w:jc w:val="both"/>
        <w:rPr>
          <w:rFonts w:asciiTheme="minorHAnsi" w:hAnsiTheme="minorHAnsi" w:cstheme="minorHAnsi"/>
          <w:b/>
          <w:color w:val="0D0D0D" w:themeColor="text1" w:themeTint="F2"/>
          <w:sz w:val="21"/>
          <w:szCs w:val="21"/>
        </w:rPr>
      </w:pPr>
      <w:r>
        <w:rPr>
          <w:rFonts w:asciiTheme="minorHAnsi" w:hAnsiTheme="minorHAnsi" w:cstheme="minorHAnsi"/>
          <w:b/>
          <w:color w:val="0D0D0D" w:themeColor="text1" w:themeTint="F2"/>
          <w:sz w:val="21"/>
          <w:szCs w:val="21"/>
        </w:rPr>
        <w:t>Rozdíl mezi očekáváním prodávajících a kupujících se v Če</w:t>
      </w:r>
      <w:r w:rsidR="006A03E2">
        <w:rPr>
          <w:rFonts w:asciiTheme="minorHAnsi" w:hAnsiTheme="minorHAnsi" w:cstheme="minorHAnsi"/>
          <w:b/>
          <w:color w:val="0D0D0D" w:themeColor="text1" w:themeTint="F2"/>
          <w:sz w:val="21"/>
          <w:szCs w:val="21"/>
        </w:rPr>
        <w:t>sku</w:t>
      </w:r>
      <w:bookmarkStart w:id="0" w:name="_GoBack"/>
      <w:bookmarkEnd w:id="0"/>
      <w:r>
        <w:rPr>
          <w:rFonts w:asciiTheme="minorHAnsi" w:hAnsiTheme="minorHAnsi" w:cstheme="minorHAnsi"/>
          <w:b/>
          <w:color w:val="0D0D0D" w:themeColor="text1" w:themeTint="F2"/>
          <w:sz w:val="21"/>
          <w:szCs w:val="21"/>
        </w:rPr>
        <w:t xml:space="preserve"> zvětšil</w:t>
      </w:r>
    </w:p>
    <w:p w14:paraId="00C218DF" w14:textId="38E1E1E5" w:rsidR="00882FC1" w:rsidRPr="00C04FC5" w:rsidRDefault="00882FC1" w:rsidP="00882FC1">
      <w:pPr>
        <w:pStyle w:val="Odstavecseseznamem"/>
        <w:numPr>
          <w:ilvl w:val="0"/>
          <w:numId w:val="6"/>
        </w:numPr>
        <w:spacing w:after="120"/>
        <w:ind w:left="714" w:right="0" w:hanging="357"/>
        <w:jc w:val="both"/>
        <w:rPr>
          <w:rFonts w:asciiTheme="minorHAnsi" w:hAnsiTheme="minorHAnsi" w:cstheme="minorHAnsi"/>
          <w:b/>
          <w:color w:val="0D0D0D" w:themeColor="text1" w:themeTint="F2"/>
          <w:sz w:val="21"/>
          <w:szCs w:val="21"/>
        </w:rPr>
      </w:pPr>
      <w:r>
        <w:rPr>
          <w:rFonts w:asciiTheme="minorHAnsi" w:hAnsiTheme="minorHAnsi" w:cstheme="minorHAnsi"/>
          <w:b/>
          <w:color w:val="0D0D0D" w:themeColor="text1" w:themeTint="F2"/>
          <w:sz w:val="21"/>
          <w:szCs w:val="21"/>
        </w:rPr>
        <w:t>Nejvíce poklesl ukazatel v Pardubickém (minus osmnáct procent) a Jihočeském kraji (minus šestnáct procent)</w:t>
      </w:r>
    </w:p>
    <w:p w14:paraId="57AB941D" w14:textId="30E230F5" w:rsidR="00017E7F" w:rsidRPr="002A28A6" w:rsidRDefault="00F82EAF" w:rsidP="002A28A6">
      <w:pPr>
        <w:spacing w:after="120"/>
        <w:jc w:val="both"/>
        <w:rPr>
          <w:rFonts w:asciiTheme="minorHAnsi" w:hAnsiTheme="minorHAnsi" w:cstheme="minorHAnsi"/>
          <w:sz w:val="21"/>
          <w:szCs w:val="21"/>
        </w:rPr>
      </w:pPr>
      <w:r w:rsidRPr="002A28A6">
        <w:rPr>
          <w:rFonts w:asciiTheme="minorHAnsi" w:hAnsiTheme="minorHAnsi" w:cstheme="minorHAnsi"/>
          <w:b/>
          <w:i/>
          <w:sz w:val="21"/>
          <w:szCs w:val="21"/>
        </w:rPr>
        <w:t>Praha, 14</w:t>
      </w:r>
      <w:r w:rsidR="00351DAB" w:rsidRPr="002A28A6">
        <w:rPr>
          <w:rFonts w:asciiTheme="minorHAnsi" w:hAnsiTheme="minorHAnsi" w:cstheme="minorHAnsi"/>
          <w:b/>
          <w:i/>
          <w:sz w:val="21"/>
          <w:szCs w:val="21"/>
        </w:rPr>
        <w:t xml:space="preserve">. </w:t>
      </w:r>
      <w:r w:rsidR="00733809" w:rsidRPr="002A28A6">
        <w:rPr>
          <w:rFonts w:asciiTheme="minorHAnsi" w:hAnsiTheme="minorHAnsi" w:cstheme="minorHAnsi"/>
          <w:b/>
          <w:i/>
          <w:sz w:val="21"/>
          <w:szCs w:val="21"/>
        </w:rPr>
        <w:t>dubna 2023</w:t>
      </w:r>
      <w:r w:rsidR="00733809" w:rsidRPr="002A28A6">
        <w:rPr>
          <w:rFonts w:asciiTheme="minorHAnsi" w:hAnsiTheme="minorHAnsi" w:cstheme="minorHAnsi"/>
          <w:b/>
          <w:sz w:val="21"/>
          <w:szCs w:val="21"/>
        </w:rPr>
        <w:t xml:space="preserve"> – Spo</w:t>
      </w:r>
      <w:r w:rsidR="00D63117" w:rsidRPr="002A28A6">
        <w:rPr>
          <w:rFonts w:asciiTheme="minorHAnsi" w:hAnsiTheme="minorHAnsi" w:cstheme="minorHAnsi"/>
          <w:b/>
          <w:sz w:val="21"/>
          <w:szCs w:val="21"/>
        </w:rPr>
        <w:t>lečnost Broker Consulting, jež</w:t>
      </w:r>
      <w:r w:rsidR="00733809" w:rsidRPr="002A28A6">
        <w:rPr>
          <w:rFonts w:asciiTheme="minorHAnsi" w:hAnsiTheme="minorHAnsi" w:cstheme="minorHAnsi"/>
          <w:b/>
          <w:sz w:val="21"/>
          <w:szCs w:val="21"/>
        </w:rPr>
        <w:t xml:space="preserve"> prostřednictvím Broker Consulting </w:t>
      </w:r>
      <w:proofErr w:type="spellStart"/>
      <w:r w:rsidR="00733809" w:rsidRPr="002A28A6">
        <w:rPr>
          <w:rFonts w:asciiTheme="minorHAnsi" w:hAnsiTheme="minorHAnsi" w:cstheme="minorHAnsi"/>
          <w:b/>
          <w:sz w:val="21"/>
          <w:szCs w:val="21"/>
        </w:rPr>
        <w:t>REALIndexu</w:t>
      </w:r>
      <w:proofErr w:type="spellEnd"/>
      <w:r w:rsidR="00733809" w:rsidRPr="002A28A6">
        <w:rPr>
          <w:rFonts w:asciiTheme="minorHAnsi" w:hAnsiTheme="minorHAnsi" w:cstheme="minorHAnsi"/>
          <w:b/>
          <w:sz w:val="21"/>
          <w:szCs w:val="21"/>
        </w:rPr>
        <w:t xml:space="preserve"> porovnává data z celého tuzemského realitního trhu, zjistila, že v prvním kvartále letošního roku došlo k poklesu hodnoty </w:t>
      </w:r>
      <w:r w:rsidRPr="002A28A6">
        <w:rPr>
          <w:rFonts w:asciiTheme="minorHAnsi" w:hAnsiTheme="minorHAnsi" w:cstheme="minorHAnsi"/>
          <w:b/>
          <w:sz w:val="21"/>
          <w:szCs w:val="21"/>
        </w:rPr>
        <w:t xml:space="preserve">měřeného </w:t>
      </w:r>
      <w:r w:rsidR="00733809" w:rsidRPr="002A28A6">
        <w:rPr>
          <w:rFonts w:asciiTheme="minorHAnsi" w:hAnsiTheme="minorHAnsi" w:cstheme="minorHAnsi"/>
          <w:b/>
          <w:sz w:val="21"/>
          <w:szCs w:val="21"/>
        </w:rPr>
        <w:t xml:space="preserve">ukazatele o 13 procent. Předstihový ukazatel za březen </w:t>
      </w:r>
      <w:r w:rsidR="00536DE8" w:rsidRPr="002A28A6">
        <w:rPr>
          <w:rFonts w:asciiTheme="minorHAnsi" w:hAnsiTheme="minorHAnsi" w:cstheme="minorHAnsi"/>
          <w:b/>
          <w:sz w:val="21"/>
          <w:szCs w:val="21"/>
        </w:rPr>
        <w:t xml:space="preserve">pak </w:t>
      </w:r>
      <w:r w:rsidR="00733809" w:rsidRPr="002A28A6">
        <w:rPr>
          <w:rFonts w:asciiTheme="minorHAnsi" w:hAnsiTheme="minorHAnsi" w:cstheme="minorHAnsi"/>
          <w:b/>
          <w:sz w:val="21"/>
          <w:szCs w:val="21"/>
        </w:rPr>
        <w:t xml:space="preserve">zaznamenal stejnou hodnotu, tedy minus 13 procent. </w:t>
      </w:r>
      <w:r w:rsidR="00D63117" w:rsidRPr="002A28A6">
        <w:rPr>
          <w:rFonts w:asciiTheme="minorHAnsi" w:hAnsiTheme="minorHAnsi" w:cstheme="minorHAnsi"/>
          <w:b/>
          <w:sz w:val="21"/>
          <w:szCs w:val="21"/>
        </w:rPr>
        <w:t xml:space="preserve">Očekávání těch, kteří nemovitosti nabízí a kupujících se </w:t>
      </w:r>
      <w:r w:rsidR="00351DAB" w:rsidRPr="002A28A6">
        <w:rPr>
          <w:rFonts w:asciiTheme="minorHAnsi" w:hAnsiTheme="minorHAnsi" w:cstheme="minorHAnsi"/>
          <w:b/>
          <w:sz w:val="21"/>
          <w:szCs w:val="21"/>
        </w:rPr>
        <w:t xml:space="preserve">dál </w:t>
      </w:r>
      <w:r w:rsidR="00D63117" w:rsidRPr="002A28A6">
        <w:rPr>
          <w:rFonts w:asciiTheme="minorHAnsi" w:hAnsiTheme="minorHAnsi" w:cstheme="minorHAnsi"/>
          <w:b/>
          <w:sz w:val="21"/>
          <w:szCs w:val="21"/>
        </w:rPr>
        <w:t>prohlubuje.</w:t>
      </w:r>
    </w:p>
    <w:p w14:paraId="06359A51" w14:textId="6CF56561" w:rsidR="00733809" w:rsidRPr="002A28A6" w:rsidRDefault="00733809" w:rsidP="002A28A6">
      <w:pPr>
        <w:spacing w:after="120" w:line="252" w:lineRule="auto"/>
        <w:jc w:val="both"/>
        <w:rPr>
          <w:rFonts w:asciiTheme="minorHAnsi" w:hAnsiTheme="minorHAnsi" w:cstheme="minorHAnsi"/>
          <w:color w:val="0D0D0D" w:themeColor="text1" w:themeTint="F2"/>
          <w:sz w:val="21"/>
          <w:szCs w:val="21"/>
        </w:rPr>
      </w:pPr>
      <w:r w:rsidRPr="002A28A6">
        <w:rPr>
          <w:rFonts w:asciiTheme="minorHAnsi" w:hAnsiTheme="minorHAnsi" w:cstheme="minorHAnsi"/>
          <w:color w:val="0D0D0D" w:themeColor="text1" w:themeTint="F2"/>
          <w:sz w:val="21"/>
          <w:szCs w:val="21"/>
        </w:rPr>
        <w:t>„</w:t>
      </w:r>
      <w:r w:rsidRPr="002A28A6">
        <w:rPr>
          <w:rFonts w:asciiTheme="minorHAnsi" w:hAnsiTheme="minorHAnsi" w:cstheme="minorHAnsi"/>
          <w:i/>
          <w:color w:val="0D0D0D" w:themeColor="text1" w:themeTint="F2"/>
          <w:sz w:val="21"/>
          <w:szCs w:val="21"/>
        </w:rPr>
        <w:t>Představy o ceně, za níž se nemovitost na trhu nabízí a za kterou se finálně prodá, se čím dál více rozcházejí. Zatímco na začátku minulého roku se tento rozdíl pohyboval v průměru ještě okolo 3 procent, na jeho konci to bylo již 10 procent. Obdobný vývoj registrujeme rovněž v prvních měsících letošního roku. Tento rozdíl je přitom obdobný u bytů, tak u domů. Hlavní slovo má dnes kupující</w:t>
      </w:r>
      <w:r w:rsidRPr="002A28A6">
        <w:rPr>
          <w:rFonts w:asciiTheme="minorHAnsi" w:hAnsiTheme="minorHAnsi" w:cstheme="minorHAnsi"/>
          <w:color w:val="0D0D0D" w:themeColor="text1" w:themeTint="F2"/>
          <w:sz w:val="21"/>
          <w:szCs w:val="21"/>
        </w:rPr>
        <w:t xml:space="preserve">,“ </w:t>
      </w:r>
      <w:r w:rsidR="00FD7E42" w:rsidRPr="002A28A6">
        <w:rPr>
          <w:rFonts w:asciiTheme="minorHAnsi" w:hAnsiTheme="minorHAnsi" w:cstheme="minorHAnsi"/>
          <w:color w:val="0D0D0D" w:themeColor="text1" w:themeTint="F2"/>
          <w:sz w:val="21"/>
          <w:szCs w:val="21"/>
        </w:rPr>
        <w:t xml:space="preserve">uvádí k výsledkům </w:t>
      </w:r>
      <w:proofErr w:type="spellStart"/>
      <w:r w:rsidR="00FD7E42" w:rsidRPr="002A28A6">
        <w:rPr>
          <w:rFonts w:asciiTheme="minorHAnsi" w:hAnsiTheme="minorHAnsi" w:cstheme="minorHAnsi"/>
          <w:color w:val="0D0D0D" w:themeColor="text1" w:themeTint="F2"/>
          <w:sz w:val="21"/>
          <w:szCs w:val="21"/>
        </w:rPr>
        <w:t>REALIndexu</w:t>
      </w:r>
      <w:proofErr w:type="spellEnd"/>
      <w:r w:rsidR="00FD7E42" w:rsidRPr="002A28A6">
        <w:rPr>
          <w:rFonts w:asciiTheme="minorHAnsi" w:hAnsiTheme="minorHAnsi" w:cstheme="minorHAnsi"/>
          <w:color w:val="0D0D0D" w:themeColor="text1" w:themeTint="F2"/>
          <w:sz w:val="21"/>
          <w:szCs w:val="21"/>
        </w:rPr>
        <w:t xml:space="preserve"> za první letošní kvartál</w:t>
      </w:r>
      <w:r w:rsidRPr="002A28A6">
        <w:rPr>
          <w:rFonts w:asciiTheme="minorHAnsi" w:hAnsiTheme="minorHAnsi" w:cstheme="minorHAnsi"/>
          <w:color w:val="0D0D0D" w:themeColor="text1" w:themeTint="F2"/>
          <w:sz w:val="21"/>
          <w:szCs w:val="21"/>
        </w:rPr>
        <w:t xml:space="preserve"> </w:t>
      </w:r>
      <w:r w:rsidRPr="002A28A6">
        <w:rPr>
          <w:rFonts w:asciiTheme="minorHAnsi" w:hAnsiTheme="minorHAnsi" w:cstheme="minorHAnsi"/>
          <w:b/>
          <w:color w:val="0D0D0D" w:themeColor="text1" w:themeTint="F2"/>
          <w:sz w:val="21"/>
          <w:szCs w:val="21"/>
        </w:rPr>
        <w:t>Martin Novák, hlavní analytik Broker Consulting</w:t>
      </w:r>
      <w:r w:rsidRPr="002A28A6">
        <w:rPr>
          <w:rFonts w:asciiTheme="minorHAnsi" w:hAnsiTheme="minorHAnsi" w:cstheme="minorHAnsi"/>
          <w:color w:val="0D0D0D" w:themeColor="text1" w:themeTint="F2"/>
          <w:sz w:val="21"/>
          <w:szCs w:val="21"/>
        </w:rPr>
        <w:t>.</w:t>
      </w:r>
    </w:p>
    <w:p w14:paraId="7B2E7E2F" w14:textId="38552BF5" w:rsidR="00733809" w:rsidRPr="002A28A6" w:rsidRDefault="00733809" w:rsidP="002A28A6">
      <w:pPr>
        <w:spacing w:after="120" w:line="252" w:lineRule="auto"/>
        <w:jc w:val="both"/>
        <w:rPr>
          <w:rFonts w:asciiTheme="minorHAnsi" w:hAnsiTheme="minorHAnsi" w:cstheme="minorHAnsi"/>
          <w:color w:val="0D0D0D" w:themeColor="text1" w:themeTint="F2"/>
          <w:sz w:val="21"/>
          <w:szCs w:val="21"/>
        </w:rPr>
      </w:pPr>
      <w:r w:rsidRPr="002A28A6">
        <w:rPr>
          <w:rFonts w:asciiTheme="minorHAnsi" w:hAnsiTheme="minorHAnsi" w:cstheme="minorHAnsi"/>
          <w:color w:val="0D0D0D" w:themeColor="text1" w:themeTint="F2"/>
          <w:sz w:val="21"/>
          <w:szCs w:val="21"/>
        </w:rPr>
        <w:t>Prvotně nabízená cena činila v prvním letošním čtvrtletí v průměru hodnoty 64 550 Kč/m</w:t>
      </w:r>
      <w:r w:rsidRPr="002A28A6">
        <w:rPr>
          <w:rFonts w:asciiTheme="minorHAnsi" w:hAnsiTheme="minorHAnsi" w:cstheme="minorHAnsi"/>
          <w:color w:val="0D0D0D" w:themeColor="text1" w:themeTint="F2"/>
          <w:sz w:val="21"/>
          <w:szCs w:val="21"/>
          <w:vertAlign w:val="superscript"/>
        </w:rPr>
        <w:t>2</w:t>
      </w:r>
      <w:r w:rsidRPr="002A28A6">
        <w:rPr>
          <w:rFonts w:asciiTheme="minorHAnsi" w:hAnsiTheme="minorHAnsi" w:cstheme="minorHAnsi"/>
          <w:color w:val="0D0D0D" w:themeColor="text1" w:themeTint="F2"/>
          <w:sz w:val="21"/>
          <w:szCs w:val="21"/>
        </w:rPr>
        <w:t xml:space="preserve"> a realizovaná 55 830 Kč/m</w:t>
      </w:r>
      <w:r w:rsidRPr="002A28A6">
        <w:rPr>
          <w:rFonts w:asciiTheme="minorHAnsi" w:hAnsiTheme="minorHAnsi" w:cstheme="minorHAnsi"/>
          <w:color w:val="0D0D0D" w:themeColor="text1" w:themeTint="F2"/>
          <w:sz w:val="21"/>
          <w:szCs w:val="21"/>
          <w:vertAlign w:val="superscript"/>
        </w:rPr>
        <w:t>2</w:t>
      </w:r>
      <w:r w:rsidRPr="002A28A6">
        <w:rPr>
          <w:rFonts w:asciiTheme="minorHAnsi" w:hAnsiTheme="minorHAnsi" w:cstheme="minorHAnsi"/>
          <w:color w:val="0D0D0D" w:themeColor="text1" w:themeTint="F2"/>
          <w:sz w:val="21"/>
          <w:szCs w:val="21"/>
        </w:rPr>
        <w:t>. Broker Consulting REALIndex tak během prvních třech měsíců registruje v průměru hodnotu minus 13 procent.  U domů to bylo minus 12 a u bytů minus 14 procent.</w:t>
      </w:r>
    </w:p>
    <w:p w14:paraId="7477A5EB" w14:textId="067756CD" w:rsidR="00733809" w:rsidRPr="002A28A6" w:rsidRDefault="00733809" w:rsidP="002A28A6">
      <w:pPr>
        <w:spacing w:after="120" w:line="252" w:lineRule="auto"/>
        <w:jc w:val="both"/>
        <w:rPr>
          <w:rFonts w:asciiTheme="minorHAnsi" w:hAnsiTheme="minorHAnsi" w:cstheme="minorHAnsi"/>
          <w:color w:val="0D0D0D" w:themeColor="text1" w:themeTint="F2"/>
          <w:sz w:val="21"/>
          <w:szCs w:val="21"/>
        </w:rPr>
      </w:pPr>
      <w:r w:rsidRPr="002A28A6">
        <w:rPr>
          <w:rFonts w:asciiTheme="minorHAnsi" w:hAnsiTheme="minorHAnsi" w:cstheme="minorHAnsi"/>
          <w:color w:val="0D0D0D" w:themeColor="text1" w:themeTint="F2"/>
          <w:sz w:val="21"/>
          <w:szCs w:val="21"/>
        </w:rPr>
        <w:t xml:space="preserve">Největší snížení hodnoty </w:t>
      </w:r>
      <w:r w:rsidR="00A37A9C" w:rsidRPr="002A28A6">
        <w:rPr>
          <w:rFonts w:asciiTheme="minorHAnsi" w:hAnsiTheme="minorHAnsi" w:cstheme="minorHAnsi"/>
          <w:color w:val="0D0D0D" w:themeColor="text1" w:themeTint="F2"/>
          <w:sz w:val="21"/>
          <w:szCs w:val="21"/>
        </w:rPr>
        <w:t>index zaznamenal</w:t>
      </w:r>
      <w:r w:rsidRPr="002A28A6">
        <w:rPr>
          <w:rFonts w:asciiTheme="minorHAnsi" w:hAnsiTheme="minorHAnsi" w:cstheme="minorHAnsi"/>
          <w:color w:val="0D0D0D" w:themeColor="text1" w:themeTint="F2"/>
          <w:sz w:val="21"/>
          <w:szCs w:val="21"/>
        </w:rPr>
        <w:t xml:space="preserve"> ve sledovaném období v Pardubickém (-18 procent) a Jihočeském (- 16 procent) kraji. 15procentní pokles byl typický pro Královehradecký, Plzeňský, Ústecký a Karlovarský kraj. V Moravskoslezském, Středočeském a Libereckém kraji se jednalo o minus 13 procent. V Praze to bylo minus 12, na Vysočině minus 11 a ve Zlínském kraji minus 10 procent. Pod desetiprocentní hranici se dostal pouze Olomoucký kraj (- 9 procent).</w:t>
      </w:r>
    </w:p>
    <w:p w14:paraId="512000CC" w14:textId="7ABF9C31" w:rsidR="00733809" w:rsidRPr="000B294E" w:rsidRDefault="00733809" w:rsidP="000B294E">
      <w:pPr>
        <w:spacing w:after="120" w:line="252" w:lineRule="auto"/>
        <w:contextualSpacing/>
        <w:jc w:val="both"/>
        <w:rPr>
          <w:rFonts w:asciiTheme="minorHAnsi" w:eastAsia="Times New Roman" w:hAnsiTheme="minorHAnsi" w:cstheme="minorHAnsi"/>
          <w:color w:val="0D0D0D" w:themeColor="text1" w:themeTint="F2"/>
          <w:sz w:val="21"/>
          <w:szCs w:val="21"/>
        </w:rPr>
      </w:pPr>
      <w:r w:rsidRPr="002A28A6">
        <w:rPr>
          <w:rFonts w:asciiTheme="minorHAnsi" w:hAnsiTheme="minorHAnsi" w:cstheme="minorHAnsi"/>
          <w:color w:val="0D0D0D" w:themeColor="text1" w:themeTint="F2"/>
          <w:sz w:val="21"/>
          <w:szCs w:val="21"/>
        </w:rPr>
        <w:t xml:space="preserve">Disproporci v poklesu hodnoty ukazatele mezi Středočeským krajem a Prahou pak </w:t>
      </w:r>
      <w:r w:rsidRPr="002A28A6">
        <w:rPr>
          <w:rFonts w:asciiTheme="minorHAnsi" w:hAnsiTheme="minorHAnsi" w:cstheme="minorHAnsi"/>
          <w:b/>
          <w:color w:val="0D0D0D" w:themeColor="text1" w:themeTint="F2"/>
          <w:sz w:val="21"/>
          <w:szCs w:val="21"/>
        </w:rPr>
        <w:t xml:space="preserve">hlavní analytik Broker Consulting vysvětluje následovně: </w:t>
      </w:r>
      <w:r w:rsidRPr="002A28A6">
        <w:rPr>
          <w:rFonts w:asciiTheme="minorHAnsi" w:eastAsia="Times New Roman" w:hAnsiTheme="minorHAnsi" w:cstheme="minorHAnsi"/>
          <w:i/>
          <w:color w:val="0D0D0D" w:themeColor="text1" w:themeTint="F2"/>
          <w:sz w:val="21"/>
          <w:szCs w:val="21"/>
        </w:rPr>
        <w:t xml:space="preserve">„U Středočeského kraje může být vysvětlením jeho bezprostřední blízkost hlavnímu městu. V Praze během posledních několika let rostly ceny nemovitostí nejvíce v celé republice. Zájem o ně se tak přelil i do </w:t>
      </w:r>
      <w:r w:rsidR="00A37A9C" w:rsidRPr="002A28A6">
        <w:rPr>
          <w:rFonts w:asciiTheme="minorHAnsi" w:eastAsia="Times New Roman" w:hAnsiTheme="minorHAnsi" w:cstheme="minorHAnsi"/>
          <w:i/>
          <w:color w:val="0D0D0D" w:themeColor="text1" w:themeTint="F2"/>
          <w:sz w:val="21"/>
          <w:szCs w:val="21"/>
        </w:rPr>
        <w:t xml:space="preserve">sousedního </w:t>
      </w:r>
      <w:r w:rsidRPr="002A28A6">
        <w:rPr>
          <w:rFonts w:asciiTheme="minorHAnsi" w:eastAsia="Times New Roman" w:hAnsiTheme="minorHAnsi" w:cstheme="minorHAnsi"/>
          <w:i/>
          <w:color w:val="0D0D0D" w:themeColor="text1" w:themeTint="F2"/>
          <w:sz w:val="21"/>
          <w:szCs w:val="21"/>
        </w:rPr>
        <w:t>Středočeského kraje. V době poklesu ceny bytů a domů v metropoli spíše drží, v krajích však musejí jít prodávající dříve či později s cenou dolů</w:t>
      </w:r>
      <w:r w:rsidRPr="002A28A6">
        <w:rPr>
          <w:rFonts w:asciiTheme="minorHAnsi" w:eastAsia="Times New Roman" w:hAnsiTheme="minorHAnsi" w:cstheme="minorHAnsi"/>
          <w:color w:val="0D0D0D" w:themeColor="text1" w:themeTint="F2"/>
          <w:sz w:val="21"/>
          <w:szCs w:val="21"/>
        </w:rPr>
        <w:t>,“ říká Martin Novák.</w:t>
      </w:r>
    </w:p>
    <w:p w14:paraId="596FA4F6" w14:textId="7B2FC486" w:rsidR="00733809" w:rsidRPr="000B294E" w:rsidRDefault="00BF10BC" w:rsidP="000B294E">
      <w:pPr>
        <w:spacing w:after="120" w:line="252" w:lineRule="auto"/>
        <w:contextualSpacing/>
        <w:jc w:val="center"/>
        <w:rPr>
          <w:rFonts w:eastAsia="Times New Roman"/>
          <w:color w:val="0D0D0D" w:themeColor="text1" w:themeTint="F2"/>
        </w:rPr>
      </w:pPr>
      <w:r>
        <w:rPr>
          <w:rFonts w:eastAsia="Times New Roman"/>
          <w:noProof/>
          <w:color w:val="0D0D0D" w:themeColor="text1" w:themeTint="F2"/>
          <w:lang w:bidi="ar-SA"/>
        </w:rPr>
        <w:drawing>
          <wp:inline distT="0" distB="0" distL="0" distR="0" wp14:anchorId="6DE5496D" wp14:editId="00B780FE">
            <wp:extent cx="5556250" cy="2786100"/>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 - BC REALIndex - 1Q 2023.png"/>
                    <pic:cNvPicPr/>
                  </pic:nvPicPr>
                  <pic:blipFill>
                    <a:blip r:embed="rId24">
                      <a:extLst>
                        <a:ext uri="{28A0092B-C50C-407E-A947-70E740481C1C}">
                          <a14:useLocalDpi xmlns:a14="http://schemas.microsoft.com/office/drawing/2010/main" val="0"/>
                        </a:ext>
                      </a:extLst>
                    </a:blip>
                    <a:stretch>
                      <a:fillRect/>
                    </a:stretch>
                  </pic:blipFill>
                  <pic:spPr>
                    <a:xfrm>
                      <a:off x="0" y="0"/>
                      <a:ext cx="5599916" cy="2807996"/>
                    </a:xfrm>
                    <a:prstGeom prst="rect">
                      <a:avLst/>
                    </a:prstGeom>
                  </pic:spPr>
                </pic:pic>
              </a:graphicData>
            </a:graphic>
          </wp:inline>
        </w:drawing>
      </w:r>
    </w:p>
    <w:p w14:paraId="4A5C11B3" w14:textId="2CB38EAE" w:rsidR="00733809" w:rsidRPr="002A28A6" w:rsidRDefault="00733809" w:rsidP="000B294E">
      <w:pPr>
        <w:spacing w:after="120" w:line="252" w:lineRule="auto"/>
        <w:contextualSpacing/>
        <w:jc w:val="both"/>
        <w:rPr>
          <w:rFonts w:asciiTheme="minorHAnsi" w:eastAsia="Times New Roman" w:hAnsiTheme="minorHAnsi" w:cstheme="minorHAnsi"/>
          <w:color w:val="0D0D0D" w:themeColor="text1" w:themeTint="F2"/>
          <w:sz w:val="21"/>
          <w:szCs w:val="21"/>
        </w:rPr>
      </w:pPr>
      <w:r w:rsidRPr="002A28A6">
        <w:rPr>
          <w:rFonts w:asciiTheme="minorHAnsi" w:eastAsia="Times New Roman" w:hAnsiTheme="minorHAnsi" w:cstheme="minorHAnsi"/>
          <w:b/>
          <w:color w:val="0D0D0D" w:themeColor="text1" w:themeTint="F2"/>
          <w:sz w:val="21"/>
          <w:szCs w:val="21"/>
        </w:rPr>
        <w:t>Předstihový ukazatel za březen přitom vykázal následující hodnoty:</w:t>
      </w:r>
      <w:r w:rsidRPr="002A28A6">
        <w:rPr>
          <w:rFonts w:asciiTheme="minorHAnsi" w:eastAsia="Times New Roman" w:hAnsiTheme="minorHAnsi" w:cstheme="minorHAnsi"/>
          <w:color w:val="0D0D0D" w:themeColor="text1" w:themeTint="F2"/>
          <w:sz w:val="21"/>
          <w:szCs w:val="21"/>
        </w:rPr>
        <w:t xml:space="preserve"> REALIndex činil minus 13 procent. Nemovitost (byt, dům) se tak prodala v průměru o 13 procent levněji, než za kolik se původně nabízela. Prvotně nabízená cena dosáhla v tomto měsíci na hodnotu 64 977 Kč/m</w:t>
      </w:r>
      <w:r w:rsidRPr="002A28A6">
        <w:rPr>
          <w:rFonts w:asciiTheme="minorHAnsi" w:eastAsia="Times New Roman" w:hAnsiTheme="minorHAnsi" w:cstheme="minorHAnsi"/>
          <w:color w:val="0D0D0D" w:themeColor="text1" w:themeTint="F2"/>
          <w:sz w:val="21"/>
          <w:szCs w:val="21"/>
          <w:vertAlign w:val="superscript"/>
        </w:rPr>
        <w:t>2</w:t>
      </w:r>
      <w:r w:rsidRPr="002A28A6">
        <w:rPr>
          <w:rFonts w:asciiTheme="minorHAnsi" w:eastAsia="Times New Roman" w:hAnsiTheme="minorHAnsi" w:cstheme="minorHAnsi"/>
          <w:color w:val="0D0D0D" w:themeColor="text1" w:themeTint="F2"/>
          <w:sz w:val="21"/>
          <w:szCs w:val="21"/>
        </w:rPr>
        <w:t>. Realizovaná cena se dostala na hodnotu 56 104 Kč/m</w:t>
      </w:r>
      <w:r w:rsidRPr="002A28A6">
        <w:rPr>
          <w:rFonts w:asciiTheme="minorHAnsi" w:eastAsia="Times New Roman" w:hAnsiTheme="minorHAnsi" w:cstheme="minorHAnsi"/>
          <w:color w:val="0D0D0D" w:themeColor="text1" w:themeTint="F2"/>
          <w:sz w:val="21"/>
          <w:szCs w:val="21"/>
          <w:vertAlign w:val="superscript"/>
        </w:rPr>
        <w:t>2</w:t>
      </w:r>
      <w:r w:rsidR="00052DDF" w:rsidRPr="002A28A6">
        <w:rPr>
          <w:rFonts w:asciiTheme="minorHAnsi" w:eastAsia="Times New Roman" w:hAnsiTheme="minorHAnsi" w:cstheme="minorHAnsi"/>
          <w:color w:val="0D0D0D" w:themeColor="text1" w:themeTint="F2"/>
          <w:sz w:val="21"/>
          <w:szCs w:val="21"/>
        </w:rPr>
        <w:t>.</w:t>
      </w:r>
    </w:p>
    <w:p w14:paraId="7C2A5E94" w14:textId="18118EAB" w:rsidR="00F3211E" w:rsidRPr="002A28A6" w:rsidRDefault="00F3211E" w:rsidP="00F3211E">
      <w:pPr>
        <w:spacing w:after="360" w:line="252" w:lineRule="auto"/>
        <w:contextualSpacing/>
        <w:jc w:val="both"/>
        <w:rPr>
          <w:rFonts w:asciiTheme="minorHAnsi" w:eastAsia="Times New Roman" w:hAnsiTheme="minorHAnsi" w:cstheme="minorHAnsi"/>
          <w:color w:val="0D0D0D" w:themeColor="text1" w:themeTint="F2"/>
          <w:sz w:val="21"/>
          <w:szCs w:val="21"/>
        </w:rPr>
      </w:pPr>
    </w:p>
    <w:p w14:paraId="2ADFF2C8" w14:textId="5E28F60C" w:rsidR="00F3211E" w:rsidRPr="002A28A6" w:rsidRDefault="00F3211E" w:rsidP="00F3211E">
      <w:pPr>
        <w:spacing w:before="240" w:after="240" w:line="252" w:lineRule="auto"/>
        <w:contextualSpacing/>
        <w:jc w:val="both"/>
        <w:rPr>
          <w:rFonts w:asciiTheme="minorHAnsi" w:eastAsia="Times New Roman" w:hAnsiTheme="minorHAnsi" w:cstheme="minorHAnsi"/>
          <w:color w:val="0D0D0D" w:themeColor="text1" w:themeTint="F2"/>
          <w:sz w:val="21"/>
          <w:szCs w:val="21"/>
        </w:rPr>
      </w:pPr>
      <w:r w:rsidRPr="002A28A6">
        <w:rPr>
          <w:rFonts w:asciiTheme="minorHAnsi" w:eastAsia="Times New Roman" w:hAnsiTheme="minorHAnsi" w:cstheme="minorHAnsi"/>
          <w:noProof/>
          <w:color w:val="0D0D0D" w:themeColor="text1" w:themeTint="F2"/>
          <w:sz w:val="21"/>
          <w:szCs w:val="21"/>
          <w:lang w:bidi="ar-SA"/>
        </w:rPr>
        <w:lastRenderedPageBreak/>
        <w:drawing>
          <wp:inline distT="0" distB="0" distL="0" distR="0" wp14:anchorId="64740672" wp14:editId="6952E8A2">
            <wp:extent cx="6350326" cy="34101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 - BC REALIndex - 1Q 2023 - kraje.png"/>
                    <pic:cNvPicPr/>
                  </pic:nvPicPr>
                  <pic:blipFill>
                    <a:blip r:embed="rId25">
                      <a:extLst>
                        <a:ext uri="{28A0092B-C50C-407E-A947-70E740481C1C}">
                          <a14:useLocalDpi xmlns:a14="http://schemas.microsoft.com/office/drawing/2010/main" val="0"/>
                        </a:ext>
                      </a:extLst>
                    </a:blip>
                    <a:stretch>
                      <a:fillRect/>
                    </a:stretch>
                  </pic:blipFill>
                  <pic:spPr>
                    <a:xfrm>
                      <a:off x="0" y="0"/>
                      <a:ext cx="6350326" cy="3410125"/>
                    </a:xfrm>
                    <a:prstGeom prst="rect">
                      <a:avLst/>
                    </a:prstGeom>
                  </pic:spPr>
                </pic:pic>
              </a:graphicData>
            </a:graphic>
          </wp:inline>
        </w:drawing>
      </w:r>
    </w:p>
    <w:p w14:paraId="16CE2762" w14:textId="7BC8BDA1" w:rsidR="00A507F9" w:rsidRDefault="00B262F3" w:rsidP="002A28A6">
      <w:pPr>
        <w:pBdr>
          <w:bottom w:val="single" w:sz="4" w:space="1" w:color="auto"/>
        </w:pBdr>
        <w:spacing w:before="120" w:after="120"/>
        <w:jc w:val="both"/>
        <w:rPr>
          <w:rFonts w:asciiTheme="minorHAnsi" w:eastAsia="Times New Roman" w:hAnsiTheme="minorHAnsi" w:cstheme="minorHAnsi"/>
          <w:color w:val="0D0D0D" w:themeColor="text1" w:themeTint="F2"/>
          <w:sz w:val="21"/>
          <w:szCs w:val="21"/>
        </w:rPr>
      </w:pPr>
      <w:r w:rsidRPr="002A28A6">
        <w:rPr>
          <w:rFonts w:asciiTheme="minorHAnsi" w:hAnsiTheme="minorHAnsi" w:cstheme="minorHAnsi"/>
          <w:sz w:val="21"/>
          <w:szCs w:val="21"/>
        </w:rPr>
        <w:t>Vedle prohlubování</w:t>
      </w:r>
      <w:r w:rsidR="00733809" w:rsidRPr="002A28A6">
        <w:rPr>
          <w:rFonts w:asciiTheme="minorHAnsi" w:hAnsiTheme="minorHAnsi" w:cstheme="minorHAnsi"/>
          <w:sz w:val="21"/>
          <w:szCs w:val="21"/>
        </w:rPr>
        <w:t xml:space="preserve"> </w:t>
      </w:r>
      <w:r w:rsidRPr="002A28A6">
        <w:rPr>
          <w:rFonts w:asciiTheme="minorHAnsi" w:hAnsiTheme="minorHAnsi" w:cstheme="minorHAnsi"/>
          <w:sz w:val="21"/>
          <w:szCs w:val="21"/>
        </w:rPr>
        <w:t>rozdílu</w:t>
      </w:r>
      <w:r w:rsidR="00733809" w:rsidRPr="002A28A6">
        <w:rPr>
          <w:rFonts w:asciiTheme="minorHAnsi" w:hAnsiTheme="minorHAnsi" w:cstheme="minorHAnsi"/>
          <w:sz w:val="21"/>
          <w:szCs w:val="21"/>
        </w:rPr>
        <w:t xml:space="preserve"> mezi prvotně nabízenou a realizovanou ceno</w:t>
      </w:r>
      <w:r w:rsidRPr="002A28A6">
        <w:rPr>
          <w:rFonts w:asciiTheme="minorHAnsi" w:hAnsiTheme="minorHAnsi" w:cstheme="minorHAnsi"/>
          <w:sz w:val="21"/>
          <w:szCs w:val="21"/>
        </w:rPr>
        <w:t>u nemovitosti</w:t>
      </w:r>
      <w:r w:rsidR="00733809" w:rsidRPr="002A28A6">
        <w:rPr>
          <w:rFonts w:asciiTheme="minorHAnsi" w:hAnsiTheme="minorHAnsi" w:cstheme="minorHAnsi"/>
          <w:sz w:val="21"/>
          <w:szCs w:val="21"/>
        </w:rPr>
        <w:t>,</w:t>
      </w:r>
      <w:r w:rsidRPr="002A28A6">
        <w:rPr>
          <w:rFonts w:asciiTheme="minorHAnsi" w:hAnsiTheme="minorHAnsi" w:cstheme="minorHAnsi"/>
          <w:sz w:val="21"/>
          <w:szCs w:val="21"/>
        </w:rPr>
        <w:t xml:space="preserve"> v Česku</w:t>
      </w:r>
      <w:r w:rsidR="00733809" w:rsidRPr="002A28A6">
        <w:rPr>
          <w:rFonts w:asciiTheme="minorHAnsi" w:hAnsiTheme="minorHAnsi" w:cstheme="minorHAnsi"/>
          <w:sz w:val="21"/>
          <w:szCs w:val="21"/>
        </w:rPr>
        <w:t xml:space="preserve"> </w:t>
      </w:r>
      <w:r w:rsidRPr="002A28A6">
        <w:rPr>
          <w:rFonts w:asciiTheme="minorHAnsi" w:hAnsiTheme="minorHAnsi" w:cstheme="minorHAnsi"/>
          <w:sz w:val="21"/>
          <w:szCs w:val="21"/>
        </w:rPr>
        <w:t xml:space="preserve">pokračuje také </w:t>
      </w:r>
      <w:r w:rsidR="00733809" w:rsidRPr="002A28A6">
        <w:rPr>
          <w:rFonts w:asciiTheme="minorHAnsi" w:hAnsiTheme="minorHAnsi" w:cstheme="minorHAnsi"/>
          <w:sz w:val="21"/>
          <w:szCs w:val="21"/>
        </w:rPr>
        <w:t xml:space="preserve">nová bytová </w:t>
      </w:r>
      <w:r w:rsidRPr="002A28A6">
        <w:rPr>
          <w:rFonts w:asciiTheme="minorHAnsi" w:hAnsiTheme="minorHAnsi" w:cstheme="minorHAnsi"/>
          <w:sz w:val="21"/>
          <w:szCs w:val="21"/>
        </w:rPr>
        <w:t>výstavba</w:t>
      </w:r>
      <w:r w:rsidR="00733809" w:rsidRPr="002A28A6">
        <w:rPr>
          <w:rFonts w:asciiTheme="minorHAnsi" w:hAnsiTheme="minorHAnsi" w:cstheme="minorHAnsi"/>
          <w:sz w:val="21"/>
          <w:szCs w:val="21"/>
        </w:rPr>
        <w:t xml:space="preserve">. </w:t>
      </w:r>
      <w:r w:rsidR="00733809" w:rsidRPr="002A28A6">
        <w:rPr>
          <w:rFonts w:asciiTheme="minorHAnsi" w:hAnsiTheme="minorHAnsi" w:cstheme="minorHAnsi"/>
          <w:i/>
          <w:color w:val="0D0D0D" w:themeColor="text1" w:themeTint="F2"/>
          <w:sz w:val="21"/>
          <w:szCs w:val="21"/>
        </w:rPr>
        <w:t>„Projekty se nadále chystají</w:t>
      </w:r>
      <w:r w:rsidR="00D63117" w:rsidRPr="002A28A6">
        <w:rPr>
          <w:rFonts w:asciiTheme="minorHAnsi" w:hAnsiTheme="minorHAnsi" w:cstheme="minorHAnsi"/>
          <w:i/>
          <w:color w:val="0D0D0D" w:themeColor="text1" w:themeTint="F2"/>
          <w:sz w:val="21"/>
          <w:szCs w:val="21"/>
        </w:rPr>
        <w:t xml:space="preserve"> a staví</w:t>
      </w:r>
      <w:r w:rsidR="00733809" w:rsidRPr="002A28A6">
        <w:rPr>
          <w:rFonts w:asciiTheme="minorHAnsi" w:hAnsiTheme="minorHAnsi" w:cstheme="minorHAnsi"/>
          <w:i/>
          <w:color w:val="0D0D0D" w:themeColor="text1" w:themeTint="F2"/>
          <w:sz w:val="21"/>
          <w:szCs w:val="21"/>
        </w:rPr>
        <w:t xml:space="preserve">. Ovlivňuje je však  odlišná situace, než na kterou jsme byli developeři zvyklí v situaci nízkých úrokových sazeb u hypoték. </w:t>
      </w:r>
      <w:r w:rsidR="00733809" w:rsidRPr="002A28A6">
        <w:rPr>
          <w:rFonts w:asciiTheme="minorHAnsi" w:eastAsia="Times New Roman" w:hAnsiTheme="minorHAnsi" w:cstheme="minorHAnsi"/>
          <w:i/>
          <w:color w:val="0D0D0D" w:themeColor="text1" w:themeTint="F2"/>
          <w:sz w:val="21"/>
          <w:szCs w:val="21"/>
        </w:rPr>
        <w:t>Největší výhodu mají nyní samozřejmě společnosti, které mohou financovat projekty převážně ze svých zdrojů. Developeři mají díky tomu více času na realizaci i samotný prodej a nemusí být pod takovým tlakem. Výhodou projektů, které se realizují nebo plánují pod taktovkou Broker Consulting, je, že jsou převážně financovány z vlastních zdrojů</w:t>
      </w:r>
      <w:r w:rsidR="00733809" w:rsidRPr="002A28A6">
        <w:rPr>
          <w:rFonts w:asciiTheme="minorHAnsi" w:eastAsia="Times New Roman" w:hAnsiTheme="minorHAnsi" w:cstheme="minorHAnsi"/>
          <w:color w:val="0D0D0D" w:themeColor="text1" w:themeTint="F2"/>
          <w:sz w:val="21"/>
          <w:szCs w:val="21"/>
        </w:rPr>
        <w:t>,“</w:t>
      </w:r>
      <w:r w:rsidR="00733809" w:rsidRPr="002A28A6">
        <w:rPr>
          <w:rFonts w:asciiTheme="minorHAnsi" w:eastAsia="Times New Roman" w:hAnsiTheme="minorHAnsi" w:cstheme="minorHAnsi"/>
          <w:color w:val="FF0000"/>
          <w:sz w:val="21"/>
          <w:szCs w:val="21"/>
        </w:rPr>
        <w:t xml:space="preserve"> </w:t>
      </w:r>
      <w:r w:rsidR="00733809" w:rsidRPr="002A28A6">
        <w:rPr>
          <w:rFonts w:asciiTheme="minorHAnsi" w:eastAsia="Times New Roman" w:hAnsiTheme="minorHAnsi" w:cstheme="minorHAnsi"/>
          <w:sz w:val="21"/>
          <w:szCs w:val="21"/>
        </w:rPr>
        <w:t>dodává k tomu</w:t>
      </w:r>
      <w:r w:rsidR="00733809" w:rsidRPr="002A28A6">
        <w:rPr>
          <w:rFonts w:asciiTheme="minorHAnsi" w:eastAsia="Times New Roman" w:hAnsiTheme="minorHAnsi" w:cstheme="minorHAnsi"/>
          <w:b/>
          <w:i/>
          <w:sz w:val="21"/>
          <w:szCs w:val="21"/>
        </w:rPr>
        <w:t xml:space="preserve"> </w:t>
      </w:r>
      <w:r w:rsidR="00733809" w:rsidRPr="002A28A6">
        <w:rPr>
          <w:rFonts w:asciiTheme="minorHAnsi" w:eastAsia="Times New Roman" w:hAnsiTheme="minorHAnsi" w:cstheme="minorHAnsi"/>
          <w:b/>
          <w:color w:val="0D0D0D" w:themeColor="text1" w:themeTint="F2"/>
          <w:sz w:val="21"/>
          <w:szCs w:val="21"/>
        </w:rPr>
        <w:t>Kristýna Viktora, vedoucí realitního oddělení Broker Consulting</w:t>
      </w:r>
      <w:r w:rsidR="00733809" w:rsidRPr="002A28A6">
        <w:rPr>
          <w:rFonts w:asciiTheme="minorHAnsi" w:eastAsia="Times New Roman" w:hAnsiTheme="minorHAnsi" w:cstheme="minorHAnsi"/>
          <w:color w:val="0D0D0D" w:themeColor="text1" w:themeTint="F2"/>
          <w:sz w:val="21"/>
          <w:szCs w:val="21"/>
        </w:rPr>
        <w:t>.</w:t>
      </w:r>
    </w:p>
    <w:p w14:paraId="5F1FCC63" w14:textId="77777777" w:rsidR="002A28A6" w:rsidRPr="002A28A6" w:rsidRDefault="002A28A6" w:rsidP="002A28A6">
      <w:pPr>
        <w:pBdr>
          <w:bottom w:val="single" w:sz="4" w:space="1" w:color="auto"/>
        </w:pBdr>
        <w:spacing w:before="120" w:after="120"/>
        <w:jc w:val="both"/>
        <w:rPr>
          <w:rFonts w:asciiTheme="minorHAnsi" w:eastAsia="Times New Roman" w:hAnsiTheme="minorHAnsi" w:cstheme="minorHAnsi"/>
          <w:color w:val="0D0D0D" w:themeColor="text1" w:themeTint="F2"/>
          <w:sz w:val="2"/>
          <w:szCs w:val="2"/>
        </w:rPr>
      </w:pPr>
    </w:p>
    <w:p w14:paraId="5FCDCA69" w14:textId="674B88CD" w:rsidR="00A92255" w:rsidRPr="002A28A6" w:rsidRDefault="00A92255" w:rsidP="00A507F9">
      <w:pPr>
        <w:spacing w:before="120" w:after="120"/>
        <w:jc w:val="both"/>
        <w:rPr>
          <w:rFonts w:asciiTheme="minorHAnsi" w:hAnsiTheme="minorHAnsi" w:cstheme="minorHAnsi"/>
          <w:sz w:val="21"/>
          <w:szCs w:val="21"/>
        </w:rPr>
      </w:pPr>
      <w:r w:rsidRPr="002A28A6">
        <w:rPr>
          <w:rFonts w:asciiTheme="minorHAnsi" w:hAnsiTheme="minorHAnsi" w:cstheme="minorHAnsi"/>
          <w:b/>
          <w:bCs/>
          <w:sz w:val="21"/>
          <w:szCs w:val="21"/>
        </w:rPr>
        <w:t>Broker Consulting REALIndex</w:t>
      </w:r>
      <w:r w:rsidRPr="002A28A6">
        <w:rPr>
          <w:rFonts w:asciiTheme="minorHAnsi" w:hAnsiTheme="minorHAnsi" w:cstheme="minorHAnsi"/>
          <w:sz w:val="21"/>
          <w:szCs w:val="21"/>
        </w:rPr>
        <w:t xml:space="preserve"> je analytický nástroj, který porovnává data z celého realitního trhu. Vyjadřuje rozdíl mezi realizační (prodejní) a prvotně nabízenou cenou nemovitosti. Díky tomu věrně ukazuje, jaký je na trhu soulad mezi nabídkou a poptávkou, tedy do jaké míry očekávání nabízejících odpovídají tomu, za kolik jsou zájemci ochotni nemovitost pořídit. Sleduje hodnoty pro byty, domy vyhodnocuje je na úrovni jednotlivých krajů. Součástí výchozí datové databáze jsou i developerské projekty, které ale již byly zrealizovány a zároveň prodány prvním majitelům. Výhodou uvedené metodiky je skutečnost, že se do statistiky dostávají pouze skutečně realizované transakce, díky čemuž nedochází ke zkreslení. Výpočet je také očištěn od extrémních hodnot, které by mohly způsobit</w:t>
      </w:r>
      <w:r w:rsidR="00827B76" w:rsidRPr="002A28A6">
        <w:rPr>
          <w:rFonts w:asciiTheme="minorHAnsi" w:hAnsiTheme="minorHAnsi" w:cstheme="minorHAnsi"/>
          <w:sz w:val="21"/>
          <w:szCs w:val="21"/>
        </w:rPr>
        <w:t xml:space="preserve"> </w:t>
      </w:r>
      <w:r w:rsidRPr="002A28A6">
        <w:rPr>
          <w:rFonts w:asciiTheme="minorHAnsi" w:hAnsiTheme="minorHAnsi" w:cstheme="minorHAnsi"/>
          <w:sz w:val="21"/>
          <w:szCs w:val="21"/>
        </w:rPr>
        <w:t>zk</w:t>
      </w:r>
      <w:r w:rsidR="00486A7D" w:rsidRPr="002A28A6">
        <w:rPr>
          <w:rFonts w:asciiTheme="minorHAnsi" w:hAnsiTheme="minorHAnsi" w:cstheme="minorHAnsi"/>
          <w:sz w:val="21"/>
          <w:szCs w:val="21"/>
        </w:rPr>
        <w:t xml:space="preserve">reslení </w:t>
      </w:r>
      <w:r w:rsidR="00423A87" w:rsidRPr="002A28A6">
        <w:rPr>
          <w:rFonts w:asciiTheme="minorHAnsi" w:hAnsiTheme="minorHAnsi" w:cstheme="minorHAnsi"/>
          <w:sz w:val="21"/>
          <w:szCs w:val="21"/>
        </w:rPr>
        <w:t>hodnot</w:t>
      </w:r>
      <w:r w:rsidRPr="002A28A6">
        <w:rPr>
          <w:rFonts w:asciiTheme="minorHAnsi" w:hAnsiTheme="minorHAnsi" w:cstheme="minorHAnsi"/>
          <w:sz w:val="21"/>
          <w:szCs w:val="21"/>
        </w:rPr>
        <w:t>.</w:t>
      </w:r>
      <w:r w:rsidR="00486A7D" w:rsidRPr="002A28A6">
        <w:rPr>
          <w:rFonts w:asciiTheme="minorHAnsi" w:hAnsiTheme="minorHAnsi" w:cstheme="minorHAnsi"/>
          <w:sz w:val="21"/>
          <w:szCs w:val="21"/>
        </w:rPr>
        <w:t xml:space="preserve"> Výsledky </w:t>
      </w:r>
      <w:proofErr w:type="spellStart"/>
      <w:r w:rsidR="00486A7D" w:rsidRPr="002A28A6">
        <w:rPr>
          <w:rFonts w:asciiTheme="minorHAnsi" w:hAnsiTheme="minorHAnsi" w:cstheme="minorHAnsi"/>
          <w:sz w:val="21"/>
          <w:szCs w:val="21"/>
        </w:rPr>
        <w:t>REALIndexu</w:t>
      </w:r>
      <w:proofErr w:type="spellEnd"/>
      <w:r w:rsidR="00486A7D" w:rsidRPr="002A28A6">
        <w:rPr>
          <w:rFonts w:asciiTheme="minorHAnsi" w:hAnsiTheme="minorHAnsi" w:cstheme="minorHAnsi"/>
          <w:sz w:val="21"/>
          <w:szCs w:val="21"/>
        </w:rPr>
        <w:t xml:space="preserve"> budou vydávány vždy za předchozí čtvrtletí roku.</w:t>
      </w:r>
    </w:p>
    <w:p w14:paraId="6E0D1007" w14:textId="68E97098" w:rsidR="00A92255" w:rsidRPr="002A28A6" w:rsidRDefault="00A92255" w:rsidP="002A28A6">
      <w:pPr>
        <w:spacing w:before="120"/>
        <w:jc w:val="both"/>
        <w:rPr>
          <w:rFonts w:asciiTheme="minorHAnsi" w:hAnsiTheme="minorHAnsi" w:cstheme="minorHAnsi"/>
          <w:sz w:val="21"/>
          <w:szCs w:val="21"/>
        </w:rPr>
      </w:pPr>
      <w:r w:rsidRPr="002A28A6">
        <w:rPr>
          <w:rFonts w:asciiTheme="minorHAnsi" w:hAnsiTheme="minorHAnsi" w:cstheme="minorHAnsi"/>
          <w:b/>
          <w:sz w:val="21"/>
          <w:szCs w:val="21"/>
        </w:rPr>
        <w:t xml:space="preserve">Předstihový ukazatel Broker Consulting </w:t>
      </w:r>
      <w:proofErr w:type="spellStart"/>
      <w:r w:rsidRPr="002A28A6">
        <w:rPr>
          <w:rFonts w:asciiTheme="minorHAnsi" w:hAnsiTheme="minorHAnsi" w:cstheme="minorHAnsi"/>
          <w:b/>
          <w:sz w:val="21"/>
          <w:szCs w:val="21"/>
        </w:rPr>
        <w:t>REALIndexu</w:t>
      </w:r>
      <w:proofErr w:type="spellEnd"/>
      <w:r w:rsidRPr="002A28A6">
        <w:rPr>
          <w:rFonts w:asciiTheme="minorHAnsi" w:hAnsiTheme="minorHAnsi" w:cstheme="minorHAnsi"/>
          <w:sz w:val="21"/>
          <w:szCs w:val="21"/>
        </w:rPr>
        <w:t xml:space="preserve"> je analytický predikční nástroj, který předpovídá hodnoty nabízených a realizovaných cen nemovitostí v předchozích měsících na základě aproximačního modelu a re</w:t>
      </w:r>
      <w:r w:rsidR="00827B76" w:rsidRPr="002A28A6">
        <w:rPr>
          <w:rFonts w:asciiTheme="minorHAnsi" w:hAnsiTheme="minorHAnsi" w:cstheme="minorHAnsi"/>
          <w:sz w:val="21"/>
          <w:szCs w:val="21"/>
        </w:rPr>
        <w:t>aguje tak na potřebu aktuálního výhledu do</w:t>
      </w:r>
      <w:r w:rsidRPr="002A28A6">
        <w:rPr>
          <w:rFonts w:asciiTheme="minorHAnsi" w:hAnsiTheme="minorHAnsi" w:cstheme="minorHAnsi"/>
          <w:sz w:val="21"/>
          <w:szCs w:val="21"/>
        </w:rPr>
        <w:t xml:space="preserve"> situace na realitním trhu. Jeho výpočet vychází z databáze </w:t>
      </w:r>
      <w:r w:rsidR="0059695E" w:rsidRPr="002A28A6">
        <w:rPr>
          <w:rFonts w:asciiTheme="minorHAnsi" w:hAnsiTheme="minorHAnsi" w:cstheme="minorHAnsi"/>
          <w:sz w:val="21"/>
          <w:szCs w:val="21"/>
        </w:rPr>
        <w:t xml:space="preserve">s daty ze spárovaných i z nespárovaných nemovitostí </w:t>
      </w:r>
      <w:r w:rsidRPr="002A28A6">
        <w:rPr>
          <w:rFonts w:asciiTheme="minorHAnsi" w:hAnsiTheme="minorHAnsi" w:cstheme="minorHAnsi"/>
          <w:sz w:val="21"/>
          <w:szCs w:val="21"/>
        </w:rPr>
        <w:t xml:space="preserve">a podléhá metodice interního algoritmu. Ukazatel bude pravidelnou součástí tiskové zprávy </w:t>
      </w:r>
      <w:proofErr w:type="spellStart"/>
      <w:r w:rsidRPr="002A28A6">
        <w:rPr>
          <w:rFonts w:asciiTheme="minorHAnsi" w:hAnsiTheme="minorHAnsi" w:cstheme="minorHAnsi"/>
          <w:sz w:val="21"/>
          <w:szCs w:val="21"/>
        </w:rPr>
        <w:t>REALIndexu</w:t>
      </w:r>
      <w:proofErr w:type="spellEnd"/>
      <w:r w:rsidRPr="002A28A6">
        <w:rPr>
          <w:rFonts w:asciiTheme="minorHAnsi" w:hAnsiTheme="minorHAnsi" w:cstheme="minorHAnsi"/>
          <w:sz w:val="21"/>
          <w:szCs w:val="21"/>
        </w:rPr>
        <w:t xml:space="preserve">, který bude k danému vydáván s měsíční periodicitou. </w:t>
      </w:r>
    </w:p>
    <w:p w14:paraId="062CBC01" w14:textId="17CDF639" w:rsidR="00A92255" w:rsidRPr="002A28A6" w:rsidRDefault="00A92255" w:rsidP="005E069A">
      <w:pPr>
        <w:spacing w:before="120"/>
        <w:jc w:val="both"/>
        <w:rPr>
          <w:rFonts w:asciiTheme="minorHAnsi" w:hAnsiTheme="minorHAnsi" w:cstheme="minorHAnsi"/>
          <w:b/>
          <w:bCs/>
          <w:sz w:val="21"/>
          <w:szCs w:val="21"/>
        </w:rPr>
      </w:pPr>
      <w:r w:rsidRPr="002A28A6">
        <w:rPr>
          <w:rFonts w:asciiTheme="minorHAnsi" w:hAnsiTheme="minorHAnsi" w:cstheme="minorHAnsi"/>
          <w:b/>
          <w:bCs/>
          <w:sz w:val="21"/>
          <w:szCs w:val="21"/>
        </w:rPr>
        <w:t>Proč je dobré Broker Consulting REALIndex sledovat?</w:t>
      </w:r>
    </w:p>
    <w:p w14:paraId="7D3535B8" w14:textId="2993D048" w:rsidR="00A92255" w:rsidRPr="002A28A6" w:rsidRDefault="00A92255" w:rsidP="00A92255">
      <w:pPr>
        <w:jc w:val="both"/>
        <w:rPr>
          <w:rFonts w:asciiTheme="minorHAnsi" w:hAnsiTheme="minorHAnsi" w:cstheme="minorHAnsi"/>
          <w:color w:val="0D0D0D"/>
          <w:sz w:val="21"/>
          <w:szCs w:val="21"/>
        </w:rPr>
      </w:pPr>
      <w:r w:rsidRPr="002A28A6">
        <w:rPr>
          <w:rFonts w:asciiTheme="minorHAnsi" w:hAnsiTheme="minorHAnsi" w:cstheme="minorHAnsi"/>
          <w:b/>
          <w:bCs/>
          <w:sz w:val="21"/>
          <w:szCs w:val="21"/>
        </w:rPr>
        <w:t>Broker Consulting REALIndex</w:t>
      </w:r>
      <w:r w:rsidRPr="002A28A6">
        <w:rPr>
          <w:rFonts w:asciiTheme="minorHAnsi" w:hAnsiTheme="minorHAnsi" w:cstheme="minorHAnsi"/>
          <w:sz w:val="21"/>
          <w:szCs w:val="21"/>
        </w:rPr>
        <w:t xml:space="preserve"> </w:t>
      </w:r>
      <w:r w:rsidR="003774E4" w:rsidRPr="002A28A6">
        <w:rPr>
          <w:rFonts w:asciiTheme="minorHAnsi" w:hAnsiTheme="minorHAnsi" w:cstheme="minorHAnsi"/>
          <w:sz w:val="21"/>
          <w:szCs w:val="21"/>
        </w:rPr>
        <w:t xml:space="preserve">má zásadní význam jak pro prodávající, tak samotné zájemce o bydlení. </w:t>
      </w:r>
      <w:r w:rsidRPr="002A28A6">
        <w:rPr>
          <w:rFonts w:asciiTheme="minorHAnsi" w:hAnsiTheme="minorHAnsi" w:cstheme="minorHAnsi"/>
          <w:sz w:val="21"/>
          <w:szCs w:val="21"/>
        </w:rPr>
        <w:t>Na jedné straně ukazuje, jaké jsou ve sledovaném čtvrtletním období reálně inzerované ceny daných nemovitostí, na druhé straně vypovídá o zájmu kupujících, tedy za kolik jsou v průměru ochotni tyto nemovitosti ve sledovaném období pořídit. Index má za cíl ukazovat vývoj v oblasti bydlení, které patří k </w:t>
      </w:r>
      <w:r w:rsidRPr="002A28A6">
        <w:rPr>
          <w:rFonts w:asciiTheme="minorHAnsi" w:hAnsiTheme="minorHAnsi" w:cstheme="minorHAnsi"/>
          <w:color w:val="0D0D0D"/>
          <w:sz w:val="21"/>
          <w:szCs w:val="21"/>
        </w:rPr>
        <w:t>základním potřebám dopadajícím na kvalitu života a odrážejícím současné potřeby lidí. Vydáván bude vždy za předchozí kvartální období.</w:t>
      </w:r>
    </w:p>
    <w:p w14:paraId="081149DD" w14:textId="1A4B59FC" w:rsidR="00CF7819" w:rsidRPr="002A28A6" w:rsidRDefault="00CF7819" w:rsidP="00CF7819">
      <w:pPr>
        <w:pBdr>
          <w:bottom w:val="single" w:sz="4" w:space="1" w:color="auto"/>
        </w:pBdr>
        <w:jc w:val="both"/>
        <w:rPr>
          <w:rFonts w:asciiTheme="minorHAnsi" w:hAnsiTheme="minorHAnsi" w:cstheme="minorHAnsi"/>
          <w:sz w:val="21"/>
          <w:szCs w:val="21"/>
        </w:rPr>
      </w:pPr>
    </w:p>
    <w:p w14:paraId="6AF53FD1" w14:textId="2DF7EA58" w:rsidR="00B51F55" w:rsidRPr="002A28A6" w:rsidRDefault="000B294E" w:rsidP="00A507F9">
      <w:pPr>
        <w:spacing w:before="120"/>
        <w:rPr>
          <w:rFonts w:asciiTheme="minorHAnsi" w:hAnsiTheme="minorHAnsi" w:cstheme="minorHAnsi"/>
          <w:sz w:val="21"/>
          <w:szCs w:val="21"/>
        </w:rPr>
      </w:pPr>
      <w:r>
        <w:rPr>
          <w:rFonts w:asciiTheme="minorHAnsi" w:hAnsiTheme="minorHAnsi" w:cstheme="minorHAnsi"/>
          <w:b/>
          <w:sz w:val="21"/>
          <w:szCs w:val="21"/>
        </w:rPr>
        <w:br/>
      </w:r>
      <w:r w:rsidR="00B51F55" w:rsidRPr="002A28A6">
        <w:rPr>
          <w:rFonts w:asciiTheme="minorHAnsi" w:hAnsiTheme="minorHAnsi" w:cstheme="minorHAnsi"/>
          <w:b/>
          <w:sz w:val="21"/>
          <w:szCs w:val="21"/>
        </w:rPr>
        <w:lastRenderedPageBreak/>
        <w:t>Poznámka pro média:</w:t>
      </w:r>
      <w:r w:rsidR="00B51F55" w:rsidRPr="002A28A6">
        <w:rPr>
          <w:rFonts w:asciiTheme="minorHAnsi" w:hAnsiTheme="minorHAnsi" w:cstheme="minorHAnsi"/>
          <w:sz w:val="21"/>
          <w:szCs w:val="21"/>
        </w:rPr>
        <w:t xml:space="preserve"> </w:t>
      </w:r>
      <w:r w:rsidR="00B51F55" w:rsidRPr="002A28A6">
        <w:rPr>
          <w:rFonts w:asciiTheme="minorHAnsi" w:hAnsiTheme="minorHAnsi" w:cstheme="minorHAnsi"/>
          <w:color w:val="1D1D1B"/>
          <w:w w:val="105"/>
          <w:sz w:val="21"/>
          <w:szCs w:val="21"/>
        </w:rPr>
        <w:t>Broker</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w w:val="105"/>
          <w:sz w:val="21"/>
          <w:szCs w:val="21"/>
        </w:rPr>
        <w:t>Consulting</w:t>
      </w:r>
      <w:r w:rsidR="00B51F55" w:rsidRPr="002A28A6">
        <w:rPr>
          <w:rFonts w:asciiTheme="minorHAnsi" w:hAnsiTheme="minorHAnsi" w:cstheme="minorHAnsi"/>
          <w:color w:val="1D1D1B"/>
          <w:spacing w:val="-8"/>
          <w:w w:val="105"/>
          <w:sz w:val="21"/>
          <w:szCs w:val="21"/>
        </w:rPr>
        <w:t xml:space="preserve"> </w:t>
      </w:r>
      <w:r w:rsidR="00B51F55" w:rsidRPr="002A28A6">
        <w:rPr>
          <w:rFonts w:asciiTheme="minorHAnsi" w:hAnsiTheme="minorHAnsi" w:cstheme="minorHAnsi"/>
          <w:color w:val="1D1D1B"/>
          <w:w w:val="105"/>
          <w:sz w:val="21"/>
          <w:szCs w:val="21"/>
        </w:rPr>
        <w:t>Indexy</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w w:val="105"/>
          <w:sz w:val="21"/>
          <w:szCs w:val="21"/>
        </w:rPr>
        <w:t>je</w:t>
      </w:r>
      <w:r w:rsidR="00B51F55" w:rsidRPr="002A28A6">
        <w:rPr>
          <w:rFonts w:asciiTheme="minorHAnsi" w:hAnsiTheme="minorHAnsi" w:cstheme="minorHAnsi"/>
          <w:color w:val="1D1D1B"/>
          <w:spacing w:val="-8"/>
          <w:w w:val="105"/>
          <w:sz w:val="21"/>
          <w:szCs w:val="21"/>
        </w:rPr>
        <w:t xml:space="preserve"> </w:t>
      </w:r>
      <w:r w:rsidR="00B51F55" w:rsidRPr="002A28A6">
        <w:rPr>
          <w:rFonts w:asciiTheme="minorHAnsi" w:hAnsiTheme="minorHAnsi" w:cstheme="minorHAnsi"/>
          <w:color w:val="1D1D1B"/>
          <w:w w:val="105"/>
          <w:sz w:val="21"/>
          <w:szCs w:val="21"/>
        </w:rPr>
        <w:t>možné</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w w:val="105"/>
          <w:sz w:val="21"/>
          <w:szCs w:val="21"/>
        </w:rPr>
        <w:t>volně</w:t>
      </w:r>
      <w:r w:rsidR="00B51F55" w:rsidRPr="002A28A6">
        <w:rPr>
          <w:rFonts w:asciiTheme="minorHAnsi" w:hAnsiTheme="minorHAnsi" w:cstheme="minorHAnsi"/>
          <w:color w:val="1D1D1B"/>
          <w:spacing w:val="-8"/>
          <w:w w:val="105"/>
          <w:sz w:val="21"/>
          <w:szCs w:val="21"/>
        </w:rPr>
        <w:t xml:space="preserve"> </w:t>
      </w:r>
      <w:r w:rsidR="00B51F55" w:rsidRPr="002A28A6">
        <w:rPr>
          <w:rFonts w:asciiTheme="minorHAnsi" w:hAnsiTheme="minorHAnsi" w:cstheme="minorHAnsi"/>
          <w:color w:val="1D1D1B"/>
          <w:spacing w:val="2"/>
          <w:w w:val="105"/>
          <w:sz w:val="21"/>
          <w:szCs w:val="21"/>
        </w:rPr>
        <w:t>publikovat</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w w:val="105"/>
          <w:sz w:val="21"/>
          <w:szCs w:val="21"/>
        </w:rPr>
        <w:t>pouze</w:t>
      </w:r>
      <w:r w:rsidR="00B51F55" w:rsidRPr="002A28A6">
        <w:rPr>
          <w:rFonts w:asciiTheme="minorHAnsi" w:hAnsiTheme="minorHAnsi" w:cstheme="minorHAnsi"/>
          <w:color w:val="1D1D1B"/>
          <w:spacing w:val="-8"/>
          <w:w w:val="105"/>
          <w:sz w:val="21"/>
          <w:szCs w:val="21"/>
        </w:rPr>
        <w:t xml:space="preserve"> </w:t>
      </w:r>
      <w:r w:rsidR="00B51F55" w:rsidRPr="002A28A6">
        <w:rPr>
          <w:rFonts w:asciiTheme="minorHAnsi" w:hAnsiTheme="minorHAnsi" w:cstheme="minorHAnsi"/>
          <w:color w:val="1D1D1B"/>
          <w:w w:val="105"/>
          <w:sz w:val="21"/>
          <w:szCs w:val="21"/>
        </w:rPr>
        <w:t>s</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w w:val="105"/>
          <w:sz w:val="21"/>
          <w:szCs w:val="21"/>
        </w:rPr>
        <w:t>označením</w:t>
      </w:r>
      <w:r w:rsidR="00B51F55" w:rsidRPr="002A28A6">
        <w:rPr>
          <w:rFonts w:asciiTheme="minorHAnsi" w:hAnsiTheme="minorHAnsi" w:cstheme="minorHAnsi"/>
          <w:color w:val="1D1D1B"/>
          <w:spacing w:val="-8"/>
          <w:w w:val="105"/>
          <w:sz w:val="21"/>
          <w:szCs w:val="21"/>
        </w:rPr>
        <w:t xml:space="preserve"> </w:t>
      </w:r>
      <w:r w:rsidR="00B51F55" w:rsidRPr="002A28A6">
        <w:rPr>
          <w:rFonts w:asciiTheme="minorHAnsi" w:hAnsiTheme="minorHAnsi" w:cstheme="minorHAnsi"/>
          <w:color w:val="1D1D1B"/>
          <w:w w:val="105"/>
          <w:sz w:val="21"/>
          <w:szCs w:val="21"/>
        </w:rPr>
        <w:t>„Broker</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w w:val="105"/>
          <w:sz w:val="21"/>
          <w:szCs w:val="21"/>
        </w:rPr>
        <w:t>Consulting</w:t>
      </w:r>
      <w:r>
        <w:rPr>
          <w:rFonts w:asciiTheme="minorHAnsi" w:hAnsiTheme="minorHAnsi" w:cstheme="minorHAnsi"/>
          <w:color w:val="1D1D1B"/>
          <w:spacing w:val="-8"/>
          <w:w w:val="105"/>
          <w:sz w:val="21"/>
          <w:szCs w:val="21"/>
        </w:rPr>
        <w:t xml:space="preserve"> </w:t>
      </w:r>
      <w:r w:rsidR="00B51F55" w:rsidRPr="002A28A6">
        <w:rPr>
          <w:rFonts w:asciiTheme="minorHAnsi" w:hAnsiTheme="minorHAnsi" w:cstheme="minorHAnsi"/>
          <w:color w:val="1D1D1B"/>
          <w:w w:val="105"/>
          <w:sz w:val="21"/>
          <w:szCs w:val="21"/>
        </w:rPr>
        <w:t>Index“</w:t>
      </w:r>
      <w:r w:rsidR="00B51F55" w:rsidRPr="002A28A6">
        <w:rPr>
          <w:rFonts w:asciiTheme="minorHAnsi" w:hAnsiTheme="minorHAnsi" w:cstheme="minorHAnsi"/>
          <w:color w:val="1D1D1B"/>
          <w:spacing w:val="-9"/>
          <w:w w:val="105"/>
          <w:sz w:val="21"/>
          <w:szCs w:val="21"/>
        </w:rPr>
        <w:t xml:space="preserve"> </w:t>
      </w:r>
      <w:r w:rsidR="00B51F55" w:rsidRPr="002A28A6">
        <w:rPr>
          <w:rFonts w:asciiTheme="minorHAnsi" w:hAnsiTheme="minorHAnsi" w:cstheme="minorHAnsi"/>
          <w:color w:val="1D1D1B"/>
          <w:spacing w:val="-3"/>
          <w:w w:val="105"/>
          <w:sz w:val="21"/>
          <w:szCs w:val="21"/>
        </w:rPr>
        <w:t>(</w:t>
      </w:r>
      <w:r w:rsidR="00B51F55" w:rsidRPr="002A28A6">
        <w:rPr>
          <w:rFonts w:asciiTheme="minorHAnsi" w:hAnsiTheme="minorHAnsi" w:cstheme="minorHAnsi"/>
          <w:i/>
          <w:color w:val="1D1D1B"/>
          <w:spacing w:val="-3"/>
          <w:w w:val="105"/>
          <w:sz w:val="21"/>
          <w:szCs w:val="21"/>
        </w:rPr>
        <w:t>např.</w:t>
      </w:r>
      <w:r w:rsidR="00B51F55" w:rsidRPr="002A28A6">
        <w:rPr>
          <w:rFonts w:asciiTheme="minorHAnsi" w:hAnsiTheme="minorHAnsi" w:cstheme="minorHAnsi"/>
          <w:i/>
          <w:color w:val="1D1D1B"/>
          <w:spacing w:val="-8"/>
          <w:w w:val="105"/>
          <w:sz w:val="21"/>
          <w:szCs w:val="21"/>
        </w:rPr>
        <w:t xml:space="preserve"> </w:t>
      </w:r>
      <w:r w:rsidR="00B51F55" w:rsidRPr="002A28A6">
        <w:rPr>
          <w:rFonts w:asciiTheme="minorHAnsi" w:hAnsiTheme="minorHAnsi" w:cstheme="minorHAnsi"/>
          <w:i/>
          <w:color w:val="1D1D1B"/>
          <w:w w:val="105"/>
          <w:sz w:val="21"/>
          <w:szCs w:val="21"/>
        </w:rPr>
        <w:t>Broker</w:t>
      </w:r>
      <w:r w:rsidR="00B51F55" w:rsidRPr="002A28A6">
        <w:rPr>
          <w:rFonts w:asciiTheme="minorHAnsi" w:hAnsiTheme="minorHAnsi" w:cstheme="minorHAnsi"/>
          <w:i/>
          <w:color w:val="1D1D1B"/>
          <w:spacing w:val="-9"/>
          <w:w w:val="105"/>
          <w:sz w:val="21"/>
          <w:szCs w:val="21"/>
        </w:rPr>
        <w:t xml:space="preserve"> </w:t>
      </w:r>
      <w:r w:rsidR="00B51F55" w:rsidRPr="002A28A6">
        <w:rPr>
          <w:rFonts w:asciiTheme="minorHAnsi" w:hAnsiTheme="minorHAnsi" w:cstheme="minorHAnsi"/>
          <w:i/>
          <w:color w:val="1D1D1B"/>
          <w:w w:val="105"/>
          <w:sz w:val="21"/>
          <w:szCs w:val="21"/>
        </w:rPr>
        <w:t>Consulting</w:t>
      </w:r>
      <w:r w:rsidR="00B51F55" w:rsidRPr="002A28A6">
        <w:rPr>
          <w:rFonts w:asciiTheme="minorHAnsi" w:hAnsiTheme="minorHAnsi" w:cstheme="minorHAnsi"/>
          <w:i/>
          <w:color w:val="1D1D1B"/>
          <w:spacing w:val="-8"/>
          <w:w w:val="105"/>
          <w:sz w:val="21"/>
          <w:szCs w:val="21"/>
        </w:rPr>
        <w:t xml:space="preserve"> Index </w:t>
      </w:r>
      <w:r w:rsidR="00B51F55" w:rsidRPr="002A28A6">
        <w:rPr>
          <w:rFonts w:asciiTheme="minorHAnsi" w:hAnsiTheme="minorHAnsi" w:cstheme="minorHAnsi"/>
          <w:i/>
          <w:color w:val="1D1D1B"/>
          <w:w w:val="105"/>
          <w:sz w:val="21"/>
          <w:szCs w:val="21"/>
        </w:rPr>
        <w:t>hypoteční</w:t>
      </w:r>
      <w:r w:rsidR="00B51F55" w:rsidRPr="002A28A6">
        <w:rPr>
          <w:rFonts w:asciiTheme="minorHAnsi" w:hAnsiTheme="minorHAnsi" w:cstheme="minorHAnsi"/>
          <w:i/>
          <w:color w:val="1D1D1B"/>
          <w:spacing w:val="-9"/>
          <w:w w:val="105"/>
          <w:sz w:val="21"/>
          <w:szCs w:val="21"/>
        </w:rPr>
        <w:t>ch úvěrů</w:t>
      </w:r>
      <w:r w:rsidR="00B51F55" w:rsidRPr="002A28A6">
        <w:rPr>
          <w:rFonts w:asciiTheme="minorHAnsi" w:hAnsiTheme="minorHAnsi" w:cstheme="minorHAnsi"/>
          <w:i/>
          <w:color w:val="1D1D1B"/>
          <w:w w:val="105"/>
          <w:sz w:val="21"/>
          <w:szCs w:val="21"/>
        </w:rPr>
        <w:t xml:space="preserve">). Více informací najdete též na webu </w:t>
      </w:r>
      <w:r w:rsidR="00B51F55" w:rsidRPr="002A28A6">
        <w:rPr>
          <w:rStyle w:val="Hypertextovodkaz"/>
          <w:rFonts w:asciiTheme="minorHAnsi" w:hAnsiTheme="minorHAnsi" w:cstheme="minorHAnsi"/>
          <w:i/>
          <w:w w:val="105"/>
          <w:sz w:val="21"/>
          <w:szCs w:val="21"/>
        </w:rPr>
        <w:t>https://www.bcas.cz/onas/pro-media/</w:t>
      </w:r>
      <w:r w:rsidR="00B51F55" w:rsidRPr="002A28A6">
        <w:rPr>
          <w:rFonts w:asciiTheme="minorHAnsi" w:hAnsiTheme="minorHAnsi" w:cstheme="minorHAnsi"/>
          <w:i/>
          <w:color w:val="1D1D1B"/>
          <w:w w:val="105"/>
          <w:sz w:val="21"/>
          <w:szCs w:val="21"/>
        </w:rPr>
        <w:t xml:space="preserve">. </w:t>
      </w:r>
    </w:p>
    <w:p w14:paraId="685A4AD2" w14:textId="77777777" w:rsidR="00B51F55" w:rsidRPr="002A28A6" w:rsidRDefault="00B51F55" w:rsidP="008F3C6D">
      <w:pPr>
        <w:jc w:val="both"/>
        <w:rPr>
          <w:rFonts w:asciiTheme="minorHAnsi" w:hAnsiTheme="minorHAnsi" w:cstheme="minorHAnsi"/>
          <w:sz w:val="21"/>
          <w:szCs w:val="21"/>
        </w:rPr>
      </w:pPr>
    </w:p>
    <w:p w14:paraId="1039ED98" w14:textId="77777777" w:rsidR="008F3C6D" w:rsidRPr="002A28A6" w:rsidRDefault="008F3C6D" w:rsidP="008F3C6D">
      <w:pPr>
        <w:jc w:val="both"/>
        <w:rPr>
          <w:rFonts w:asciiTheme="minorHAnsi" w:eastAsia="Calibri" w:hAnsiTheme="minorHAnsi" w:cstheme="minorHAnsi"/>
          <w:b/>
          <w:bCs/>
          <w:noProof/>
          <w:sz w:val="21"/>
          <w:szCs w:val="21"/>
        </w:rPr>
      </w:pPr>
    </w:p>
    <w:p w14:paraId="195CA202" w14:textId="77777777" w:rsidR="008F3C6D" w:rsidRPr="002A28A6" w:rsidRDefault="008F3C6D" w:rsidP="008F3C6D">
      <w:pPr>
        <w:rPr>
          <w:rFonts w:asciiTheme="minorHAnsi" w:eastAsia="Calibri" w:hAnsiTheme="minorHAnsi" w:cstheme="minorHAnsi"/>
          <w:b/>
          <w:bCs/>
          <w:noProof/>
          <w:sz w:val="21"/>
          <w:szCs w:val="21"/>
        </w:rPr>
      </w:pPr>
      <w:r w:rsidRPr="002A28A6">
        <w:rPr>
          <w:rFonts w:asciiTheme="minorHAnsi" w:eastAsia="Calibri" w:hAnsiTheme="minorHAnsi" w:cstheme="minorHAnsi"/>
          <w:b/>
          <w:bCs/>
          <w:noProof/>
          <w:sz w:val="21"/>
          <w:szCs w:val="21"/>
        </w:rPr>
        <w:t>Kontakt pro média:</w:t>
      </w:r>
    </w:p>
    <w:p w14:paraId="78012E24" w14:textId="77777777" w:rsidR="0053079B" w:rsidRPr="002A28A6" w:rsidRDefault="0053079B" w:rsidP="0053079B">
      <w:pPr>
        <w:rPr>
          <w:rFonts w:asciiTheme="minorHAnsi" w:eastAsia="Calibri" w:hAnsiTheme="minorHAnsi" w:cstheme="minorHAnsi"/>
          <w:bCs/>
          <w:noProof/>
          <w:sz w:val="21"/>
          <w:szCs w:val="21"/>
        </w:rPr>
      </w:pPr>
    </w:p>
    <w:p w14:paraId="60542279" w14:textId="77777777" w:rsidR="0053079B" w:rsidRPr="002A28A6" w:rsidRDefault="0053079B" w:rsidP="0053079B">
      <w:pPr>
        <w:spacing w:after="60"/>
        <w:rPr>
          <w:rFonts w:asciiTheme="minorHAnsi" w:eastAsia="Calibri" w:hAnsiTheme="minorHAnsi" w:cstheme="minorHAnsi"/>
          <w:bCs/>
          <w:noProof/>
          <w:sz w:val="21"/>
          <w:szCs w:val="21"/>
          <w:lang w:bidi="ar-SA"/>
        </w:rPr>
      </w:pPr>
      <w:r w:rsidRPr="002A28A6">
        <w:rPr>
          <w:rFonts w:asciiTheme="minorHAnsi" w:eastAsia="Calibri" w:hAnsiTheme="minorHAnsi" w:cstheme="minorHAnsi"/>
          <w:bCs/>
          <w:noProof/>
          <w:sz w:val="21"/>
          <w:szCs w:val="21"/>
        </w:rPr>
        <w:t>Michaela Sahulová</w:t>
      </w:r>
    </w:p>
    <w:p w14:paraId="16BB5E7E" w14:textId="77777777" w:rsidR="0053079B" w:rsidRPr="002A28A6" w:rsidRDefault="0053079B" w:rsidP="0053079B">
      <w:pPr>
        <w:pStyle w:val="Bezmezer"/>
        <w:rPr>
          <w:rFonts w:eastAsia="Calibri" w:cstheme="minorHAnsi"/>
          <w:noProof/>
          <w:sz w:val="21"/>
          <w:szCs w:val="21"/>
        </w:rPr>
      </w:pPr>
      <w:r w:rsidRPr="002A28A6">
        <w:rPr>
          <w:rFonts w:eastAsia="Calibri" w:cstheme="minorHAnsi"/>
          <w:noProof/>
          <w:sz w:val="21"/>
          <w:szCs w:val="21"/>
        </w:rPr>
        <w:t>Specialistka PR a externí komunikace</w:t>
      </w:r>
    </w:p>
    <w:p w14:paraId="2D24B5C8" w14:textId="77777777" w:rsidR="0053079B" w:rsidRPr="002A28A6" w:rsidRDefault="0053079B" w:rsidP="0053079B">
      <w:pPr>
        <w:rPr>
          <w:rFonts w:asciiTheme="minorHAnsi" w:eastAsiaTheme="minorEastAsia" w:hAnsiTheme="minorHAnsi" w:cstheme="minorHAnsi"/>
          <w:noProof/>
          <w:color w:val="000000" w:themeColor="text1"/>
          <w:sz w:val="21"/>
          <w:szCs w:val="21"/>
          <w:lang w:bidi="ar-SA"/>
        </w:rPr>
      </w:pPr>
      <w:r w:rsidRPr="002A28A6">
        <w:rPr>
          <w:rFonts w:asciiTheme="minorHAnsi" w:eastAsiaTheme="minorEastAsia" w:hAnsiTheme="minorHAnsi" w:cstheme="minorHAnsi"/>
          <w:noProof/>
          <w:color w:val="000000" w:themeColor="text1"/>
          <w:sz w:val="21"/>
          <w:szCs w:val="21"/>
        </w:rPr>
        <w:t>tel.: +420 731 538 373</w:t>
      </w:r>
    </w:p>
    <w:p w14:paraId="745E815C" w14:textId="77777777" w:rsidR="0053079B" w:rsidRPr="002A28A6" w:rsidRDefault="0053079B" w:rsidP="0053079B">
      <w:pPr>
        <w:rPr>
          <w:rFonts w:asciiTheme="minorHAnsi" w:eastAsia="Calibri" w:hAnsiTheme="minorHAnsi" w:cstheme="minorHAnsi"/>
          <w:noProof/>
          <w:sz w:val="21"/>
          <w:szCs w:val="21"/>
        </w:rPr>
      </w:pPr>
      <w:r w:rsidRPr="002A28A6">
        <w:rPr>
          <w:rFonts w:asciiTheme="minorHAnsi" w:eastAsia="Calibri" w:hAnsiTheme="minorHAnsi" w:cstheme="minorHAnsi"/>
          <w:noProof/>
          <w:sz w:val="21"/>
          <w:szCs w:val="21"/>
        </w:rPr>
        <w:t xml:space="preserve">E-mail: </w:t>
      </w:r>
      <w:hyperlink r:id="rId26" w:history="1">
        <w:r w:rsidRPr="002A28A6">
          <w:rPr>
            <w:rStyle w:val="Hypertextovodkaz"/>
            <w:rFonts w:asciiTheme="minorHAnsi" w:eastAsia="Calibri" w:hAnsiTheme="minorHAnsi" w:cstheme="minorHAnsi"/>
            <w:noProof/>
            <w:sz w:val="21"/>
            <w:szCs w:val="21"/>
          </w:rPr>
          <w:t>michaela.sahulova@bcas.cz</w:t>
        </w:r>
      </w:hyperlink>
      <w:r w:rsidRPr="002A28A6">
        <w:rPr>
          <w:rFonts w:asciiTheme="minorHAnsi" w:eastAsia="Calibri" w:hAnsiTheme="minorHAnsi" w:cstheme="minorHAnsi"/>
          <w:noProof/>
          <w:sz w:val="21"/>
          <w:szCs w:val="21"/>
        </w:rPr>
        <w:t xml:space="preserve"> </w:t>
      </w:r>
    </w:p>
    <w:p w14:paraId="1FBC071D" w14:textId="77777777" w:rsidR="00FA6B22" w:rsidRPr="002A28A6" w:rsidRDefault="00FA6B22" w:rsidP="008F3C6D">
      <w:pPr>
        <w:rPr>
          <w:rFonts w:asciiTheme="minorHAnsi" w:eastAsia="Calibri" w:hAnsiTheme="minorHAnsi" w:cstheme="minorHAnsi"/>
          <w:noProof/>
          <w:sz w:val="21"/>
          <w:szCs w:val="21"/>
        </w:rPr>
      </w:pPr>
    </w:p>
    <w:p w14:paraId="5BCE3D52" w14:textId="77777777" w:rsidR="008F3C6D" w:rsidRPr="002A28A6" w:rsidRDefault="008F3C6D" w:rsidP="008F3C6D">
      <w:pPr>
        <w:jc w:val="both"/>
        <w:rPr>
          <w:rFonts w:asciiTheme="minorHAnsi" w:hAnsiTheme="minorHAnsi" w:cstheme="minorHAnsi"/>
          <w:sz w:val="21"/>
          <w:szCs w:val="21"/>
        </w:rPr>
      </w:pPr>
    </w:p>
    <w:p w14:paraId="12134AC2" w14:textId="77777777" w:rsidR="008F3C6D" w:rsidRPr="002A28A6" w:rsidRDefault="008F3C6D" w:rsidP="008F3C6D">
      <w:pPr>
        <w:jc w:val="both"/>
        <w:rPr>
          <w:rFonts w:asciiTheme="minorHAnsi" w:hAnsiTheme="minorHAnsi" w:cstheme="minorHAnsi"/>
          <w:b/>
          <w:bCs/>
          <w:color w:val="FF0000"/>
          <w:sz w:val="21"/>
          <w:szCs w:val="21"/>
        </w:rPr>
      </w:pPr>
    </w:p>
    <w:sectPr w:rsidR="008F3C6D" w:rsidRPr="002A28A6" w:rsidSect="002A28A6">
      <w:type w:val="continuous"/>
      <w:pgSz w:w="11910" w:h="16840"/>
      <w:pgMar w:top="960" w:right="740" w:bottom="2127" w:left="720" w:header="0" w:footer="11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39DA5" w14:textId="77777777" w:rsidR="00AB2A66" w:rsidRDefault="00AB2A66">
      <w:r>
        <w:separator/>
      </w:r>
    </w:p>
  </w:endnote>
  <w:endnote w:type="continuationSeparator" w:id="0">
    <w:p w14:paraId="5492F708" w14:textId="77777777" w:rsidR="00AB2A66" w:rsidRDefault="00AB2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562997"/>
      <w:docPartObj>
        <w:docPartGallery w:val="Page Numbers (Bottom of Page)"/>
        <w:docPartUnique/>
      </w:docPartObj>
    </w:sdtPr>
    <w:sdtEndPr/>
    <w:sdtContent>
      <w:p w14:paraId="2C67E737" w14:textId="647D47DD" w:rsidR="002A28A6" w:rsidRDefault="002A28A6">
        <w:pPr>
          <w:pStyle w:val="Zpat"/>
          <w:jc w:val="center"/>
        </w:pPr>
        <w:r>
          <w:fldChar w:fldCharType="begin"/>
        </w:r>
        <w:r>
          <w:instrText>PAGE   \* MERGEFORMAT</w:instrText>
        </w:r>
        <w:r>
          <w:fldChar w:fldCharType="separate"/>
        </w:r>
        <w:r w:rsidR="006A03E2">
          <w:rPr>
            <w:noProof/>
          </w:rPr>
          <w:t>2</w:t>
        </w:r>
        <w:r>
          <w:fldChar w:fldCharType="end"/>
        </w:r>
      </w:p>
    </w:sdtContent>
  </w:sdt>
  <w:p w14:paraId="01CE9966" w14:textId="573F247E" w:rsidR="00D80B6D" w:rsidRPr="002A28A6" w:rsidRDefault="00D80B6D" w:rsidP="002A28A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910AD" w14:textId="77777777" w:rsidR="00AB2A66" w:rsidRDefault="00AB2A66">
      <w:r>
        <w:separator/>
      </w:r>
    </w:p>
  </w:footnote>
  <w:footnote w:type="continuationSeparator" w:id="0">
    <w:p w14:paraId="01D74F3A" w14:textId="77777777" w:rsidR="00AB2A66" w:rsidRDefault="00AB2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A92255" w:rsidRDefault="00D80B6D" w:rsidP="00E95698">
    <w:pPr>
      <w:tabs>
        <w:tab w:val="left" w:pos="8633"/>
      </w:tabs>
      <w:spacing w:before="80"/>
      <w:ind w:firstLine="2880"/>
      <w:rPr>
        <w:rFonts w:asciiTheme="minorHAnsi" w:hAnsiTheme="minorHAnsi" w:cstheme="minorHAnsi"/>
        <w:sz w:val="52"/>
      </w:rPr>
    </w:pPr>
    <w:r w:rsidRPr="00A92255">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A92255">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A92255">
      <w:rPr>
        <w:rFonts w:asciiTheme="minorHAnsi" w:hAnsiTheme="minorHAnsi" w:cstheme="minorHAnsi"/>
        <w:color w:val="1D1D1B"/>
        <w:sz w:val="48"/>
      </w:rPr>
      <w:t xml:space="preserve">BROKER CONSULTING </w:t>
    </w:r>
    <w:r w:rsidRPr="00A92255">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AE08" w14:textId="047A4FE1" w:rsidR="00300CFA" w:rsidRPr="00B65A3B" w:rsidRDefault="00300CFA" w:rsidP="00300CFA">
    <w:pPr>
      <w:pStyle w:val="Nadpis2"/>
      <w:ind w:left="1440" w:firstLine="720"/>
      <w:rPr>
        <w:rFonts w:ascii="Arial" w:hAnsi="Arial" w:cs="Arial"/>
      </w:rPr>
    </w:pPr>
    <w:r w:rsidRPr="00B65A3B">
      <w:rPr>
        <w:rFonts w:ascii="Arial" w:hAnsi="Arial" w:cs="Arial"/>
        <w:noProof/>
        <w:lang w:bidi="ar-SA"/>
      </w:rPr>
      <w:drawing>
        <wp:anchor distT="0" distB="0" distL="0" distR="0" simplePos="0" relativeHeight="251668480" behindDoc="0" locked="0" layoutInCell="1" allowOverlap="1" wp14:anchorId="144E0D53" wp14:editId="0EA21442">
          <wp:simplePos x="0" y="0"/>
          <wp:positionH relativeFrom="margin">
            <wp:posOffset>6216650</wp:posOffset>
          </wp:positionH>
          <wp:positionV relativeFrom="paragraph">
            <wp:posOffset>-133985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noProof/>
        <w:lang w:bidi="ar-SA"/>
      </w:rPr>
      <mc:AlternateContent>
        <mc:Choice Requires="wps">
          <w:drawing>
            <wp:anchor distT="0" distB="0" distL="114300" distR="114300" simplePos="0" relativeHeight="251666432" behindDoc="0" locked="0" layoutInCell="1" allowOverlap="1" wp14:anchorId="1D326C39" wp14:editId="326E97C8">
              <wp:simplePos x="0" y="0"/>
              <wp:positionH relativeFrom="page">
                <wp:posOffset>1589405</wp:posOffset>
              </wp:positionH>
              <wp:positionV relativeFrom="paragraph">
                <wp:posOffset>74295</wp:posOffset>
              </wp:positionV>
              <wp:extent cx="0" cy="450850"/>
              <wp:effectExtent l="8255" t="12065" r="10795" b="13335"/>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3C95B" id="Line 3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" strokecolor="#cd1719" strokeweight="1pt">
              <w10:wrap anchorx="page"/>
            </v:line>
          </w:pict>
        </mc:Fallback>
      </mc:AlternateContent>
    </w:r>
    <w:r w:rsidRPr="00B65A3B">
      <w:rPr>
        <w:rFonts w:ascii="Arial" w:hAnsi="Arial" w:cs="Arial"/>
        <w:noProof/>
        <w:lang w:bidi="ar-SA"/>
      </w:rPr>
      <w:drawing>
        <wp:anchor distT="0" distB="0" distL="0" distR="0" simplePos="0" relativeHeight="251665408" behindDoc="0" locked="0" layoutInCell="1" allowOverlap="1" wp14:anchorId="57C19BA9" wp14:editId="397D9197">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52262A52" w14:textId="3BB483F2" w:rsidR="00300CFA" w:rsidRPr="009F59EE" w:rsidRDefault="00300CFA" w:rsidP="00300CFA">
    <w:pPr>
      <w:spacing w:before="85"/>
      <w:ind w:left="1440" w:firstLine="720"/>
      <w:rPr>
        <w:rFonts w:ascii="Arial" w:hAnsi="Arial" w:cs="Arial"/>
        <w:sz w:val="28"/>
        <w:szCs w:val="28"/>
      </w:rPr>
    </w:pPr>
    <w:r>
      <w:rPr>
        <w:rFonts w:ascii="Arial" w:hAnsi="Arial" w:cs="Arial"/>
        <w:color w:val="E52713"/>
        <w:sz w:val="28"/>
        <w:szCs w:val="28"/>
      </w:rPr>
      <w:t xml:space="preserve">REALINDEX </w:t>
    </w:r>
  </w:p>
  <w:p w14:paraId="72203E2C" w14:textId="77777777" w:rsidR="00300CFA" w:rsidRDefault="00300CF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38A102A0" w:rsidR="00B65A3B" w:rsidRDefault="00A92255" w:rsidP="00B65A3B">
    <w:pPr>
      <w:spacing w:before="85"/>
      <w:ind w:left="1440" w:firstLine="720"/>
      <w:rPr>
        <w:rFonts w:ascii="Arial" w:hAnsi="Arial" w:cs="Arial"/>
        <w:color w:val="E52713"/>
        <w:sz w:val="28"/>
        <w:szCs w:val="28"/>
      </w:rPr>
    </w:pPr>
    <w:r>
      <w:rPr>
        <w:rFonts w:ascii="Arial" w:hAnsi="Arial" w:cs="Arial"/>
        <w:color w:val="E52713"/>
        <w:sz w:val="28"/>
        <w:szCs w:val="28"/>
      </w:rPr>
      <w:t>REALIndex</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5772DB5B" w:rsidR="00D80B6D" w:rsidRPr="009F59EE" w:rsidRDefault="00A92255" w:rsidP="009F59EE">
    <w:pPr>
      <w:spacing w:before="85"/>
      <w:ind w:left="1440" w:firstLine="720"/>
      <w:rPr>
        <w:rFonts w:ascii="Arial" w:hAnsi="Arial" w:cs="Arial"/>
        <w:sz w:val="28"/>
        <w:szCs w:val="28"/>
      </w:rPr>
    </w:pPr>
    <w:r>
      <w:rPr>
        <w:rFonts w:ascii="Arial" w:hAnsi="Arial" w:cs="Arial"/>
        <w:color w:val="E52713"/>
        <w:sz w:val="28"/>
        <w:szCs w:val="28"/>
      </w:rPr>
      <w:t>REALIndex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48A951F8"/>
    <w:multiLevelType w:val="hybridMultilevel"/>
    <w:tmpl w:val="43F44B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68136D"/>
    <w:multiLevelType w:val="hybridMultilevel"/>
    <w:tmpl w:val="1C461D50"/>
    <w:lvl w:ilvl="0" w:tplc="BDF01E0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8DA077C"/>
    <w:multiLevelType w:val="hybridMultilevel"/>
    <w:tmpl w:val="9710AA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17E7F"/>
    <w:rsid w:val="00020EC7"/>
    <w:rsid w:val="00022715"/>
    <w:rsid w:val="00024241"/>
    <w:rsid w:val="00024AC6"/>
    <w:rsid w:val="00026F23"/>
    <w:rsid w:val="000276A7"/>
    <w:rsid w:val="000277AC"/>
    <w:rsid w:val="00032D94"/>
    <w:rsid w:val="00036C73"/>
    <w:rsid w:val="000374D7"/>
    <w:rsid w:val="000400E4"/>
    <w:rsid w:val="0004010D"/>
    <w:rsid w:val="00045B39"/>
    <w:rsid w:val="00050AB8"/>
    <w:rsid w:val="0005252A"/>
    <w:rsid w:val="00052DDF"/>
    <w:rsid w:val="0005423A"/>
    <w:rsid w:val="00057018"/>
    <w:rsid w:val="000611E3"/>
    <w:rsid w:val="000618FE"/>
    <w:rsid w:val="00061ABB"/>
    <w:rsid w:val="000629D6"/>
    <w:rsid w:val="00070675"/>
    <w:rsid w:val="000766E7"/>
    <w:rsid w:val="00080552"/>
    <w:rsid w:val="00080ADE"/>
    <w:rsid w:val="00081616"/>
    <w:rsid w:val="00083A5A"/>
    <w:rsid w:val="000853D4"/>
    <w:rsid w:val="00087263"/>
    <w:rsid w:val="0009776B"/>
    <w:rsid w:val="000B0D84"/>
    <w:rsid w:val="000B294E"/>
    <w:rsid w:val="000B2E5D"/>
    <w:rsid w:val="000B2F39"/>
    <w:rsid w:val="000B5339"/>
    <w:rsid w:val="000B54E5"/>
    <w:rsid w:val="000C0090"/>
    <w:rsid w:val="000C1853"/>
    <w:rsid w:val="000C3BC8"/>
    <w:rsid w:val="000C4C77"/>
    <w:rsid w:val="000D145E"/>
    <w:rsid w:val="000D14E2"/>
    <w:rsid w:val="000D5F5D"/>
    <w:rsid w:val="000D7A4D"/>
    <w:rsid w:val="000E0EEC"/>
    <w:rsid w:val="000E168E"/>
    <w:rsid w:val="000E3D86"/>
    <w:rsid w:val="000E6BDB"/>
    <w:rsid w:val="000F0BA4"/>
    <w:rsid w:val="000F1EC4"/>
    <w:rsid w:val="000F29D1"/>
    <w:rsid w:val="000F6249"/>
    <w:rsid w:val="00103543"/>
    <w:rsid w:val="001069A1"/>
    <w:rsid w:val="0010739A"/>
    <w:rsid w:val="00111C28"/>
    <w:rsid w:val="00112079"/>
    <w:rsid w:val="00112D65"/>
    <w:rsid w:val="001130B7"/>
    <w:rsid w:val="00114F7B"/>
    <w:rsid w:val="0012386D"/>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1C91"/>
    <w:rsid w:val="001767A5"/>
    <w:rsid w:val="00180051"/>
    <w:rsid w:val="00182B07"/>
    <w:rsid w:val="0018460D"/>
    <w:rsid w:val="00185BBE"/>
    <w:rsid w:val="001901D0"/>
    <w:rsid w:val="00191B34"/>
    <w:rsid w:val="001925C8"/>
    <w:rsid w:val="00192716"/>
    <w:rsid w:val="00192C2A"/>
    <w:rsid w:val="00193550"/>
    <w:rsid w:val="00194C95"/>
    <w:rsid w:val="001A54DD"/>
    <w:rsid w:val="001B296D"/>
    <w:rsid w:val="001B29C7"/>
    <w:rsid w:val="001B501B"/>
    <w:rsid w:val="001B745F"/>
    <w:rsid w:val="001D015A"/>
    <w:rsid w:val="001D1A72"/>
    <w:rsid w:val="001D3DFC"/>
    <w:rsid w:val="001D4EA8"/>
    <w:rsid w:val="001D6965"/>
    <w:rsid w:val="001E22F1"/>
    <w:rsid w:val="001E3BDE"/>
    <w:rsid w:val="001E3D5F"/>
    <w:rsid w:val="001E3FBF"/>
    <w:rsid w:val="001E4209"/>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28A6"/>
    <w:rsid w:val="002A3F19"/>
    <w:rsid w:val="002A6FA3"/>
    <w:rsid w:val="002A7325"/>
    <w:rsid w:val="002B0728"/>
    <w:rsid w:val="002B1317"/>
    <w:rsid w:val="002B4208"/>
    <w:rsid w:val="002B7DA9"/>
    <w:rsid w:val="002B7F6D"/>
    <w:rsid w:val="002C0240"/>
    <w:rsid w:val="002C4A25"/>
    <w:rsid w:val="002D1619"/>
    <w:rsid w:val="002D42A3"/>
    <w:rsid w:val="002D6D20"/>
    <w:rsid w:val="002E1ABC"/>
    <w:rsid w:val="002E633F"/>
    <w:rsid w:val="002F002B"/>
    <w:rsid w:val="002F05B2"/>
    <w:rsid w:val="002F0793"/>
    <w:rsid w:val="002F3FCA"/>
    <w:rsid w:val="002F485A"/>
    <w:rsid w:val="002F56BD"/>
    <w:rsid w:val="002F6F82"/>
    <w:rsid w:val="002F7EC2"/>
    <w:rsid w:val="003001F4"/>
    <w:rsid w:val="003001FC"/>
    <w:rsid w:val="00300CFA"/>
    <w:rsid w:val="003028DB"/>
    <w:rsid w:val="003055CB"/>
    <w:rsid w:val="00306EEA"/>
    <w:rsid w:val="00306FE1"/>
    <w:rsid w:val="00307E95"/>
    <w:rsid w:val="00310BEB"/>
    <w:rsid w:val="00311F45"/>
    <w:rsid w:val="0031287A"/>
    <w:rsid w:val="003128F8"/>
    <w:rsid w:val="00312F4B"/>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1DAB"/>
    <w:rsid w:val="00355366"/>
    <w:rsid w:val="00356752"/>
    <w:rsid w:val="00361D44"/>
    <w:rsid w:val="003629B6"/>
    <w:rsid w:val="003705A1"/>
    <w:rsid w:val="00370C35"/>
    <w:rsid w:val="003721AD"/>
    <w:rsid w:val="0037300C"/>
    <w:rsid w:val="00374182"/>
    <w:rsid w:val="003774E4"/>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53BB"/>
    <w:rsid w:val="004075C9"/>
    <w:rsid w:val="004116FD"/>
    <w:rsid w:val="0042193A"/>
    <w:rsid w:val="00423A87"/>
    <w:rsid w:val="0043347D"/>
    <w:rsid w:val="004336E4"/>
    <w:rsid w:val="00433F20"/>
    <w:rsid w:val="00435342"/>
    <w:rsid w:val="004376B0"/>
    <w:rsid w:val="00445D0A"/>
    <w:rsid w:val="004501B9"/>
    <w:rsid w:val="00453CFE"/>
    <w:rsid w:val="00454843"/>
    <w:rsid w:val="004556BB"/>
    <w:rsid w:val="00455F65"/>
    <w:rsid w:val="00457FFE"/>
    <w:rsid w:val="00460FA7"/>
    <w:rsid w:val="00461BF2"/>
    <w:rsid w:val="004627B9"/>
    <w:rsid w:val="004678E9"/>
    <w:rsid w:val="00467E69"/>
    <w:rsid w:val="00471166"/>
    <w:rsid w:val="00473E24"/>
    <w:rsid w:val="00480982"/>
    <w:rsid w:val="00486655"/>
    <w:rsid w:val="00486A7D"/>
    <w:rsid w:val="00492BA9"/>
    <w:rsid w:val="004935C2"/>
    <w:rsid w:val="004A59C1"/>
    <w:rsid w:val="004B2DF6"/>
    <w:rsid w:val="004B2FF6"/>
    <w:rsid w:val="004B4E91"/>
    <w:rsid w:val="004B5797"/>
    <w:rsid w:val="004B7412"/>
    <w:rsid w:val="004C222D"/>
    <w:rsid w:val="004C3D7C"/>
    <w:rsid w:val="004C3DD1"/>
    <w:rsid w:val="004C3F71"/>
    <w:rsid w:val="004D5CC6"/>
    <w:rsid w:val="004E09B8"/>
    <w:rsid w:val="004E1737"/>
    <w:rsid w:val="004F303D"/>
    <w:rsid w:val="004F5D36"/>
    <w:rsid w:val="004F6195"/>
    <w:rsid w:val="00504EBB"/>
    <w:rsid w:val="0050659B"/>
    <w:rsid w:val="005130A9"/>
    <w:rsid w:val="005153F7"/>
    <w:rsid w:val="00515952"/>
    <w:rsid w:val="005224C1"/>
    <w:rsid w:val="005231DA"/>
    <w:rsid w:val="0053079B"/>
    <w:rsid w:val="0053153F"/>
    <w:rsid w:val="00531C9F"/>
    <w:rsid w:val="0053554F"/>
    <w:rsid w:val="005361AF"/>
    <w:rsid w:val="00536822"/>
    <w:rsid w:val="00536954"/>
    <w:rsid w:val="00536DE8"/>
    <w:rsid w:val="0053728E"/>
    <w:rsid w:val="00540606"/>
    <w:rsid w:val="00541870"/>
    <w:rsid w:val="005436EC"/>
    <w:rsid w:val="00544A37"/>
    <w:rsid w:val="00545971"/>
    <w:rsid w:val="00550147"/>
    <w:rsid w:val="00551FDB"/>
    <w:rsid w:val="00554D18"/>
    <w:rsid w:val="005552AB"/>
    <w:rsid w:val="00556068"/>
    <w:rsid w:val="0056501A"/>
    <w:rsid w:val="00571AD4"/>
    <w:rsid w:val="00573886"/>
    <w:rsid w:val="00573EE2"/>
    <w:rsid w:val="00577D19"/>
    <w:rsid w:val="005907CD"/>
    <w:rsid w:val="0059695E"/>
    <w:rsid w:val="005A2139"/>
    <w:rsid w:val="005A37E5"/>
    <w:rsid w:val="005A4EB8"/>
    <w:rsid w:val="005A5BBA"/>
    <w:rsid w:val="005A5F08"/>
    <w:rsid w:val="005B1910"/>
    <w:rsid w:val="005B3143"/>
    <w:rsid w:val="005B31D7"/>
    <w:rsid w:val="005C147D"/>
    <w:rsid w:val="005C150C"/>
    <w:rsid w:val="005C318A"/>
    <w:rsid w:val="005D52F3"/>
    <w:rsid w:val="005E069A"/>
    <w:rsid w:val="005E1193"/>
    <w:rsid w:val="005E5A67"/>
    <w:rsid w:val="005E7865"/>
    <w:rsid w:val="005F2D95"/>
    <w:rsid w:val="005F4B70"/>
    <w:rsid w:val="005F6BD8"/>
    <w:rsid w:val="005F7E72"/>
    <w:rsid w:val="005F7EAE"/>
    <w:rsid w:val="0060554F"/>
    <w:rsid w:val="006135FD"/>
    <w:rsid w:val="0061438C"/>
    <w:rsid w:val="006166CE"/>
    <w:rsid w:val="006218E4"/>
    <w:rsid w:val="00623C47"/>
    <w:rsid w:val="0062747C"/>
    <w:rsid w:val="0062786E"/>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49D3"/>
    <w:rsid w:val="006859AC"/>
    <w:rsid w:val="006859FD"/>
    <w:rsid w:val="0068617E"/>
    <w:rsid w:val="006902C0"/>
    <w:rsid w:val="00690415"/>
    <w:rsid w:val="00691527"/>
    <w:rsid w:val="006939E7"/>
    <w:rsid w:val="006A03E2"/>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27CC6"/>
    <w:rsid w:val="007320FB"/>
    <w:rsid w:val="00732E3A"/>
    <w:rsid w:val="00733809"/>
    <w:rsid w:val="007362E3"/>
    <w:rsid w:val="007401AB"/>
    <w:rsid w:val="007408D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A4B"/>
    <w:rsid w:val="00776CDE"/>
    <w:rsid w:val="007815BB"/>
    <w:rsid w:val="00781DB1"/>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D2DCA"/>
    <w:rsid w:val="007E3027"/>
    <w:rsid w:val="007E38CD"/>
    <w:rsid w:val="007E5614"/>
    <w:rsid w:val="007E768B"/>
    <w:rsid w:val="007F2DE8"/>
    <w:rsid w:val="007F4493"/>
    <w:rsid w:val="007F4C72"/>
    <w:rsid w:val="007F71F9"/>
    <w:rsid w:val="008011E7"/>
    <w:rsid w:val="0080323F"/>
    <w:rsid w:val="00804111"/>
    <w:rsid w:val="008063BB"/>
    <w:rsid w:val="008123FF"/>
    <w:rsid w:val="0081387C"/>
    <w:rsid w:val="0081474E"/>
    <w:rsid w:val="00826153"/>
    <w:rsid w:val="00827B76"/>
    <w:rsid w:val="0083053E"/>
    <w:rsid w:val="00831B5E"/>
    <w:rsid w:val="00832F5B"/>
    <w:rsid w:val="00841AC4"/>
    <w:rsid w:val="00845A34"/>
    <w:rsid w:val="00852BBB"/>
    <w:rsid w:val="00853C30"/>
    <w:rsid w:val="00856806"/>
    <w:rsid w:val="00856D3C"/>
    <w:rsid w:val="00860609"/>
    <w:rsid w:val="00863FC3"/>
    <w:rsid w:val="0087199F"/>
    <w:rsid w:val="00874C1A"/>
    <w:rsid w:val="00881800"/>
    <w:rsid w:val="00882FC1"/>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D471A"/>
    <w:rsid w:val="008E1286"/>
    <w:rsid w:val="008E19F3"/>
    <w:rsid w:val="008E1B46"/>
    <w:rsid w:val="008F36CB"/>
    <w:rsid w:val="008F3C6D"/>
    <w:rsid w:val="008F6AAF"/>
    <w:rsid w:val="00901DB4"/>
    <w:rsid w:val="00901E1F"/>
    <w:rsid w:val="0090292E"/>
    <w:rsid w:val="00906E67"/>
    <w:rsid w:val="009144B1"/>
    <w:rsid w:val="00915ADA"/>
    <w:rsid w:val="0092097A"/>
    <w:rsid w:val="009209B4"/>
    <w:rsid w:val="009222C9"/>
    <w:rsid w:val="009228CF"/>
    <w:rsid w:val="00925499"/>
    <w:rsid w:val="00930569"/>
    <w:rsid w:val="00932625"/>
    <w:rsid w:val="009343CC"/>
    <w:rsid w:val="009344C2"/>
    <w:rsid w:val="009412B0"/>
    <w:rsid w:val="0094645B"/>
    <w:rsid w:val="0094705C"/>
    <w:rsid w:val="0095084D"/>
    <w:rsid w:val="00956B8E"/>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0D2C"/>
    <w:rsid w:val="009D24BB"/>
    <w:rsid w:val="009D44DD"/>
    <w:rsid w:val="009D5A6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37A9C"/>
    <w:rsid w:val="00A41EA4"/>
    <w:rsid w:val="00A44FE0"/>
    <w:rsid w:val="00A4618A"/>
    <w:rsid w:val="00A507F9"/>
    <w:rsid w:val="00A50D03"/>
    <w:rsid w:val="00A624BA"/>
    <w:rsid w:val="00A712B2"/>
    <w:rsid w:val="00A74214"/>
    <w:rsid w:val="00A7466F"/>
    <w:rsid w:val="00A7796E"/>
    <w:rsid w:val="00A85C8C"/>
    <w:rsid w:val="00A9085F"/>
    <w:rsid w:val="00A92255"/>
    <w:rsid w:val="00A92C95"/>
    <w:rsid w:val="00A93A25"/>
    <w:rsid w:val="00AA0920"/>
    <w:rsid w:val="00AA3055"/>
    <w:rsid w:val="00AA469A"/>
    <w:rsid w:val="00AA6E6D"/>
    <w:rsid w:val="00AA715C"/>
    <w:rsid w:val="00AA7977"/>
    <w:rsid w:val="00AA79D9"/>
    <w:rsid w:val="00AB2A66"/>
    <w:rsid w:val="00AB50FF"/>
    <w:rsid w:val="00AC4BEC"/>
    <w:rsid w:val="00AC57BB"/>
    <w:rsid w:val="00AC614D"/>
    <w:rsid w:val="00AD1F39"/>
    <w:rsid w:val="00AD4BC3"/>
    <w:rsid w:val="00AE313F"/>
    <w:rsid w:val="00AE34F4"/>
    <w:rsid w:val="00AF042F"/>
    <w:rsid w:val="00AF5987"/>
    <w:rsid w:val="00B00C49"/>
    <w:rsid w:val="00B03105"/>
    <w:rsid w:val="00B03461"/>
    <w:rsid w:val="00B0766F"/>
    <w:rsid w:val="00B07F42"/>
    <w:rsid w:val="00B10787"/>
    <w:rsid w:val="00B11974"/>
    <w:rsid w:val="00B12CF8"/>
    <w:rsid w:val="00B13035"/>
    <w:rsid w:val="00B244B9"/>
    <w:rsid w:val="00B24559"/>
    <w:rsid w:val="00B262F3"/>
    <w:rsid w:val="00B27020"/>
    <w:rsid w:val="00B27178"/>
    <w:rsid w:val="00B310C3"/>
    <w:rsid w:val="00B360A7"/>
    <w:rsid w:val="00B42229"/>
    <w:rsid w:val="00B43ABC"/>
    <w:rsid w:val="00B44FA9"/>
    <w:rsid w:val="00B51125"/>
    <w:rsid w:val="00B51F55"/>
    <w:rsid w:val="00B52CDF"/>
    <w:rsid w:val="00B60D60"/>
    <w:rsid w:val="00B63CDD"/>
    <w:rsid w:val="00B65531"/>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3E59"/>
    <w:rsid w:val="00BD56B7"/>
    <w:rsid w:val="00BD5A47"/>
    <w:rsid w:val="00BD5FB6"/>
    <w:rsid w:val="00BE2BCC"/>
    <w:rsid w:val="00BE3896"/>
    <w:rsid w:val="00BE7068"/>
    <w:rsid w:val="00BE768F"/>
    <w:rsid w:val="00BF10BC"/>
    <w:rsid w:val="00BF6445"/>
    <w:rsid w:val="00C03192"/>
    <w:rsid w:val="00C04FC5"/>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DAB"/>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C49C2"/>
    <w:rsid w:val="00CD2466"/>
    <w:rsid w:val="00CD3324"/>
    <w:rsid w:val="00CD6162"/>
    <w:rsid w:val="00CD6A1D"/>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55BD2"/>
    <w:rsid w:val="00D6041B"/>
    <w:rsid w:val="00D60D98"/>
    <w:rsid w:val="00D61018"/>
    <w:rsid w:val="00D6265B"/>
    <w:rsid w:val="00D63117"/>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58A3"/>
    <w:rsid w:val="00E06422"/>
    <w:rsid w:val="00E11439"/>
    <w:rsid w:val="00E151F3"/>
    <w:rsid w:val="00E161C6"/>
    <w:rsid w:val="00E17539"/>
    <w:rsid w:val="00E20252"/>
    <w:rsid w:val="00E2483C"/>
    <w:rsid w:val="00E26CF0"/>
    <w:rsid w:val="00E31346"/>
    <w:rsid w:val="00E376F8"/>
    <w:rsid w:val="00E40550"/>
    <w:rsid w:val="00E41C99"/>
    <w:rsid w:val="00E423B5"/>
    <w:rsid w:val="00E43F59"/>
    <w:rsid w:val="00E518BB"/>
    <w:rsid w:val="00E562EA"/>
    <w:rsid w:val="00E57F9B"/>
    <w:rsid w:val="00E6726D"/>
    <w:rsid w:val="00E77BCA"/>
    <w:rsid w:val="00E81433"/>
    <w:rsid w:val="00E81C95"/>
    <w:rsid w:val="00E852A3"/>
    <w:rsid w:val="00E93958"/>
    <w:rsid w:val="00E96A9B"/>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3FDA"/>
    <w:rsid w:val="00F14982"/>
    <w:rsid w:val="00F14B6E"/>
    <w:rsid w:val="00F20D55"/>
    <w:rsid w:val="00F22377"/>
    <w:rsid w:val="00F250B8"/>
    <w:rsid w:val="00F253CD"/>
    <w:rsid w:val="00F2598D"/>
    <w:rsid w:val="00F259AE"/>
    <w:rsid w:val="00F30F02"/>
    <w:rsid w:val="00F31B7E"/>
    <w:rsid w:val="00F3211E"/>
    <w:rsid w:val="00F336A2"/>
    <w:rsid w:val="00F33826"/>
    <w:rsid w:val="00F34E7C"/>
    <w:rsid w:val="00F3561E"/>
    <w:rsid w:val="00F36EC6"/>
    <w:rsid w:val="00F4229F"/>
    <w:rsid w:val="00F44AEB"/>
    <w:rsid w:val="00F45620"/>
    <w:rsid w:val="00F46BBD"/>
    <w:rsid w:val="00F51B95"/>
    <w:rsid w:val="00F5432C"/>
    <w:rsid w:val="00F5470D"/>
    <w:rsid w:val="00F5611C"/>
    <w:rsid w:val="00F61C7A"/>
    <w:rsid w:val="00F637FB"/>
    <w:rsid w:val="00F66B41"/>
    <w:rsid w:val="00F712AB"/>
    <w:rsid w:val="00F77D7D"/>
    <w:rsid w:val="00F80CD0"/>
    <w:rsid w:val="00F82DDB"/>
    <w:rsid w:val="00F82EAF"/>
    <w:rsid w:val="00F838FF"/>
    <w:rsid w:val="00F83CDB"/>
    <w:rsid w:val="00F87665"/>
    <w:rsid w:val="00F8771B"/>
    <w:rsid w:val="00F90003"/>
    <w:rsid w:val="00F9173C"/>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D7E42"/>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515310848">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26728597">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8CDF3-BCB5-4003-B947-F3C705D2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4</Pages>
  <Words>1080</Words>
  <Characters>6374</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16</cp:revision>
  <dcterms:created xsi:type="dcterms:W3CDTF">2023-04-13T15:47:00Z</dcterms:created>
  <dcterms:modified xsi:type="dcterms:W3CDTF">2023-04-14T12:53:00Z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