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5F5512" w14:textId="77777777" w:rsidR="00B712F8" w:rsidRPr="005D11F0" w:rsidRDefault="00B712F8" w:rsidP="00B712F8">
      <w:pPr>
        <w:pStyle w:val="Zkladntext"/>
        <w:jc w:val="both"/>
        <w:rPr>
          <w:rFonts w:ascii="Arial" w:hAnsi="Arial" w:cs="Arial"/>
          <w:b/>
          <w:sz w:val="20"/>
        </w:rPr>
      </w:pPr>
    </w:p>
    <w:p w14:paraId="514F7B2A" w14:textId="77777777"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262CD423" w14:textId="77777777" w:rsidR="00B712F8" w:rsidRPr="00B712F8" w:rsidRDefault="00B712F8" w:rsidP="00B712F8">
      <w:pPr>
        <w:jc w:val="both"/>
        <w:rPr>
          <w:rFonts w:asciiTheme="minorHAnsi" w:hAnsiTheme="minorHAnsi" w:cstheme="minorHAnsi"/>
        </w:rPr>
      </w:pPr>
    </w:p>
    <w:p w14:paraId="74623457" w14:textId="77777777" w:rsidR="00F44539" w:rsidRDefault="00B712F8" w:rsidP="00F44539">
      <w:pPr>
        <w:jc w:val="both"/>
        <w:rPr>
          <w:rFonts w:asciiTheme="minorHAnsi" w:hAnsiTheme="minorHAnsi" w:cstheme="minorHAnsi"/>
          <w:sz w:val="20"/>
          <w:szCs w:val="20"/>
          <w:lang w:val="de-DE"/>
        </w:rPr>
      </w:pPr>
      <w:r w:rsidRPr="00B712F8">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téměř 50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w:t>
      </w:r>
      <w:r w:rsidR="00E71C1E">
        <w:rPr>
          <w:rFonts w:asciiTheme="minorHAnsi" w:hAnsiTheme="minorHAnsi" w:cstheme="minorHAnsi"/>
          <w:sz w:val="20"/>
          <w:szCs w:val="20"/>
        </w:rPr>
        <w:t xml:space="preserve">který přináší společnost Broker </w:t>
      </w:r>
      <w:r w:rsidRPr="00B712F8">
        <w:rPr>
          <w:rFonts w:asciiTheme="minorHAnsi" w:hAnsiTheme="minorHAnsi" w:cstheme="minorHAnsi"/>
          <w:sz w:val="20"/>
          <w:szCs w:val="20"/>
        </w:rPr>
        <w:t xml:space="preserve">Consulting. </w:t>
      </w:r>
      <w:proofErr w:type="spellStart"/>
      <w:r w:rsidRPr="00B712F8">
        <w:rPr>
          <w:rStyle w:val="dn"/>
          <w:rFonts w:asciiTheme="minorHAnsi" w:hAnsiTheme="minorHAnsi" w:cstheme="minorHAnsi"/>
          <w:sz w:val="20"/>
          <w:szCs w:val="20"/>
        </w:rPr>
        <w:t>Více</w:t>
      </w:r>
      <w:proofErr w:type="spellEnd"/>
      <w:r w:rsidRPr="00B712F8">
        <w:rPr>
          <w:rStyle w:val="dn"/>
          <w:rFonts w:asciiTheme="minorHAnsi" w:hAnsiTheme="minorHAnsi" w:cstheme="minorHAnsi"/>
          <w:sz w:val="20"/>
          <w:szCs w:val="20"/>
        </w:rPr>
        <w:t xml:space="preserve"> na </w:t>
      </w:r>
      <w:hyperlink r:id="rId9" w:history="1">
        <w:r w:rsidRPr="00B712F8">
          <w:rPr>
            <w:rStyle w:val="Hypertextovodkaz"/>
            <w:rFonts w:asciiTheme="minorHAnsi" w:hAnsiTheme="minorHAnsi" w:cstheme="minorHAnsi"/>
            <w:color w:val="auto"/>
            <w:sz w:val="20"/>
            <w:szCs w:val="20"/>
          </w:rPr>
          <w:t>www.bcas.cz</w:t>
        </w:r>
      </w:hyperlink>
      <w:r w:rsidRPr="00B712F8">
        <w:rPr>
          <w:rStyle w:val="Hypertextovodkaz"/>
          <w:rFonts w:asciiTheme="minorHAnsi" w:hAnsiTheme="minorHAnsi" w:cstheme="minorHAnsi"/>
          <w:color w:val="auto"/>
          <w:sz w:val="20"/>
          <w:szCs w:val="20"/>
        </w:rPr>
        <w:t xml:space="preserve">, </w:t>
      </w:r>
      <w:hyperlink r:id="rId10" w:history="1">
        <w:r w:rsidRPr="00B712F8">
          <w:rPr>
            <w:rStyle w:val="Hypertextovodkaz"/>
            <w:rFonts w:asciiTheme="minorHAnsi" w:hAnsiTheme="minorHAnsi" w:cstheme="minorHAnsi"/>
            <w:color w:val="auto"/>
            <w:sz w:val="20"/>
            <w:szCs w:val="20"/>
          </w:rPr>
          <w:t>www.okpointy.cz</w:t>
        </w:r>
      </w:hyperlink>
      <w:r w:rsidRPr="00B712F8">
        <w:rPr>
          <w:rStyle w:val="Hypertextovodkaz"/>
          <w:rFonts w:asciiTheme="minorHAnsi" w:hAnsiTheme="minorHAnsi" w:cstheme="minorHAnsi"/>
          <w:color w:val="auto"/>
          <w:sz w:val="20"/>
          <w:szCs w:val="20"/>
        </w:rPr>
        <w:t>, www.okpoint.tv</w:t>
      </w:r>
      <w:r w:rsidRPr="00B712F8">
        <w:rPr>
          <w:rStyle w:val="dn"/>
          <w:rFonts w:asciiTheme="minorHAnsi" w:hAnsiTheme="minorHAnsi" w:cstheme="minorHAnsi"/>
          <w:sz w:val="20"/>
          <w:szCs w:val="20"/>
        </w:rPr>
        <w:t xml:space="preserve"> a na </w:t>
      </w:r>
      <w:hyperlink r:id="rId11" w:history="1">
        <w:r w:rsidRPr="00B712F8">
          <w:rPr>
            <w:rStyle w:val="Hypertextovodkaz"/>
            <w:rFonts w:asciiTheme="minorHAnsi" w:hAnsiTheme="minorHAnsi" w:cstheme="minorHAnsi"/>
            <w:color w:val="auto"/>
            <w:sz w:val="20"/>
            <w:szCs w:val="20"/>
          </w:rPr>
          <w:t>www.realityspolu.cz</w:t>
        </w:r>
      </w:hyperlink>
      <w:r w:rsidRPr="00B712F8">
        <w:rPr>
          <w:rStyle w:val="dn"/>
          <w:rFonts w:asciiTheme="minorHAnsi" w:hAnsiTheme="minorHAnsi" w:cstheme="minorHAnsi"/>
          <w:sz w:val="20"/>
          <w:szCs w:val="20"/>
        </w:rPr>
        <w:t xml:space="preserve">. </w:t>
      </w:r>
      <w:r w:rsidRPr="00B712F8">
        <w:rPr>
          <w:rStyle w:val="dn"/>
          <w:rFonts w:asciiTheme="minorHAnsi" w:hAnsiTheme="minorHAnsi" w:cstheme="minorHAnsi"/>
          <w:sz w:val="20"/>
          <w:szCs w:val="20"/>
          <w:lang w:val="cs-CZ"/>
        </w:rPr>
        <w:t>Navštivte také náš</w:t>
      </w:r>
      <w:r w:rsidRPr="00B712F8">
        <w:rPr>
          <w:rStyle w:val="dn"/>
          <w:rFonts w:asciiTheme="minorHAnsi" w:hAnsiTheme="minorHAnsi" w:cstheme="minorHAnsi"/>
          <w:sz w:val="20"/>
          <w:szCs w:val="20"/>
        </w:rPr>
        <w:t xml:space="preserve"> </w:t>
      </w:r>
      <w:hyperlink r:id="rId12" w:history="1">
        <w:proofErr w:type="spellStart"/>
        <w:r w:rsidRPr="00B712F8">
          <w:rPr>
            <w:rStyle w:val="Hypertextovodkaz"/>
            <w:rFonts w:asciiTheme="minorHAnsi" w:hAnsiTheme="minorHAnsi" w:cstheme="minorHAnsi"/>
            <w:color w:val="auto"/>
            <w:sz w:val="20"/>
            <w:szCs w:val="20"/>
          </w:rPr>
          <w:t>Facebook</w:t>
        </w:r>
        <w:proofErr w:type="spellEnd"/>
      </w:hyperlink>
      <w:r w:rsidRPr="00B712F8">
        <w:rPr>
          <w:rStyle w:val="dn"/>
          <w:rFonts w:asciiTheme="minorHAnsi" w:hAnsiTheme="minorHAnsi" w:cstheme="minorHAnsi"/>
          <w:sz w:val="20"/>
          <w:szCs w:val="20"/>
        </w:rPr>
        <w:t xml:space="preserve"> a </w:t>
      </w:r>
      <w:hyperlink r:id="rId13" w:history="1">
        <w:proofErr w:type="spellStart"/>
        <w:r w:rsidRPr="00B712F8">
          <w:rPr>
            <w:rStyle w:val="Hypertextovodkaz"/>
            <w:rFonts w:asciiTheme="minorHAnsi" w:hAnsiTheme="minorHAnsi" w:cstheme="minorHAnsi"/>
            <w:color w:val="auto"/>
            <w:sz w:val="20"/>
            <w:szCs w:val="20"/>
          </w:rPr>
          <w:t>LinkedIN</w:t>
        </w:r>
        <w:proofErr w:type="spellEnd"/>
      </w:hyperlink>
      <w:r w:rsidRPr="00B712F8">
        <w:rPr>
          <w:rStyle w:val="dn"/>
          <w:rFonts w:asciiTheme="minorHAnsi" w:hAnsiTheme="minorHAnsi" w:cstheme="minorHAnsi"/>
          <w:sz w:val="20"/>
          <w:szCs w:val="20"/>
        </w:rPr>
        <w:t xml:space="preserve"> Broker Consulting a </w:t>
      </w:r>
      <w:hyperlink r:id="rId14" w:history="1">
        <w:proofErr w:type="spellStart"/>
        <w:r w:rsidRPr="00B712F8">
          <w:rPr>
            <w:rStyle w:val="Hypertextovodkaz"/>
            <w:rFonts w:asciiTheme="minorHAnsi" w:hAnsiTheme="minorHAnsi" w:cstheme="minorHAnsi"/>
            <w:color w:val="auto"/>
            <w:sz w:val="20"/>
            <w:szCs w:val="20"/>
          </w:rPr>
          <w:t>Facebook</w:t>
        </w:r>
        <w:proofErr w:type="spellEnd"/>
      </w:hyperlink>
      <w:r w:rsidRPr="00B712F8">
        <w:rPr>
          <w:rStyle w:val="dn"/>
          <w:rFonts w:asciiTheme="minorHAnsi" w:hAnsiTheme="minorHAnsi" w:cstheme="minorHAnsi"/>
          <w:sz w:val="20"/>
          <w:szCs w:val="20"/>
        </w:rPr>
        <w:t xml:space="preserve"> a </w:t>
      </w:r>
      <w:hyperlink r:id="rId15" w:history="1">
        <w:proofErr w:type="spellStart"/>
        <w:r w:rsidRPr="00B712F8">
          <w:rPr>
            <w:rStyle w:val="Hypertextovodkaz"/>
            <w:rFonts w:asciiTheme="minorHAnsi" w:hAnsiTheme="minorHAnsi" w:cstheme="minorHAnsi"/>
            <w:color w:val="auto"/>
            <w:sz w:val="20"/>
            <w:szCs w:val="20"/>
          </w:rPr>
          <w:t>LinkedI</w:t>
        </w:r>
      </w:hyperlink>
      <w:r w:rsidRPr="00B712F8">
        <w:rPr>
          <w:rStyle w:val="Hypertextovodkaz"/>
          <w:rFonts w:asciiTheme="minorHAnsi" w:hAnsiTheme="minorHAnsi" w:cstheme="minorHAnsi"/>
          <w:color w:val="auto"/>
          <w:sz w:val="20"/>
          <w:szCs w:val="20"/>
        </w:rPr>
        <w:t>N</w:t>
      </w:r>
      <w:proofErr w:type="spellEnd"/>
      <w:r w:rsidRPr="00B712F8">
        <w:rPr>
          <w:rStyle w:val="dn"/>
          <w:rFonts w:asciiTheme="minorHAnsi" w:hAnsiTheme="minorHAnsi" w:cstheme="minorHAnsi"/>
          <w:sz w:val="20"/>
          <w:szCs w:val="20"/>
        </w:rPr>
        <w:t xml:space="preserve"> OK </w:t>
      </w:r>
      <w:proofErr w:type="spellStart"/>
      <w:r w:rsidRPr="00B712F8">
        <w:rPr>
          <w:rStyle w:val="dn"/>
          <w:rFonts w:asciiTheme="minorHAnsi" w:hAnsiTheme="minorHAnsi" w:cstheme="minorHAnsi"/>
          <w:sz w:val="20"/>
          <w:szCs w:val="20"/>
        </w:rPr>
        <w:t>POINTů</w:t>
      </w:r>
      <w:proofErr w:type="spellEnd"/>
      <w:r w:rsidRPr="00B712F8">
        <w:rPr>
          <w:rStyle w:val="dn"/>
          <w:rFonts w:asciiTheme="minorHAnsi" w:hAnsiTheme="minorHAnsi" w:cstheme="minorHAnsi"/>
          <w:sz w:val="20"/>
          <w:szCs w:val="20"/>
        </w:rPr>
        <w:t xml:space="preserve">. </w:t>
      </w:r>
      <w:r w:rsidRPr="00B712F8">
        <w:rPr>
          <w:rFonts w:asciiTheme="minorHAnsi" w:hAnsiTheme="minorHAnsi" w:cstheme="minorHAnsi"/>
          <w:sz w:val="20"/>
          <w:szCs w:val="20"/>
        </w:rPr>
        <w:t xml:space="preserve"> </w:t>
      </w:r>
    </w:p>
    <w:p w14:paraId="6E11E649" w14:textId="77777777" w:rsidR="00133BFD" w:rsidRDefault="00133BFD" w:rsidP="00A17595">
      <w:pPr>
        <w:jc w:val="center"/>
        <w:rPr>
          <w:rFonts w:asciiTheme="minorHAnsi" w:hAnsiTheme="minorHAnsi" w:cstheme="minorHAnsi"/>
          <w:b/>
          <w:sz w:val="30"/>
          <w:szCs w:val="30"/>
        </w:rPr>
      </w:pPr>
    </w:p>
    <w:p w14:paraId="35FBE92C" w14:textId="0113784D" w:rsidR="00133BFD" w:rsidRDefault="00A17595" w:rsidP="00441D22">
      <w:pPr>
        <w:spacing w:after="200"/>
        <w:jc w:val="center"/>
        <w:rPr>
          <w:rFonts w:asciiTheme="minorHAnsi" w:hAnsiTheme="minorHAnsi" w:cstheme="minorHAnsi"/>
          <w:b/>
          <w:sz w:val="30"/>
          <w:szCs w:val="30"/>
        </w:rPr>
      </w:pPr>
      <w:proofErr w:type="spellStart"/>
      <w:r>
        <w:rPr>
          <w:rFonts w:asciiTheme="minorHAnsi" w:hAnsiTheme="minorHAnsi" w:cstheme="minorHAnsi"/>
          <w:b/>
          <w:sz w:val="30"/>
          <w:szCs w:val="30"/>
        </w:rPr>
        <w:t>POVIndex</w:t>
      </w:r>
      <w:proofErr w:type="spellEnd"/>
      <w:r w:rsidR="00133BFD">
        <w:rPr>
          <w:rFonts w:asciiTheme="minorHAnsi" w:hAnsiTheme="minorHAnsi" w:cstheme="minorHAnsi"/>
          <w:b/>
          <w:sz w:val="30"/>
          <w:szCs w:val="30"/>
        </w:rPr>
        <w:t xml:space="preserve"> registruje nejvyšší dubnovou hodnotu povinného ručení</w:t>
      </w:r>
    </w:p>
    <w:p w14:paraId="62FAC21D" w14:textId="0065A499" w:rsidR="004A7461" w:rsidRDefault="00441D22" w:rsidP="00441D22">
      <w:pPr>
        <w:pStyle w:val="Odstavecseseznamem"/>
        <w:numPr>
          <w:ilvl w:val="0"/>
          <w:numId w:val="24"/>
        </w:numPr>
        <w:ind w:left="357" w:right="40" w:hanging="357"/>
        <w:rPr>
          <w:rFonts w:asciiTheme="minorHAnsi" w:hAnsiTheme="minorHAnsi" w:cstheme="minorHAnsi"/>
          <w:b/>
          <w:sz w:val="21"/>
          <w:szCs w:val="21"/>
        </w:rPr>
      </w:pPr>
      <w:r>
        <w:rPr>
          <w:rFonts w:asciiTheme="minorHAnsi" w:hAnsiTheme="minorHAnsi" w:cstheme="minorHAnsi"/>
          <w:b/>
          <w:sz w:val="21"/>
          <w:szCs w:val="21"/>
        </w:rPr>
        <w:t xml:space="preserve">Broker Consulting </w:t>
      </w:r>
      <w:proofErr w:type="spellStart"/>
      <w:r>
        <w:rPr>
          <w:rFonts w:asciiTheme="minorHAnsi" w:hAnsiTheme="minorHAnsi" w:cstheme="minorHAnsi"/>
          <w:b/>
          <w:sz w:val="21"/>
          <w:szCs w:val="21"/>
        </w:rPr>
        <w:t>POVINdex</w:t>
      </w:r>
      <w:proofErr w:type="spellEnd"/>
      <w:r>
        <w:rPr>
          <w:rFonts w:asciiTheme="minorHAnsi" w:hAnsiTheme="minorHAnsi" w:cstheme="minorHAnsi"/>
          <w:b/>
          <w:sz w:val="21"/>
          <w:szCs w:val="21"/>
        </w:rPr>
        <w:t xml:space="preserve"> se v dubnu zvýšil na hodnotu 6 848 Kč</w:t>
      </w:r>
    </w:p>
    <w:p w14:paraId="6C8F9CFC" w14:textId="08D6FA02" w:rsidR="00441D22" w:rsidRDefault="00441D22" w:rsidP="00441D22">
      <w:pPr>
        <w:pStyle w:val="Odstavecseseznamem"/>
        <w:numPr>
          <w:ilvl w:val="0"/>
          <w:numId w:val="24"/>
        </w:numPr>
        <w:ind w:left="357" w:right="40" w:hanging="357"/>
        <w:rPr>
          <w:rFonts w:asciiTheme="minorHAnsi" w:hAnsiTheme="minorHAnsi" w:cstheme="minorHAnsi"/>
          <w:b/>
          <w:sz w:val="21"/>
          <w:szCs w:val="21"/>
        </w:rPr>
      </w:pPr>
      <w:r>
        <w:rPr>
          <w:rFonts w:asciiTheme="minorHAnsi" w:hAnsiTheme="minorHAnsi" w:cstheme="minorHAnsi"/>
          <w:b/>
          <w:sz w:val="21"/>
          <w:szCs w:val="21"/>
        </w:rPr>
        <w:t>Meziměsíčně se průměrná cena u povinného ručení zvedla o 27 korun</w:t>
      </w:r>
    </w:p>
    <w:p w14:paraId="3A41C205" w14:textId="78238358" w:rsidR="00441D22" w:rsidRPr="00441D22" w:rsidRDefault="00441D22" w:rsidP="00301660">
      <w:pPr>
        <w:pStyle w:val="Odstavecseseznamem"/>
        <w:numPr>
          <w:ilvl w:val="0"/>
          <w:numId w:val="24"/>
        </w:numPr>
        <w:spacing w:after="200"/>
        <w:ind w:left="357" w:right="40" w:hanging="357"/>
        <w:rPr>
          <w:rFonts w:asciiTheme="minorHAnsi" w:hAnsiTheme="minorHAnsi" w:cstheme="minorHAnsi"/>
          <w:b/>
          <w:sz w:val="21"/>
          <w:szCs w:val="21"/>
        </w:rPr>
      </w:pPr>
      <w:r>
        <w:rPr>
          <w:rFonts w:asciiTheme="minorHAnsi" w:hAnsiTheme="minorHAnsi" w:cstheme="minorHAnsi"/>
          <w:b/>
          <w:sz w:val="21"/>
          <w:szCs w:val="21"/>
        </w:rPr>
        <w:t xml:space="preserve">Dubnová hodnota překročila celkový průměr </w:t>
      </w:r>
      <w:proofErr w:type="spellStart"/>
      <w:r>
        <w:rPr>
          <w:rFonts w:asciiTheme="minorHAnsi" w:hAnsiTheme="minorHAnsi" w:cstheme="minorHAnsi"/>
          <w:b/>
          <w:sz w:val="21"/>
          <w:szCs w:val="21"/>
        </w:rPr>
        <w:t>POVIndexu</w:t>
      </w:r>
      <w:proofErr w:type="spellEnd"/>
      <w:r>
        <w:rPr>
          <w:rFonts w:asciiTheme="minorHAnsi" w:hAnsiTheme="minorHAnsi" w:cstheme="minorHAnsi"/>
          <w:b/>
          <w:sz w:val="21"/>
          <w:szCs w:val="21"/>
        </w:rPr>
        <w:t>, který za celé sledované období činí 6 724 Kč</w:t>
      </w:r>
    </w:p>
    <w:p w14:paraId="3D77A845" w14:textId="2AEABC5A" w:rsidR="00133BFD" w:rsidRPr="004A7461" w:rsidRDefault="0052644E" w:rsidP="00FE189D">
      <w:pPr>
        <w:spacing w:after="240"/>
        <w:ind w:right="130"/>
        <w:jc w:val="both"/>
        <w:rPr>
          <w:rFonts w:asciiTheme="minorHAnsi" w:hAnsiTheme="minorHAnsi" w:cstheme="minorHAnsi"/>
          <w:b/>
          <w:sz w:val="21"/>
          <w:szCs w:val="21"/>
        </w:rPr>
      </w:pPr>
      <w:r w:rsidRPr="00B76BBE">
        <w:rPr>
          <w:rFonts w:asciiTheme="minorHAnsi" w:hAnsiTheme="minorHAnsi" w:cstheme="minorHAnsi"/>
          <w:b/>
          <w:i/>
          <w:sz w:val="21"/>
          <w:szCs w:val="21"/>
        </w:rPr>
        <w:t>Praha, 2</w:t>
      </w:r>
      <w:r w:rsidR="00DE17B0">
        <w:rPr>
          <w:rFonts w:asciiTheme="minorHAnsi" w:hAnsiTheme="minorHAnsi" w:cstheme="minorHAnsi"/>
          <w:b/>
          <w:i/>
          <w:sz w:val="21"/>
          <w:szCs w:val="21"/>
        </w:rPr>
        <w:t>4</w:t>
      </w:r>
      <w:r w:rsidRPr="00B76BBE">
        <w:rPr>
          <w:rFonts w:asciiTheme="minorHAnsi" w:hAnsiTheme="minorHAnsi" w:cstheme="minorHAnsi"/>
          <w:b/>
          <w:i/>
          <w:sz w:val="21"/>
          <w:szCs w:val="21"/>
        </w:rPr>
        <w:t>. dubna</w:t>
      </w:r>
      <w:r w:rsidR="00FE189D" w:rsidRPr="00B76BBE">
        <w:rPr>
          <w:rFonts w:asciiTheme="minorHAnsi" w:hAnsiTheme="minorHAnsi" w:cstheme="minorHAnsi"/>
          <w:b/>
          <w:i/>
          <w:sz w:val="21"/>
          <w:szCs w:val="21"/>
        </w:rPr>
        <w:t xml:space="preserve"> 2023</w:t>
      </w:r>
      <w:r w:rsidR="00395524" w:rsidRPr="004A7461">
        <w:rPr>
          <w:rFonts w:asciiTheme="minorHAnsi" w:hAnsiTheme="minorHAnsi" w:cstheme="minorHAnsi"/>
          <w:b/>
          <w:sz w:val="21"/>
          <w:szCs w:val="21"/>
        </w:rPr>
        <w:t xml:space="preserve"> – </w:t>
      </w:r>
      <w:r w:rsidR="00133BFD" w:rsidRPr="004A7461">
        <w:rPr>
          <w:rFonts w:asciiTheme="minorHAnsi" w:hAnsiTheme="minorHAnsi" w:cstheme="minorHAnsi"/>
          <w:b/>
          <w:sz w:val="21"/>
          <w:szCs w:val="21"/>
        </w:rPr>
        <w:t xml:space="preserve">Broker Consulting </w:t>
      </w:r>
      <w:proofErr w:type="spellStart"/>
      <w:r w:rsidR="00133BFD" w:rsidRPr="004A7461">
        <w:rPr>
          <w:rFonts w:asciiTheme="minorHAnsi" w:hAnsiTheme="minorHAnsi" w:cstheme="minorHAnsi"/>
          <w:b/>
          <w:sz w:val="21"/>
          <w:szCs w:val="21"/>
        </w:rPr>
        <w:t>POVIndex</w:t>
      </w:r>
      <w:proofErr w:type="spellEnd"/>
      <w:r w:rsidR="00133BFD" w:rsidRPr="004A7461">
        <w:rPr>
          <w:rFonts w:asciiTheme="minorHAnsi" w:hAnsiTheme="minorHAnsi" w:cstheme="minorHAnsi"/>
          <w:b/>
          <w:sz w:val="21"/>
          <w:szCs w:val="21"/>
        </w:rPr>
        <w:t xml:space="preserve"> zaznamenal za letošní duben hodnotu 6 848 Kč. V porovnání </w:t>
      </w:r>
      <w:r w:rsidR="006E15E4">
        <w:rPr>
          <w:rFonts w:asciiTheme="minorHAnsi" w:hAnsiTheme="minorHAnsi" w:cstheme="minorHAnsi"/>
          <w:b/>
          <w:sz w:val="21"/>
          <w:szCs w:val="21"/>
        </w:rPr>
        <w:t xml:space="preserve">s minulými </w:t>
      </w:r>
      <w:r w:rsidR="00133BFD" w:rsidRPr="004A7461">
        <w:rPr>
          <w:rFonts w:asciiTheme="minorHAnsi" w:hAnsiTheme="minorHAnsi" w:cstheme="minorHAnsi"/>
          <w:b/>
          <w:sz w:val="21"/>
          <w:szCs w:val="21"/>
        </w:rPr>
        <w:t xml:space="preserve"> </w:t>
      </w:r>
      <w:r w:rsidR="000F040D">
        <w:rPr>
          <w:rFonts w:asciiTheme="minorHAnsi" w:hAnsiTheme="minorHAnsi" w:cstheme="minorHAnsi"/>
          <w:b/>
          <w:sz w:val="21"/>
          <w:szCs w:val="21"/>
        </w:rPr>
        <w:t xml:space="preserve">hodnotami </w:t>
      </w:r>
      <w:r w:rsidR="00133BFD" w:rsidRPr="004A7461">
        <w:rPr>
          <w:rFonts w:asciiTheme="minorHAnsi" w:hAnsiTheme="minorHAnsi" w:cstheme="minorHAnsi"/>
          <w:b/>
          <w:sz w:val="21"/>
          <w:szCs w:val="21"/>
        </w:rPr>
        <w:t>j</w:t>
      </w:r>
      <w:r w:rsidR="000F040D">
        <w:rPr>
          <w:rFonts w:asciiTheme="minorHAnsi" w:hAnsiTheme="minorHAnsi" w:cstheme="minorHAnsi"/>
          <w:b/>
          <w:sz w:val="21"/>
          <w:szCs w:val="21"/>
        </w:rPr>
        <w:t xml:space="preserve">de o nejvyšší </w:t>
      </w:r>
      <w:r w:rsidR="00DE17B0">
        <w:rPr>
          <w:rFonts w:asciiTheme="minorHAnsi" w:hAnsiTheme="minorHAnsi" w:cstheme="minorHAnsi"/>
          <w:b/>
          <w:sz w:val="21"/>
          <w:szCs w:val="21"/>
        </w:rPr>
        <w:t>měření za čtvrtý měsíc</w:t>
      </w:r>
      <w:r w:rsidR="006E15E4">
        <w:rPr>
          <w:rFonts w:asciiTheme="minorHAnsi" w:hAnsiTheme="minorHAnsi" w:cstheme="minorHAnsi"/>
          <w:b/>
          <w:sz w:val="21"/>
          <w:szCs w:val="21"/>
        </w:rPr>
        <w:t xml:space="preserve"> v roce</w:t>
      </w:r>
      <w:r w:rsidR="000F040D">
        <w:rPr>
          <w:rFonts w:asciiTheme="minorHAnsi" w:hAnsiTheme="minorHAnsi" w:cstheme="minorHAnsi"/>
          <w:b/>
          <w:sz w:val="21"/>
          <w:szCs w:val="21"/>
        </w:rPr>
        <w:t xml:space="preserve">, které navíc </w:t>
      </w:r>
      <w:r w:rsidR="00133BFD" w:rsidRPr="004A7461">
        <w:rPr>
          <w:rFonts w:asciiTheme="minorHAnsi" w:hAnsiTheme="minorHAnsi" w:cstheme="minorHAnsi"/>
          <w:b/>
          <w:sz w:val="21"/>
          <w:szCs w:val="21"/>
        </w:rPr>
        <w:t>př</w:t>
      </w:r>
      <w:r w:rsidR="000F040D">
        <w:rPr>
          <w:rFonts w:asciiTheme="minorHAnsi" w:hAnsiTheme="minorHAnsi" w:cstheme="minorHAnsi"/>
          <w:b/>
          <w:sz w:val="21"/>
          <w:szCs w:val="21"/>
        </w:rPr>
        <w:t>ekročilo</w:t>
      </w:r>
      <w:r w:rsidR="006E15E4">
        <w:rPr>
          <w:rFonts w:asciiTheme="minorHAnsi" w:hAnsiTheme="minorHAnsi" w:cstheme="minorHAnsi"/>
          <w:b/>
          <w:sz w:val="21"/>
          <w:szCs w:val="21"/>
        </w:rPr>
        <w:t xml:space="preserve"> i celkový průměr</w:t>
      </w:r>
      <w:r w:rsidR="000F040D">
        <w:rPr>
          <w:rFonts w:asciiTheme="minorHAnsi" w:hAnsiTheme="minorHAnsi" w:cstheme="minorHAnsi"/>
          <w:b/>
          <w:sz w:val="21"/>
          <w:szCs w:val="21"/>
        </w:rPr>
        <w:t xml:space="preserve">. </w:t>
      </w:r>
      <w:r w:rsidR="00133BFD" w:rsidRPr="004A7461">
        <w:rPr>
          <w:rFonts w:asciiTheme="minorHAnsi" w:hAnsiTheme="minorHAnsi" w:cstheme="minorHAnsi"/>
          <w:b/>
          <w:sz w:val="21"/>
          <w:szCs w:val="21"/>
        </w:rPr>
        <w:t xml:space="preserve">Ten se </w:t>
      </w:r>
      <w:r w:rsidR="00E53945" w:rsidRPr="004A7461">
        <w:rPr>
          <w:rFonts w:asciiTheme="minorHAnsi" w:hAnsiTheme="minorHAnsi" w:cstheme="minorHAnsi"/>
          <w:b/>
          <w:sz w:val="21"/>
          <w:szCs w:val="21"/>
        </w:rPr>
        <w:t>pohybuje o více než 120 korun níže.</w:t>
      </w:r>
      <w:r w:rsidR="0071316F" w:rsidRPr="004A7461">
        <w:rPr>
          <w:rFonts w:asciiTheme="minorHAnsi" w:hAnsiTheme="minorHAnsi" w:cstheme="minorHAnsi"/>
          <w:b/>
          <w:sz w:val="21"/>
          <w:szCs w:val="21"/>
        </w:rPr>
        <w:t xml:space="preserve"> </w:t>
      </w:r>
      <w:r w:rsidR="00133BFD" w:rsidRPr="004A7461">
        <w:rPr>
          <w:rFonts w:asciiTheme="minorHAnsi" w:hAnsiTheme="minorHAnsi" w:cstheme="minorHAnsi"/>
          <w:b/>
          <w:sz w:val="21"/>
          <w:szCs w:val="21"/>
        </w:rPr>
        <w:t>M</w:t>
      </w:r>
      <w:r w:rsidR="0071316F" w:rsidRPr="004A7461">
        <w:rPr>
          <w:rFonts w:asciiTheme="minorHAnsi" w:hAnsiTheme="minorHAnsi" w:cstheme="minorHAnsi"/>
          <w:b/>
          <w:sz w:val="21"/>
          <w:szCs w:val="21"/>
        </w:rPr>
        <w:t xml:space="preserve">eziměsíčně se </w:t>
      </w:r>
      <w:r w:rsidR="00133BFD" w:rsidRPr="004A7461">
        <w:rPr>
          <w:rFonts w:asciiTheme="minorHAnsi" w:hAnsiTheme="minorHAnsi" w:cstheme="minorHAnsi"/>
          <w:b/>
          <w:sz w:val="21"/>
          <w:szCs w:val="21"/>
        </w:rPr>
        <w:t xml:space="preserve">cena povinného ručení zvedla o 27 korun. </w:t>
      </w:r>
      <w:r w:rsidR="0071316F" w:rsidRPr="004A7461">
        <w:rPr>
          <w:rFonts w:asciiTheme="minorHAnsi" w:hAnsiTheme="minorHAnsi" w:cstheme="minorHAnsi"/>
          <w:b/>
          <w:sz w:val="21"/>
          <w:szCs w:val="21"/>
        </w:rPr>
        <w:t>Trend mírného růstu cen kvůli zdražování vstupů dál</w:t>
      </w:r>
      <w:r w:rsidR="00DE17B0">
        <w:rPr>
          <w:rFonts w:asciiTheme="minorHAnsi" w:hAnsiTheme="minorHAnsi" w:cstheme="minorHAnsi"/>
          <w:b/>
          <w:sz w:val="21"/>
          <w:szCs w:val="21"/>
        </w:rPr>
        <w:t xml:space="preserve"> pokračuje, další zvýšení</w:t>
      </w:r>
      <w:r w:rsidR="0071316F" w:rsidRPr="004A7461">
        <w:rPr>
          <w:rFonts w:asciiTheme="minorHAnsi" w:hAnsiTheme="minorHAnsi" w:cstheme="minorHAnsi"/>
          <w:b/>
          <w:sz w:val="21"/>
          <w:szCs w:val="21"/>
        </w:rPr>
        <w:t xml:space="preserve"> se nadále očekává. </w:t>
      </w:r>
    </w:p>
    <w:p w14:paraId="579C3BAE" w14:textId="6C5D9BF3" w:rsidR="00E53945" w:rsidRPr="004A7461" w:rsidRDefault="0071316F" w:rsidP="00FE189D">
      <w:pPr>
        <w:spacing w:after="240"/>
        <w:ind w:right="130"/>
        <w:jc w:val="both"/>
        <w:rPr>
          <w:rFonts w:asciiTheme="minorHAnsi" w:hAnsiTheme="minorHAnsi" w:cstheme="minorHAnsi"/>
          <w:sz w:val="21"/>
          <w:szCs w:val="21"/>
        </w:rPr>
      </w:pPr>
      <w:r w:rsidRPr="004A7461">
        <w:rPr>
          <w:rFonts w:asciiTheme="minorHAnsi" w:hAnsiTheme="minorHAnsi" w:cstheme="minorHAnsi"/>
          <w:sz w:val="21"/>
          <w:szCs w:val="21"/>
        </w:rPr>
        <w:t xml:space="preserve">Dubnové výsledky Broker Consulting </w:t>
      </w:r>
      <w:proofErr w:type="spellStart"/>
      <w:r w:rsidRPr="004A7461">
        <w:rPr>
          <w:rFonts w:asciiTheme="minorHAnsi" w:hAnsiTheme="minorHAnsi" w:cstheme="minorHAnsi"/>
          <w:sz w:val="21"/>
          <w:szCs w:val="21"/>
        </w:rPr>
        <w:t>POVIndexu</w:t>
      </w:r>
      <w:proofErr w:type="spellEnd"/>
      <w:r w:rsidRPr="004A7461">
        <w:rPr>
          <w:rFonts w:asciiTheme="minorHAnsi" w:hAnsiTheme="minorHAnsi" w:cstheme="minorHAnsi"/>
          <w:sz w:val="21"/>
          <w:szCs w:val="21"/>
        </w:rPr>
        <w:t xml:space="preserve"> </w:t>
      </w:r>
      <w:r w:rsidR="00F1214E" w:rsidRPr="004A7461">
        <w:rPr>
          <w:rFonts w:asciiTheme="minorHAnsi" w:hAnsiTheme="minorHAnsi" w:cstheme="minorHAnsi"/>
          <w:sz w:val="21"/>
          <w:szCs w:val="21"/>
        </w:rPr>
        <w:t>registrují</w:t>
      </w:r>
      <w:r w:rsidR="00582565" w:rsidRPr="004A7461">
        <w:rPr>
          <w:rFonts w:asciiTheme="minorHAnsi" w:hAnsiTheme="minorHAnsi" w:cstheme="minorHAnsi"/>
          <w:sz w:val="21"/>
          <w:szCs w:val="21"/>
        </w:rPr>
        <w:t xml:space="preserve"> mírný nárůst hodnot. </w:t>
      </w:r>
      <w:r w:rsidR="00F1214E" w:rsidRPr="004A7461">
        <w:rPr>
          <w:rFonts w:asciiTheme="minorHAnsi" w:hAnsiTheme="minorHAnsi" w:cstheme="minorHAnsi"/>
          <w:sz w:val="21"/>
          <w:szCs w:val="21"/>
        </w:rPr>
        <w:t>Při</w:t>
      </w:r>
      <w:r w:rsidR="00582565" w:rsidRPr="004A7461">
        <w:rPr>
          <w:rFonts w:asciiTheme="minorHAnsi" w:hAnsiTheme="minorHAnsi" w:cstheme="minorHAnsi"/>
          <w:sz w:val="21"/>
          <w:szCs w:val="21"/>
        </w:rPr>
        <w:t xml:space="preserve"> meziměsíčním srovnání se průměrná cena povinného ručení zvýšila o 27 korun na 6 848 Kč. Loni v dubnu byla přitom jeho hodnota o 189 korun nižší. Předloni </w:t>
      </w:r>
      <w:r w:rsidR="00E23F1D" w:rsidRPr="004A7461">
        <w:rPr>
          <w:rFonts w:asciiTheme="minorHAnsi" w:hAnsiTheme="minorHAnsi" w:cstheme="minorHAnsi"/>
          <w:sz w:val="21"/>
          <w:szCs w:val="21"/>
        </w:rPr>
        <w:t>potom</w:t>
      </w:r>
      <w:r w:rsidR="00F1214E" w:rsidRPr="004A7461">
        <w:rPr>
          <w:rFonts w:asciiTheme="minorHAnsi" w:hAnsiTheme="minorHAnsi" w:cstheme="minorHAnsi"/>
          <w:sz w:val="21"/>
          <w:szCs w:val="21"/>
        </w:rPr>
        <w:t xml:space="preserve"> ještě níže</w:t>
      </w:r>
      <w:r w:rsidR="00582565" w:rsidRPr="004A7461">
        <w:rPr>
          <w:rFonts w:asciiTheme="minorHAnsi" w:hAnsiTheme="minorHAnsi" w:cstheme="minorHAnsi"/>
          <w:sz w:val="21"/>
          <w:szCs w:val="21"/>
        </w:rPr>
        <w:t xml:space="preserve">, a to o více než </w:t>
      </w:r>
      <w:r w:rsidR="00F1214E" w:rsidRPr="004A7461">
        <w:rPr>
          <w:rFonts w:asciiTheme="minorHAnsi" w:hAnsiTheme="minorHAnsi" w:cstheme="minorHAnsi"/>
          <w:sz w:val="21"/>
          <w:szCs w:val="21"/>
        </w:rPr>
        <w:t>pět set korun</w:t>
      </w:r>
      <w:r w:rsidR="00582565" w:rsidRPr="004A7461">
        <w:rPr>
          <w:rFonts w:asciiTheme="minorHAnsi" w:hAnsiTheme="minorHAnsi" w:cstheme="minorHAnsi"/>
          <w:sz w:val="21"/>
          <w:szCs w:val="21"/>
        </w:rPr>
        <w:t xml:space="preserve">. V porovnání s celkovým </w:t>
      </w:r>
      <w:r w:rsidR="00406B06" w:rsidRPr="004A7461">
        <w:rPr>
          <w:rFonts w:asciiTheme="minorHAnsi" w:hAnsiTheme="minorHAnsi" w:cstheme="minorHAnsi"/>
          <w:sz w:val="21"/>
          <w:szCs w:val="21"/>
        </w:rPr>
        <w:t xml:space="preserve">průměrem, který činí 6 724 korun, </w:t>
      </w:r>
      <w:r w:rsidR="00F1214E" w:rsidRPr="004A7461">
        <w:rPr>
          <w:rFonts w:asciiTheme="minorHAnsi" w:hAnsiTheme="minorHAnsi" w:cstheme="minorHAnsi"/>
          <w:sz w:val="21"/>
          <w:szCs w:val="21"/>
        </w:rPr>
        <w:t>je aktuální výsledek naopak</w:t>
      </w:r>
      <w:r w:rsidR="00406B06" w:rsidRPr="004A7461">
        <w:rPr>
          <w:rFonts w:asciiTheme="minorHAnsi" w:hAnsiTheme="minorHAnsi" w:cstheme="minorHAnsi"/>
          <w:sz w:val="21"/>
          <w:szCs w:val="21"/>
        </w:rPr>
        <w:t xml:space="preserve"> vyšší. </w:t>
      </w:r>
      <w:r w:rsidR="003E2280" w:rsidRPr="004A7461">
        <w:rPr>
          <w:rFonts w:asciiTheme="minorHAnsi" w:hAnsiTheme="minorHAnsi" w:cstheme="minorHAnsi"/>
          <w:sz w:val="21"/>
          <w:szCs w:val="21"/>
        </w:rPr>
        <w:t xml:space="preserve">Nadále ale platí, že nejvyšších hodnot dosahoval </w:t>
      </w:r>
      <w:proofErr w:type="spellStart"/>
      <w:r w:rsidR="003E2280" w:rsidRPr="004A7461">
        <w:rPr>
          <w:rFonts w:asciiTheme="minorHAnsi" w:hAnsiTheme="minorHAnsi" w:cstheme="minorHAnsi"/>
          <w:sz w:val="21"/>
          <w:szCs w:val="21"/>
        </w:rPr>
        <w:t>POVIndex</w:t>
      </w:r>
      <w:proofErr w:type="spellEnd"/>
      <w:r w:rsidR="003E2280" w:rsidRPr="004A7461">
        <w:rPr>
          <w:rFonts w:asciiTheme="minorHAnsi" w:hAnsiTheme="minorHAnsi" w:cstheme="minorHAnsi"/>
          <w:sz w:val="21"/>
          <w:szCs w:val="21"/>
        </w:rPr>
        <w:t xml:space="preserve"> v roce 2019, tedy v prvních měsících měření.</w:t>
      </w:r>
    </w:p>
    <w:p w14:paraId="38AF727A" w14:textId="065F70FE" w:rsidR="00FE189D" w:rsidRPr="004A7461" w:rsidRDefault="00FE189D" w:rsidP="00FE189D">
      <w:pPr>
        <w:spacing w:after="240"/>
        <w:ind w:right="130"/>
        <w:jc w:val="both"/>
        <w:rPr>
          <w:rFonts w:asciiTheme="minorHAnsi" w:hAnsiTheme="minorHAnsi" w:cstheme="minorHAnsi"/>
          <w:b/>
          <w:sz w:val="21"/>
          <w:szCs w:val="21"/>
        </w:rPr>
      </w:pPr>
      <w:r w:rsidRPr="004A7461">
        <w:rPr>
          <w:rFonts w:asciiTheme="minorHAnsi" w:hAnsiTheme="minorHAnsi" w:cstheme="minorHAnsi"/>
          <w:sz w:val="21"/>
          <w:szCs w:val="21"/>
        </w:rPr>
        <w:t>„</w:t>
      </w:r>
      <w:r w:rsidR="001C4C44" w:rsidRPr="004A7461">
        <w:rPr>
          <w:rFonts w:asciiTheme="minorHAnsi" w:hAnsiTheme="minorHAnsi" w:cstheme="minorHAnsi"/>
          <w:i/>
          <w:sz w:val="21"/>
          <w:szCs w:val="21"/>
        </w:rPr>
        <w:t xml:space="preserve">Stále očekáváme, že se ceny povinného ručení budou </w:t>
      </w:r>
      <w:r w:rsidRPr="004A7461">
        <w:rPr>
          <w:rFonts w:asciiTheme="minorHAnsi" w:hAnsiTheme="minorHAnsi" w:cstheme="minorHAnsi"/>
          <w:i/>
          <w:sz w:val="21"/>
          <w:szCs w:val="21"/>
        </w:rPr>
        <w:t>nejspíše dál zvedat</w:t>
      </w:r>
      <w:r w:rsidR="001C4C44" w:rsidRPr="004A7461">
        <w:rPr>
          <w:rFonts w:asciiTheme="minorHAnsi" w:hAnsiTheme="minorHAnsi" w:cstheme="minorHAnsi"/>
          <w:i/>
          <w:sz w:val="21"/>
          <w:szCs w:val="21"/>
        </w:rPr>
        <w:t xml:space="preserve">. Pojišťovny do svých ceníků nadále promítají nárůst cen náhradních dílů, ale </w:t>
      </w:r>
      <w:r w:rsidR="00E23F1D" w:rsidRPr="004A7461">
        <w:rPr>
          <w:rFonts w:asciiTheme="minorHAnsi" w:hAnsiTheme="minorHAnsi" w:cstheme="minorHAnsi"/>
          <w:i/>
          <w:sz w:val="21"/>
          <w:szCs w:val="21"/>
        </w:rPr>
        <w:t xml:space="preserve">i zdražení </w:t>
      </w:r>
      <w:r w:rsidR="001C4C44" w:rsidRPr="004A7461">
        <w:rPr>
          <w:rFonts w:asciiTheme="minorHAnsi" w:hAnsiTheme="minorHAnsi" w:cstheme="minorHAnsi"/>
          <w:i/>
          <w:sz w:val="21"/>
          <w:szCs w:val="21"/>
        </w:rPr>
        <w:t>energií</w:t>
      </w:r>
      <w:r w:rsidR="00E23F1D" w:rsidRPr="004A7461">
        <w:rPr>
          <w:rFonts w:asciiTheme="minorHAnsi" w:hAnsiTheme="minorHAnsi" w:cstheme="minorHAnsi"/>
          <w:i/>
          <w:sz w:val="21"/>
          <w:szCs w:val="21"/>
        </w:rPr>
        <w:t xml:space="preserve"> a práce,</w:t>
      </w:r>
      <w:r w:rsidRPr="004A7461">
        <w:rPr>
          <w:rFonts w:asciiTheme="minorHAnsi" w:hAnsiTheme="minorHAnsi" w:cstheme="minorHAnsi"/>
          <w:sz w:val="21"/>
          <w:szCs w:val="21"/>
        </w:rPr>
        <w:t>“</w:t>
      </w:r>
      <w:r w:rsidR="00E23F1D" w:rsidRPr="004A7461">
        <w:rPr>
          <w:rFonts w:asciiTheme="minorHAnsi" w:hAnsiTheme="minorHAnsi" w:cstheme="minorHAnsi"/>
          <w:b/>
          <w:sz w:val="21"/>
          <w:szCs w:val="21"/>
        </w:rPr>
        <w:t xml:space="preserve"> </w:t>
      </w:r>
      <w:r w:rsidRPr="004A7461">
        <w:rPr>
          <w:rFonts w:asciiTheme="minorHAnsi" w:hAnsiTheme="minorHAnsi" w:cstheme="minorHAnsi"/>
          <w:b/>
          <w:sz w:val="21"/>
          <w:szCs w:val="21"/>
        </w:rPr>
        <w:t xml:space="preserve"> Jiří Váchal, analytik neživotního pojištění společnosti Broker Consulting.</w:t>
      </w:r>
    </w:p>
    <w:p w14:paraId="167E78B3" w14:textId="3443551F" w:rsidR="00C805AC" w:rsidRDefault="00C805AC" w:rsidP="00FE189D">
      <w:pPr>
        <w:spacing w:after="240"/>
        <w:ind w:right="130"/>
        <w:jc w:val="both"/>
        <w:rPr>
          <w:rFonts w:asciiTheme="minorHAnsi" w:hAnsiTheme="minorHAnsi" w:cstheme="minorHAnsi"/>
          <w:sz w:val="21"/>
          <w:szCs w:val="21"/>
        </w:rPr>
      </w:pPr>
      <w:r w:rsidRPr="004A7461">
        <w:rPr>
          <w:rFonts w:asciiTheme="minorHAnsi" w:hAnsiTheme="minorHAnsi" w:cstheme="minorHAnsi"/>
          <w:sz w:val="21"/>
          <w:szCs w:val="21"/>
        </w:rPr>
        <w:t>P</w:t>
      </w:r>
      <w:r w:rsidR="00056ECA">
        <w:rPr>
          <w:rFonts w:asciiTheme="minorHAnsi" w:hAnsiTheme="minorHAnsi" w:cstheme="minorHAnsi"/>
          <w:sz w:val="21"/>
          <w:szCs w:val="21"/>
        </w:rPr>
        <w:t xml:space="preserve">ři pohledu do krajů jsou </w:t>
      </w:r>
      <w:r w:rsidRPr="004A7461">
        <w:rPr>
          <w:rFonts w:asciiTheme="minorHAnsi" w:hAnsiTheme="minorHAnsi" w:cstheme="minorHAnsi"/>
          <w:sz w:val="21"/>
          <w:szCs w:val="21"/>
        </w:rPr>
        <w:t>vidět rozdíly v</w:t>
      </w:r>
      <w:r w:rsidR="00374B71">
        <w:rPr>
          <w:rFonts w:asciiTheme="minorHAnsi" w:hAnsiTheme="minorHAnsi" w:cstheme="minorHAnsi"/>
          <w:sz w:val="21"/>
          <w:szCs w:val="21"/>
        </w:rPr>
        <w:t xml:space="preserve"> naměřených </w:t>
      </w:r>
      <w:r w:rsidRPr="004A7461">
        <w:rPr>
          <w:rFonts w:asciiTheme="minorHAnsi" w:hAnsiTheme="minorHAnsi" w:cstheme="minorHAnsi"/>
          <w:sz w:val="21"/>
          <w:szCs w:val="21"/>
        </w:rPr>
        <w:t>hodnotách. Zatímco v Praze se průměrná cena drží stále výše než jinde v</w:t>
      </w:r>
      <w:r w:rsidR="00056ECA">
        <w:rPr>
          <w:rFonts w:asciiTheme="minorHAnsi" w:hAnsiTheme="minorHAnsi" w:cstheme="minorHAnsi"/>
          <w:sz w:val="21"/>
          <w:szCs w:val="21"/>
        </w:rPr>
        <w:t> Česku,</w:t>
      </w:r>
      <w:r w:rsidR="008B0E70">
        <w:rPr>
          <w:rFonts w:asciiTheme="minorHAnsi" w:hAnsiTheme="minorHAnsi" w:cstheme="minorHAnsi"/>
          <w:sz w:val="21"/>
          <w:szCs w:val="21"/>
        </w:rPr>
        <w:t xml:space="preserve"> v menším městě (Benešově u Prahy) jsou</w:t>
      </w:r>
      <w:r w:rsidR="00F41968">
        <w:rPr>
          <w:rFonts w:asciiTheme="minorHAnsi" w:hAnsiTheme="minorHAnsi" w:cstheme="minorHAnsi"/>
          <w:sz w:val="21"/>
          <w:szCs w:val="21"/>
        </w:rPr>
        <w:t xml:space="preserve"> ceny</w:t>
      </w:r>
      <w:r w:rsidR="008B0E70">
        <w:rPr>
          <w:rFonts w:asciiTheme="minorHAnsi" w:hAnsiTheme="minorHAnsi" w:cstheme="minorHAnsi"/>
          <w:sz w:val="21"/>
          <w:szCs w:val="21"/>
        </w:rPr>
        <w:t xml:space="preserve"> </w:t>
      </w:r>
      <w:r w:rsidR="00F41968">
        <w:rPr>
          <w:rFonts w:asciiTheme="minorHAnsi" w:hAnsiTheme="minorHAnsi" w:cstheme="minorHAnsi"/>
          <w:sz w:val="21"/>
          <w:szCs w:val="21"/>
        </w:rPr>
        <w:t>konstantně</w:t>
      </w:r>
      <w:r w:rsidR="008B0E70">
        <w:rPr>
          <w:rFonts w:asciiTheme="minorHAnsi" w:hAnsiTheme="minorHAnsi" w:cstheme="minorHAnsi"/>
          <w:sz w:val="21"/>
          <w:szCs w:val="21"/>
        </w:rPr>
        <w:t xml:space="preserve"> nižší, při porovnání obou průměrů za celé období dokonce o </w:t>
      </w:r>
      <w:r w:rsidR="00374B71">
        <w:rPr>
          <w:rFonts w:asciiTheme="minorHAnsi" w:hAnsiTheme="minorHAnsi" w:cstheme="minorHAnsi"/>
          <w:sz w:val="21"/>
          <w:szCs w:val="21"/>
        </w:rPr>
        <w:t xml:space="preserve">cca </w:t>
      </w:r>
      <w:r w:rsidR="008B0E70">
        <w:rPr>
          <w:rFonts w:asciiTheme="minorHAnsi" w:hAnsiTheme="minorHAnsi" w:cstheme="minorHAnsi"/>
          <w:sz w:val="21"/>
          <w:szCs w:val="21"/>
        </w:rPr>
        <w:t>patnáct set korun</w:t>
      </w:r>
      <w:r w:rsidR="00F41968">
        <w:rPr>
          <w:rFonts w:asciiTheme="minorHAnsi" w:hAnsiTheme="minorHAnsi" w:cstheme="minorHAnsi"/>
          <w:sz w:val="21"/>
          <w:szCs w:val="21"/>
        </w:rPr>
        <w:t xml:space="preserve"> (Praha: 7 489 Kč, Benešov: 5 958 Kč). </w:t>
      </w:r>
    </w:p>
    <w:p w14:paraId="30A84AF9" w14:textId="78077EE2" w:rsidR="00BF3B93" w:rsidRDefault="00BF3B93" w:rsidP="00FE189D">
      <w:pPr>
        <w:spacing w:after="240"/>
        <w:ind w:right="130"/>
        <w:jc w:val="both"/>
        <w:rPr>
          <w:rFonts w:asciiTheme="minorHAnsi" w:hAnsiTheme="minorHAnsi" w:cstheme="minorHAnsi"/>
          <w:sz w:val="21"/>
          <w:szCs w:val="21"/>
        </w:rPr>
      </w:pPr>
      <w:r>
        <w:rPr>
          <w:rFonts w:asciiTheme="minorHAnsi" w:hAnsiTheme="minorHAnsi" w:cstheme="minorHAnsi"/>
          <w:sz w:val="21"/>
          <w:szCs w:val="21"/>
        </w:rPr>
        <w:t xml:space="preserve">Ceny povinného ručení eviduje </w:t>
      </w:r>
      <w:proofErr w:type="spellStart"/>
      <w:r>
        <w:rPr>
          <w:rFonts w:asciiTheme="minorHAnsi" w:hAnsiTheme="minorHAnsi" w:cstheme="minorHAnsi"/>
          <w:sz w:val="21"/>
          <w:szCs w:val="21"/>
        </w:rPr>
        <w:t>POVIndex</w:t>
      </w:r>
      <w:proofErr w:type="spellEnd"/>
      <w:r>
        <w:rPr>
          <w:rFonts w:asciiTheme="minorHAnsi" w:hAnsiTheme="minorHAnsi" w:cstheme="minorHAnsi"/>
          <w:sz w:val="21"/>
          <w:szCs w:val="21"/>
        </w:rPr>
        <w:t xml:space="preserve"> v hlavním městě následující:  7 503 Kč (2020), 7 009 Kč (2021), 7 398 Kč (2022), 7 500 Kč (2023). Ve vybraném menším městě jsou poté hodnoty </w:t>
      </w:r>
      <w:r w:rsidR="00472B53">
        <w:rPr>
          <w:rFonts w:asciiTheme="minorHAnsi" w:hAnsiTheme="minorHAnsi" w:cstheme="minorHAnsi"/>
          <w:sz w:val="21"/>
          <w:szCs w:val="21"/>
        </w:rPr>
        <w:t>za duben</w:t>
      </w:r>
      <w:r>
        <w:rPr>
          <w:rFonts w:asciiTheme="minorHAnsi" w:hAnsiTheme="minorHAnsi" w:cstheme="minorHAnsi"/>
          <w:sz w:val="21"/>
          <w:szCs w:val="21"/>
        </w:rPr>
        <w:t xml:space="preserve">:  5 922 Kč (2020),  5 649 Kč (2021), 5 919 Kč (2022), 6 196 Kč (2023). </w:t>
      </w:r>
    </w:p>
    <w:p w14:paraId="7874D97D" w14:textId="02D21202" w:rsidR="00FE189D" w:rsidRDefault="00FE189D" w:rsidP="00E06CEA">
      <w:pPr>
        <w:ind w:right="130"/>
        <w:jc w:val="both"/>
        <w:rPr>
          <w:rFonts w:asciiTheme="minorHAnsi" w:hAnsiTheme="minorHAnsi" w:cstheme="minorHAnsi"/>
          <w:sz w:val="21"/>
          <w:szCs w:val="21"/>
        </w:rPr>
      </w:pPr>
      <w:r w:rsidRPr="004A7461">
        <w:rPr>
          <w:rFonts w:asciiTheme="minorHAnsi" w:hAnsiTheme="minorHAnsi" w:cstheme="minorHAnsi"/>
          <w:sz w:val="21"/>
          <w:szCs w:val="21"/>
        </w:rPr>
        <w:t>„</w:t>
      </w:r>
      <w:r w:rsidR="00C805AC" w:rsidRPr="004A7461">
        <w:rPr>
          <w:rFonts w:asciiTheme="minorHAnsi" w:hAnsiTheme="minorHAnsi" w:cstheme="minorHAnsi"/>
          <w:i/>
          <w:sz w:val="21"/>
          <w:szCs w:val="21"/>
        </w:rPr>
        <w:t xml:space="preserve">Evidentní je také rozdíl v nabídkách u jednotlivých pojišťoven. </w:t>
      </w:r>
      <w:r w:rsidR="00472B53">
        <w:rPr>
          <w:rFonts w:asciiTheme="minorHAnsi" w:hAnsiTheme="minorHAnsi" w:cstheme="minorHAnsi"/>
          <w:i/>
          <w:sz w:val="21"/>
          <w:szCs w:val="21"/>
        </w:rPr>
        <w:t>Při</w:t>
      </w:r>
      <w:r w:rsidR="00C805AC" w:rsidRPr="004A7461">
        <w:rPr>
          <w:rFonts w:asciiTheme="minorHAnsi" w:hAnsiTheme="minorHAnsi" w:cstheme="minorHAnsi"/>
          <w:i/>
          <w:sz w:val="21"/>
          <w:szCs w:val="21"/>
        </w:rPr>
        <w:t xml:space="preserve"> rozhodnutí o změně poskytovatele pojištění </w:t>
      </w:r>
      <w:r w:rsidR="00472B53">
        <w:rPr>
          <w:rFonts w:asciiTheme="minorHAnsi" w:hAnsiTheme="minorHAnsi" w:cstheme="minorHAnsi"/>
          <w:i/>
          <w:sz w:val="21"/>
          <w:szCs w:val="21"/>
        </w:rPr>
        <w:t xml:space="preserve">je důležité mít </w:t>
      </w:r>
      <w:r w:rsidR="00720FC0">
        <w:rPr>
          <w:rFonts w:asciiTheme="minorHAnsi" w:hAnsiTheme="minorHAnsi" w:cstheme="minorHAnsi"/>
          <w:i/>
          <w:sz w:val="21"/>
          <w:szCs w:val="21"/>
        </w:rPr>
        <w:t xml:space="preserve">správné </w:t>
      </w:r>
      <w:r w:rsidR="000A77CE" w:rsidRPr="004A7461">
        <w:rPr>
          <w:rFonts w:asciiTheme="minorHAnsi" w:hAnsiTheme="minorHAnsi" w:cstheme="minorHAnsi"/>
          <w:i/>
          <w:sz w:val="21"/>
          <w:szCs w:val="21"/>
        </w:rPr>
        <w:t>povědomí o podmínkách odstoupení od smlouvy</w:t>
      </w:r>
      <w:r w:rsidR="000A77CE" w:rsidRPr="004A7461">
        <w:rPr>
          <w:rFonts w:asciiTheme="minorHAnsi" w:hAnsiTheme="minorHAnsi" w:cstheme="minorHAnsi"/>
          <w:sz w:val="21"/>
          <w:szCs w:val="21"/>
        </w:rPr>
        <w:t xml:space="preserve">,“ dodává Váchal. </w:t>
      </w:r>
    </w:p>
    <w:p w14:paraId="50097658" w14:textId="77777777" w:rsidR="00E06CEA" w:rsidRPr="00BF3B93" w:rsidRDefault="00E06CEA" w:rsidP="00E06CEA">
      <w:pPr>
        <w:pBdr>
          <w:bottom w:val="single" w:sz="4" w:space="1" w:color="auto"/>
        </w:pBdr>
        <w:spacing w:after="240"/>
        <w:ind w:right="130"/>
        <w:jc w:val="both"/>
        <w:rPr>
          <w:rFonts w:asciiTheme="minorHAnsi" w:hAnsiTheme="minorHAnsi" w:cstheme="minorHAnsi"/>
          <w:sz w:val="21"/>
          <w:szCs w:val="21"/>
        </w:rPr>
      </w:pPr>
    </w:p>
    <w:p w14:paraId="61F7F818" w14:textId="448A790A" w:rsidR="00CF7691" w:rsidRPr="004A7461" w:rsidRDefault="006B7033" w:rsidP="00E06CEA">
      <w:pPr>
        <w:spacing w:after="120"/>
        <w:ind w:right="130"/>
        <w:jc w:val="both"/>
        <w:rPr>
          <w:rFonts w:asciiTheme="minorHAnsi" w:hAnsiTheme="minorHAnsi" w:cstheme="minorHAnsi"/>
          <w:b/>
          <w:sz w:val="21"/>
          <w:szCs w:val="21"/>
        </w:rPr>
      </w:pPr>
      <w:r w:rsidRPr="004A7461">
        <w:rPr>
          <w:rFonts w:asciiTheme="minorHAnsi" w:hAnsiTheme="minorHAnsi" w:cstheme="minorHAnsi"/>
          <w:b/>
          <w:sz w:val="21"/>
          <w:szCs w:val="21"/>
        </w:rPr>
        <w:drawing>
          <wp:inline distT="0" distB="0" distL="0" distR="0" wp14:anchorId="0F52445C" wp14:editId="24E77BAC">
            <wp:extent cx="6654165" cy="20072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54165" cy="2007235"/>
                    </a:xfrm>
                    <a:prstGeom prst="rect">
                      <a:avLst/>
                    </a:prstGeom>
                  </pic:spPr>
                </pic:pic>
              </a:graphicData>
            </a:graphic>
          </wp:inline>
        </w:drawing>
      </w:r>
    </w:p>
    <w:p w14:paraId="2928CDD5" w14:textId="77777777" w:rsidR="005B3E4A" w:rsidRPr="004A7461" w:rsidRDefault="005B3E4A" w:rsidP="005B3E4A">
      <w:pPr>
        <w:pBdr>
          <w:bottom w:val="single" w:sz="4" w:space="1" w:color="auto"/>
        </w:pBdr>
        <w:spacing w:after="240"/>
        <w:ind w:right="130"/>
        <w:jc w:val="both"/>
        <w:rPr>
          <w:rFonts w:asciiTheme="minorHAnsi" w:hAnsiTheme="minorHAnsi" w:cstheme="minorHAnsi"/>
          <w:b/>
          <w:sz w:val="21"/>
          <w:szCs w:val="21"/>
        </w:rPr>
      </w:pPr>
    </w:p>
    <w:p w14:paraId="253878B0" w14:textId="24ED0E80" w:rsidR="00FE189D" w:rsidRPr="004151E6" w:rsidRDefault="001F27AC" w:rsidP="00FE189D">
      <w:pPr>
        <w:rPr>
          <w:rFonts w:asciiTheme="minorHAnsi" w:hAnsiTheme="minorHAnsi" w:cstheme="minorHAnsi"/>
          <w:b/>
          <w:bCs/>
          <w:color w:val="0D0D0D" w:themeColor="text1" w:themeTint="F2"/>
          <w:sz w:val="21"/>
          <w:szCs w:val="21"/>
        </w:rPr>
      </w:pPr>
      <w:r w:rsidRPr="004151E6">
        <w:rPr>
          <w:rFonts w:asciiTheme="minorHAnsi" w:hAnsiTheme="minorHAnsi" w:cstheme="minorHAnsi"/>
          <w:b/>
          <w:bCs/>
          <w:color w:val="0D0D0D" w:themeColor="text1" w:themeTint="F2"/>
          <w:sz w:val="21"/>
          <w:szCs w:val="21"/>
        </w:rPr>
        <w:lastRenderedPageBreak/>
        <w:t xml:space="preserve">Jak lze vypovědět pojistnou smlouvu? </w:t>
      </w:r>
    </w:p>
    <w:p w14:paraId="355216FF" w14:textId="2F2C3B39" w:rsidR="004151E6" w:rsidRPr="004151E6" w:rsidRDefault="004151E6" w:rsidP="00FE189D">
      <w:pPr>
        <w:rPr>
          <w:rFonts w:asciiTheme="minorHAnsi" w:hAnsiTheme="minorHAnsi" w:cstheme="minorHAnsi"/>
          <w:bCs/>
          <w:color w:val="0D0D0D" w:themeColor="text1" w:themeTint="F2"/>
          <w:sz w:val="21"/>
          <w:szCs w:val="21"/>
        </w:rPr>
      </w:pPr>
    </w:p>
    <w:p w14:paraId="77A3A4E2" w14:textId="0D2D7B57" w:rsidR="004151E6" w:rsidRPr="004151E6" w:rsidRDefault="004151E6" w:rsidP="00AA58B4">
      <w:pPr>
        <w:spacing w:after="120"/>
        <w:rPr>
          <w:rFonts w:asciiTheme="minorHAnsi" w:hAnsiTheme="minorHAnsi" w:cstheme="minorHAnsi"/>
          <w:bCs/>
          <w:color w:val="0D0D0D" w:themeColor="text1" w:themeTint="F2"/>
          <w:sz w:val="21"/>
          <w:szCs w:val="21"/>
        </w:rPr>
      </w:pPr>
      <w:r w:rsidRPr="004151E6">
        <w:rPr>
          <w:rFonts w:asciiTheme="minorHAnsi" w:hAnsiTheme="minorHAnsi" w:cstheme="minorHAnsi"/>
          <w:bCs/>
          <w:color w:val="0D0D0D" w:themeColor="text1" w:themeTint="F2"/>
          <w:sz w:val="21"/>
          <w:szCs w:val="21"/>
        </w:rPr>
        <w:t>Ve</w:t>
      </w:r>
      <w:r>
        <w:rPr>
          <w:rFonts w:asciiTheme="minorHAnsi" w:hAnsiTheme="minorHAnsi" w:cstheme="minorHAnsi"/>
          <w:bCs/>
          <w:color w:val="0D0D0D" w:themeColor="text1" w:themeTint="F2"/>
          <w:sz w:val="21"/>
          <w:szCs w:val="21"/>
        </w:rPr>
        <w:t xml:space="preserve">dle standardní výpovědi pojistné smlouvy ke konci pojistného období, která je nejčastější formou ukončení pojištění, </w:t>
      </w:r>
      <w:r w:rsidR="005A5F89">
        <w:rPr>
          <w:rFonts w:asciiTheme="minorHAnsi" w:hAnsiTheme="minorHAnsi" w:cstheme="minorHAnsi"/>
          <w:bCs/>
          <w:color w:val="0D0D0D" w:themeColor="text1" w:themeTint="F2"/>
          <w:sz w:val="21"/>
          <w:szCs w:val="21"/>
        </w:rPr>
        <w:t>lze podat výpověď pojistné smlouvy při změně vlastníka vozidla</w:t>
      </w:r>
      <w:r w:rsidR="00AA58B4">
        <w:rPr>
          <w:rFonts w:asciiTheme="minorHAnsi" w:hAnsiTheme="minorHAnsi" w:cstheme="minorHAnsi"/>
          <w:bCs/>
          <w:color w:val="0D0D0D" w:themeColor="text1" w:themeTint="F2"/>
          <w:sz w:val="21"/>
          <w:szCs w:val="21"/>
        </w:rPr>
        <w:t xml:space="preserve">, ukončit pojištění při změně výše pojistného, ukončit pojištění do třech měsíců od pojistné události nebo </w:t>
      </w:r>
      <w:r w:rsidR="00F53850">
        <w:rPr>
          <w:rFonts w:asciiTheme="minorHAnsi" w:hAnsiTheme="minorHAnsi" w:cstheme="minorHAnsi"/>
          <w:bCs/>
          <w:color w:val="0D0D0D" w:themeColor="text1" w:themeTint="F2"/>
          <w:sz w:val="21"/>
          <w:szCs w:val="21"/>
        </w:rPr>
        <w:t xml:space="preserve">přerušit </w:t>
      </w:r>
      <w:r w:rsidR="00AA58B4">
        <w:rPr>
          <w:rFonts w:asciiTheme="minorHAnsi" w:hAnsiTheme="minorHAnsi" w:cstheme="minorHAnsi"/>
          <w:bCs/>
          <w:color w:val="0D0D0D" w:themeColor="text1" w:themeTint="F2"/>
          <w:sz w:val="21"/>
          <w:szCs w:val="21"/>
        </w:rPr>
        <w:t xml:space="preserve">sjednané pojištění po vzájemné dohodě (například z důvodu nespokojenosti klienta s poskytovanými službami). </w:t>
      </w:r>
    </w:p>
    <w:p w14:paraId="4BB3095D" w14:textId="11712AC9" w:rsidR="008C7230" w:rsidRDefault="00AA58B4" w:rsidP="00AA58B4">
      <w:pPr>
        <w:pBdr>
          <w:bottom w:val="single" w:sz="4" w:space="1" w:color="auto"/>
        </w:pBdr>
        <w:shd w:val="clear" w:color="auto" w:fill="FFFFFF"/>
        <w:spacing w:after="120"/>
        <w:jc w:val="both"/>
        <w:rPr>
          <w:rFonts w:asciiTheme="minorHAnsi" w:hAnsiTheme="minorHAnsi" w:cstheme="minorHAnsi"/>
          <w:bCs/>
          <w:color w:val="0D0D0D" w:themeColor="text1" w:themeTint="F2"/>
          <w:sz w:val="21"/>
          <w:szCs w:val="21"/>
        </w:rPr>
      </w:pPr>
      <w:r>
        <w:rPr>
          <w:rFonts w:asciiTheme="minorHAnsi" w:eastAsia="Times New Roman" w:hAnsiTheme="minorHAnsi" w:cs="Arial"/>
          <w:color w:val="222222"/>
          <w:sz w:val="21"/>
          <w:szCs w:val="21"/>
        </w:rPr>
        <w:t>Z</w:t>
      </w:r>
      <w:r w:rsidR="00F53850">
        <w:rPr>
          <w:rFonts w:asciiTheme="minorHAnsi" w:eastAsia="Times New Roman" w:hAnsiTheme="minorHAnsi" w:cs="Arial"/>
          <w:color w:val="222222"/>
          <w:sz w:val="21"/>
          <w:szCs w:val="21"/>
        </w:rPr>
        <w:t>a zákona také vyplývají ještě</w:t>
      </w:r>
      <w:r>
        <w:rPr>
          <w:rFonts w:asciiTheme="minorHAnsi" w:eastAsia="Times New Roman" w:hAnsiTheme="minorHAnsi" w:cs="Arial"/>
          <w:color w:val="222222"/>
          <w:sz w:val="21"/>
          <w:szCs w:val="21"/>
        </w:rPr>
        <w:t xml:space="preserve"> </w:t>
      </w:r>
      <w:r w:rsidR="00F53850">
        <w:rPr>
          <w:rFonts w:asciiTheme="minorHAnsi" w:eastAsia="Times New Roman" w:hAnsiTheme="minorHAnsi" w:cs="Arial"/>
          <w:color w:val="222222"/>
          <w:sz w:val="21"/>
          <w:szCs w:val="21"/>
        </w:rPr>
        <w:t xml:space="preserve">dvě </w:t>
      </w:r>
      <w:r>
        <w:rPr>
          <w:rFonts w:asciiTheme="minorHAnsi" w:eastAsia="Times New Roman" w:hAnsiTheme="minorHAnsi" w:cs="Arial"/>
          <w:color w:val="222222"/>
          <w:sz w:val="21"/>
          <w:szCs w:val="21"/>
        </w:rPr>
        <w:t>možnosti, jak vypovědět pojistnou smlouvu, a to do dvou měsíců od uzavření či odstoupení do 14 dnů. „</w:t>
      </w:r>
      <w:r w:rsidRPr="00F53850">
        <w:rPr>
          <w:rFonts w:asciiTheme="minorHAnsi" w:hAnsiTheme="minorHAnsi" w:cstheme="minorHAnsi"/>
          <w:bCs/>
          <w:i/>
          <w:color w:val="0D0D0D" w:themeColor="text1" w:themeTint="F2"/>
          <w:sz w:val="21"/>
          <w:szCs w:val="21"/>
        </w:rPr>
        <w:t>Důležité je počítat s nárokem na dop</w:t>
      </w:r>
      <w:r w:rsidR="00F53850">
        <w:rPr>
          <w:rFonts w:asciiTheme="minorHAnsi" w:hAnsiTheme="minorHAnsi" w:cstheme="minorHAnsi"/>
          <w:bCs/>
          <w:i/>
          <w:color w:val="0D0D0D" w:themeColor="text1" w:themeTint="F2"/>
          <w:sz w:val="21"/>
          <w:szCs w:val="21"/>
        </w:rPr>
        <w:t xml:space="preserve">lacení odpovídající částky za pojištění, které trvalo před úplným ukončením dané </w:t>
      </w:r>
      <w:bookmarkStart w:id="0" w:name="_GoBack"/>
      <w:bookmarkEnd w:id="0"/>
      <w:r w:rsidR="00F53850">
        <w:rPr>
          <w:rFonts w:asciiTheme="minorHAnsi" w:hAnsiTheme="minorHAnsi" w:cstheme="minorHAnsi"/>
          <w:bCs/>
          <w:i/>
          <w:color w:val="0D0D0D" w:themeColor="text1" w:themeTint="F2"/>
          <w:sz w:val="21"/>
          <w:szCs w:val="21"/>
        </w:rPr>
        <w:t>pojistné smlouvy</w:t>
      </w:r>
      <w:r>
        <w:rPr>
          <w:rFonts w:asciiTheme="minorHAnsi" w:hAnsiTheme="minorHAnsi" w:cstheme="minorHAnsi"/>
          <w:bCs/>
          <w:color w:val="0D0D0D" w:themeColor="text1" w:themeTint="F2"/>
          <w:sz w:val="21"/>
          <w:szCs w:val="21"/>
        </w:rPr>
        <w:t xml:space="preserve">,“ upozorňuje Váchal. </w:t>
      </w:r>
    </w:p>
    <w:p w14:paraId="0FFD711D" w14:textId="77777777" w:rsidR="00AA58B4" w:rsidRPr="00AA58B4" w:rsidRDefault="00AA58B4" w:rsidP="00AA58B4">
      <w:pPr>
        <w:pBdr>
          <w:bottom w:val="single" w:sz="4" w:space="1" w:color="auto"/>
        </w:pBdr>
        <w:shd w:val="clear" w:color="auto" w:fill="FFFFFF"/>
        <w:spacing w:after="270"/>
        <w:jc w:val="both"/>
        <w:rPr>
          <w:rFonts w:asciiTheme="minorHAnsi" w:eastAsia="Times New Roman" w:hAnsiTheme="minorHAnsi" w:cs="Arial"/>
          <w:color w:val="222222"/>
          <w:sz w:val="21"/>
          <w:szCs w:val="21"/>
        </w:rPr>
      </w:pPr>
    </w:p>
    <w:p w14:paraId="3BDF8A87" w14:textId="4FA881DA" w:rsidR="006620C8" w:rsidRPr="00030BBF" w:rsidRDefault="00C86EBC" w:rsidP="005B3E4A">
      <w:pPr>
        <w:spacing w:before="120"/>
        <w:jc w:val="both"/>
        <w:rPr>
          <w:rFonts w:asciiTheme="minorHAnsi" w:hAnsiTheme="minorHAnsi" w:cstheme="minorHAnsi"/>
          <w:color w:val="000000" w:themeColor="text1"/>
        </w:rPr>
      </w:pPr>
      <w:proofErr w:type="spellStart"/>
      <w:r w:rsidRPr="00030BBF">
        <w:rPr>
          <w:rFonts w:asciiTheme="minorHAnsi" w:hAnsiTheme="minorHAnsi" w:cstheme="minorHAnsi"/>
          <w:color w:val="000000" w:themeColor="text1"/>
        </w:rPr>
        <w:t>POVIndex</w:t>
      </w:r>
      <w:proofErr w:type="spellEnd"/>
      <w:r w:rsidRPr="00030BBF">
        <w:rPr>
          <w:rFonts w:asciiTheme="minorHAnsi" w:hAnsiTheme="minorHAnsi" w:cstheme="minorHAnsi"/>
          <w:color w:val="000000" w:themeColor="text1"/>
        </w:rPr>
        <w:t xml:space="preserve"> byl poprvé spuštěn v srpnu roku 2019. Od svého počátku sleduje vývoj nákladů na povinné ručení pro řidiče bez historie, ať už se jedná o nového řidiče, nebo o řidiče, který donedávna užíval služební vozidlo. Broker Consulting </w:t>
      </w:r>
      <w:proofErr w:type="spellStart"/>
      <w:r w:rsidRPr="00030BBF">
        <w:rPr>
          <w:rFonts w:asciiTheme="minorHAnsi" w:hAnsiTheme="minorHAnsi" w:cstheme="minorHAnsi"/>
          <w:color w:val="000000" w:themeColor="text1"/>
        </w:rPr>
        <w:t>POVIndex</w:t>
      </w:r>
      <w:proofErr w:type="spellEnd"/>
      <w:r w:rsidRPr="00030BBF">
        <w:rPr>
          <w:rFonts w:asciiTheme="minorHAnsi" w:hAnsiTheme="minorHAnsi" w:cstheme="minorHAnsi"/>
          <w:color w:val="000000" w:themeColor="text1"/>
        </w:rPr>
        <w:t xml:space="preserve"> je počítán odlišnou metodikou, než jako používá ČKP. Pro vizualizaci je zvolena značka vozu Škoda Octavia 1,6 TDI, 85 kW. </w:t>
      </w:r>
      <w:proofErr w:type="spellStart"/>
      <w:r w:rsidRPr="00030BBF">
        <w:rPr>
          <w:rFonts w:asciiTheme="minorHAnsi" w:hAnsiTheme="minorHAnsi" w:cstheme="minorHAnsi"/>
          <w:color w:val="000000" w:themeColor="text1"/>
        </w:rPr>
        <w:t>POVIndex</w:t>
      </w:r>
      <w:proofErr w:type="spellEnd"/>
      <w:r w:rsidRPr="00030BBF">
        <w:rPr>
          <w:rFonts w:asciiTheme="minorHAnsi" w:hAnsiTheme="minorHAnsi" w:cstheme="minorHAnsi"/>
          <w:color w:val="000000" w:themeColor="text1"/>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030BBF">
        <w:rPr>
          <w:rFonts w:asciiTheme="minorHAnsi" w:hAnsiTheme="minorHAnsi" w:cstheme="minorHAnsi"/>
          <w:color w:val="000000" w:themeColor="text1"/>
        </w:rPr>
        <w:t>POVIndexu</w:t>
      </w:r>
      <w:proofErr w:type="spellEnd"/>
      <w:r w:rsidRPr="00030BBF">
        <w:rPr>
          <w:rFonts w:asciiTheme="minorHAnsi" w:hAnsiTheme="minorHAnsi" w:cstheme="minorHAnsi"/>
          <w:color w:val="000000" w:themeColor="text1"/>
        </w:rPr>
        <w:t xml:space="preserve"> sledovat, zda pojišťovny základní sazby u typického vozu spíše zdražují, nebo zlevňují.</w:t>
      </w:r>
    </w:p>
    <w:p w14:paraId="5D07F572" w14:textId="68EFA569" w:rsidR="007E0AC1" w:rsidRPr="00030BBF" w:rsidRDefault="005B3DDD" w:rsidP="005B3E4A">
      <w:pPr>
        <w:pStyle w:val="Zkladntext"/>
        <w:spacing w:before="120" w:line="237" w:lineRule="auto"/>
        <w:jc w:val="both"/>
        <w:rPr>
          <w:rFonts w:asciiTheme="minorHAnsi" w:hAnsiTheme="minorHAnsi" w:cstheme="minorHAnsi"/>
        </w:rPr>
      </w:pPr>
      <w:r w:rsidRPr="00030BBF">
        <w:rPr>
          <w:rFonts w:asciiTheme="minorHAnsi" w:hAnsiTheme="minorHAnsi" w:cstheme="minorHAnsi"/>
          <w:b/>
        </w:rPr>
        <w:t xml:space="preserve">Broker Consulting </w:t>
      </w:r>
      <w:proofErr w:type="spellStart"/>
      <w:r w:rsidRPr="00030BBF">
        <w:rPr>
          <w:rFonts w:asciiTheme="minorHAnsi" w:hAnsiTheme="minorHAnsi" w:cstheme="minorHAnsi"/>
          <w:b/>
        </w:rPr>
        <w:t>POVIndex</w:t>
      </w:r>
      <w:proofErr w:type="spellEnd"/>
      <w:r w:rsidR="00C503A0" w:rsidRPr="00030BBF">
        <w:rPr>
          <w:rFonts w:asciiTheme="minorHAnsi" w:hAnsiTheme="minorHAnsi" w:cstheme="minorHAnsi"/>
        </w:rPr>
        <w:t xml:space="preserve"> j</w:t>
      </w:r>
      <w:r w:rsidRPr="00030BBF">
        <w:rPr>
          <w:rFonts w:asciiTheme="minorHAnsi" w:hAnsiTheme="minorHAnsi" w:cstheme="minorHAnsi"/>
        </w:rPr>
        <w:t xml:space="preserve">e založen na odlišné metodice výpočtu, než jakou používá ČKP. Jeho hodnota nevychází z průměru hodnot celé řady veličin, ale z menšího množství parametrů. </w:t>
      </w:r>
      <w:proofErr w:type="spellStart"/>
      <w:r w:rsidRPr="00030BBF">
        <w:rPr>
          <w:rFonts w:asciiTheme="minorHAnsi" w:hAnsiTheme="minorHAnsi" w:cstheme="minorHAnsi"/>
        </w:rPr>
        <w:t>POVIndex</w:t>
      </w:r>
      <w:proofErr w:type="spellEnd"/>
      <w:r w:rsidRPr="00030BBF">
        <w:rPr>
          <w:rFonts w:asciiTheme="minorHAnsi" w:hAnsiTheme="minorHAnsi" w:cstheme="minorHAnsi"/>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030BBF">
        <w:rPr>
          <w:rFonts w:asciiTheme="minorHAnsi" w:hAnsiTheme="minorHAnsi" w:cstheme="minorHAnsi"/>
        </w:rPr>
        <w:t>POVIndexu</w:t>
      </w:r>
      <w:proofErr w:type="spellEnd"/>
      <w:r w:rsidRPr="00030BBF">
        <w:rPr>
          <w:rFonts w:asciiTheme="minorHAnsi" w:hAnsiTheme="minorHAnsi" w:cstheme="minorHAnsi"/>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1312ED3D" w14:textId="77777777" w:rsidR="00DE7CE1" w:rsidRDefault="00DE7CE1" w:rsidP="00AD2933">
      <w:pPr>
        <w:pBdr>
          <w:bottom w:val="single" w:sz="4" w:space="0" w:color="auto"/>
        </w:pBdr>
        <w:rPr>
          <w:rFonts w:ascii="Arial" w:hAnsi="Arial" w:cs="Arial"/>
          <w:b/>
          <w:sz w:val="18"/>
          <w:szCs w:val="16"/>
        </w:rPr>
      </w:pPr>
    </w:p>
    <w:p w14:paraId="0572A7E3" w14:textId="6C510BF2" w:rsidR="00356FFC" w:rsidRDefault="00356FFC" w:rsidP="00AD2933">
      <w:pPr>
        <w:pStyle w:val="Zkladntext"/>
        <w:spacing w:before="33" w:line="237" w:lineRule="auto"/>
        <w:rPr>
          <w:rFonts w:ascii="Arial" w:hAnsi="Arial" w:cs="Arial"/>
          <w:b/>
          <w:sz w:val="18"/>
          <w:szCs w:val="18"/>
        </w:rPr>
      </w:pPr>
    </w:p>
    <w:p w14:paraId="549F0D26" w14:textId="72161D24" w:rsidR="000E21D2" w:rsidRPr="00030BBF" w:rsidRDefault="00763554" w:rsidP="00AD2933">
      <w:pPr>
        <w:rPr>
          <w:rFonts w:asciiTheme="minorHAnsi" w:hAnsiTheme="minorHAnsi" w:cstheme="minorHAnsi"/>
        </w:rPr>
      </w:pPr>
      <w:r w:rsidRPr="00030BBF">
        <w:rPr>
          <w:rFonts w:asciiTheme="minorHAnsi" w:hAnsiTheme="minorHAnsi" w:cstheme="minorHAnsi"/>
          <w:b/>
        </w:rPr>
        <w:t>Poznámka pro média:</w:t>
      </w:r>
      <w:r w:rsidRPr="00030BBF">
        <w:rPr>
          <w:rFonts w:asciiTheme="minorHAnsi" w:hAnsiTheme="minorHAnsi" w:cstheme="minorHAnsi"/>
        </w:rPr>
        <w:t xml:space="preserve"> </w:t>
      </w:r>
      <w:r w:rsidRPr="00030BBF">
        <w:rPr>
          <w:rFonts w:asciiTheme="minorHAnsi" w:hAnsiTheme="minorHAnsi" w:cstheme="minorHAnsi"/>
          <w:color w:val="1D1D1B"/>
          <w:w w:val="105"/>
        </w:rPr>
        <w:t>Broker</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Consulting</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Indexy</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je</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možné</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volně</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spacing w:val="2"/>
          <w:w w:val="105"/>
        </w:rPr>
        <w:t>publikovat</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pouze</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s</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označením</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„Broker</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Consulting</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Index“</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spacing w:val="-3"/>
          <w:w w:val="105"/>
        </w:rPr>
        <w:t>(</w:t>
      </w:r>
      <w:r w:rsidRPr="00030BBF">
        <w:rPr>
          <w:rFonts w:asciiTheme="minorHAnsi" w:hAnsiTheme="minorHAnsi" w:cstheme="minorHAnsi"/>
          <w:i/>
          <w:color w:val="1D1D1B"/>
          <w:spacing w:val="-3"/>
          <w:w w:val="105"/>
        </w:rPr>
        <w:t>např.</w:t>
      </w:r>
      <w:r w:rsidRPr="00030BBF">
        <w:rPr>
          <w:rFonts w:asciiTheme="minorHAnsi" w:hAnsiTheme="minorHAnsi" w:cstheme="minorHAnsi"/>
          <w:i/>
          <w:color w:val="1D1D1B"/>
          <w:spacing w:val="-8"/>
          <w:w w:val="105"/>
        </w:rPr>
        <w:t xml:space="preserve"> </w:t>
      </w:r>
      <w:r w:rsidRPr="00030BBF">
        <w:rPr>
          <w:rFonts w:asciiTheme="minorHAnsi" w:hAnsiTheme="minorHAnsi" w:cstheme="minorHAnsi"/>
          <w:i/>
          <w:color w:val="1D1D1B"/>
          <w:w w:val="105"/>
        </w:rPr>
        <w:t>Broker</w:t>
      </w:r>
      <w:r w:rsidRPr="00030BBF">
        <w:rPr>
          <w:rFonts w:asciiTheme="minorHAnsi" w:hAnsiTheme="minorHAnsi" w:cstheme="minorHAnsi"/>
          <w:i/>
          <w:color w:val="1D1D1B"/>
          <w:spacing w:val="-9"/>
          <w:w w:val="105"/>
        </w:rPr>
        <w:t xml:space="preserve"> </w:t>
      </w:r>
      <w:r w:rsidRPr="00030BBF">
        <w:rPr>
          <w:rFonts w:asciiTheme="minorHAnsi" w:hAnsiTheme="minorHAnsi" w:cstheme="minorHAnsi"/>
          <w:i/>
          <w:color w:val="1D1D1B"/>
          <w:w w:val="105"/>
        </w:rPr>
        <w:t>Consulting</w:t>
      </w:r>
      <w:r w:rsidRPr="00030BBF">
        <w:rPr>
          <w:rFonts w:asciiTheme="minorHAnsi" w:hAnsiTheme="minorHAnsi" w:cstheme="minorHAnsi"/>
          <w:i/>
          <w:color w:val="1D1D1B"/>
          <w:spacing w:val="-8"/>
          <w:w w:val="105"/>
        </w:rPr>
        <w:t xml:space="preserve"> </w:t>
      </w:r>
      <w:r w:rsidRPr="00030BBF">
        <w:rPr>
          <w:rFonts w:asciiTheme="minorHAnsi" w:hAnsiTheme="minorHAnsi" w:cstheme="minorHAnsi"/>
          <w:i/>
          <w:color w:val="1D1D1B"/>
          <w:w w:val="105"/>
        </w:rPr>
        <w:t xml:space="preserve">Index hypotečních úvěrů). Více informací najdete též na webu </w:t>
      </w:r>
      <w:r w:rsidRPr="00030BBF">
        <w:rPr>
          <w:rStyle w:val="Hypertextovodkaz"/>
          <w:rFonts w:asciiTheme="minorHAnsi" w:hAnsiTheme="minorHAnsi" w:cstheme="minorHAnsi"/>
          <w:i/>
          <w:w w:val="105"/>
        </w:rPr>
        <w:t>https://www.bcas.cz/onas/pro-media/</w:t>
      </w:r>
      <w:r w:rsidRPr="00030BBF">
        <w:rPr>
          <w:rFonts w:asciiTheme="minorHAnsi" w:hAnsiTheme="minorHAnsi" w:cstheme="minorHAnsi"/>
          <w:i/>
          <w:color w:val="1D1D1B"/>
          <w:w w:val="105"/>
        </w:rPr>
        <w:t xml:space="preserve">. </w:t>
      </w:r>
    </w:p>
    <w:p w14:paraId="43CFEAAA" w14:textId="77777777" w:rsidR="000E21D2" w:rsidRPr="00030BBF" w:rsidRDefault="000E21D2" w:rsidP="00DE7CE1">
      <w:pPr>
        <w:pStyle w:val="Bezmezer"/>
        <w:rPr>
          <w:rFonts w:eastAsia="F015TEELig" w:cstheme="minorHAnsi"/>
          <w:b/>
        </w:rPr>
      </w:pPr>
    </w:p>
    <w:p w14:paraId="7966D3DF" w14:textId="74C850C7" w:rsidR="00DE7CE1" w:rsidRPr="00030BBF" w:rsidRDefault="00866220" w:rsidP="00DE7CE1">
      <w:pPr>
        <w:pStyle w:val="Bezmezer"/>
        <w:rPr>
          <w:rFonts w:eastAsia="F015TEELig" w:cstheme="minorHAnsi"/>
          <w:b/>
        </w:rPr>
      </w:pPr>
      <w:r w:rsidRPr="00030BBF">
        <w:rPr>
          <w:rFonts w:eastAsia="F015TEELig" w:cstheme="minorHAnsi"/>
          <w:b/>
        </w:rPr>
        <w:t>Kontakt pro média:</w:t>
      </w:r>
    </w:p>
    <w:p w14:paraId="2ACFC1DB" w14:textId="7D8BE6BA" w:rsidR="00DE7CE1" w:rsidRPr="00030BBF" w:rsidRDefault="00236B96" w:rsidP="00DE7CE1">
      <w:pPr>
        <w:pStyle w:val="Bezmezer"/>
        <w:rPr>
          <w:rFonts w:eastAsia="F015TEELig" w:cstheme="minorHAnsi"/>
        </w:rPr>
      </w:pPr>
      <w:r w:rsidRPr="00030BBF">
        <w:rPr>
          <w:rFonts w:eastAsia="F015TEELig" w:cstheme="minorHAnsi"/>
        </w:rPr>
        <w:t>Michaela Sahulová</w:t>
      </w:r>
    </w:p>
    <w:p w14:paraId="3373094C" w14:textId="6E64C468" w:rsidR="00866220" w:rsidRPr="00030BBF" w:rsidRDefault="00866220" w:rsidP="00DE7CE1">
      <w:pPr>
        <w:pStyle w:val="Bezmezer"/>
        <w:rPr>
          <w:rFonts w:eastAsia="F015TEELig" w:cstheme="minorHAnsi"/>
        </w:rPr>
      </w:pPr>
      <w:r w:rsidRPr="00030BBF">
        <w:rPr>
          <w:rFonts w:eastAsia="F015TEELig" w:cstheme="minorHAnsi"/>
        </w:rPr>
        <w:t>Specialistka PR a externí komunikace</w:t>
      </w:r>
    </w:p>
    <w:p w14:paraId="6FC0F9F5" w14:textId="6D2D4AC2" w:rsidR="004C7BB5" w:rsidRPr="005B3E4A" w:rsidRDefault="00236B96" w:rsidP="00A1017F">
      <w:pPr>
        <w:pStyle w:val="Bezmezer"/>
        <w:rPr>
          <w:rFonts w:eastAsia="F015TEELig" w:cstheme="minorHAnsi"/>
        </w:rPr>
      </w:pPr>
      <w:r w:rsidRPr="00030BBF">
        <w:rPr>
          <w:rFonts w:eastAsia="F015TEELig" w:cstheme="minorHAnsi"/>
        </w:rPr>
        <w:t>Mobil: +420 731 538</w:t>
      </w:r>
      <w:r w:rsidR="005B3E4A">
        <w:rPr>
          <w:rFonts w:eastAsia="F015TEELig" w:cstheme="minorHAnsi"/>
        </w:rPr>
        <w:t> </w:t>
      </w:r>
      <w:r w:rsidRPr="00030BBF">
        <w:rPr>
          <w:rFonts w:eastAsia="F015TEELig" w:cstheme="minorHAnsi"/>
        </w:rPr>
        <w:t>373</w:t>
      </w:r>
      <w:r w:rsidR="005B3E4A">
        <w:rPr>
          <w:rFonts w:eastAsia="F015TEELig" w:cstheme="minorHAnsi"/>
        </w:rPr>
        <w:t>, e</w:t>
      </w:r>
      <w:r w:rsidR="00866220" w:rsidRPr="00030BBF">
        <w:rPr>
          <w:rFonts w:eastAsia="F015TEELig" w:cstheme="minorHAnsi"/>
        </w:rPr>
        <w:t>-mail:</w:t>
      </w:r>
      <w:r w:rsidR="00866220" w:rsidRPr="00030BBF">
        <w:rPr>
          <w:rFonts w:eastAsia="Calibri" w:cstheme="minorHAnsi"/>
          <w:noProof/>
        </w:rPr>
        <w:t xml:space="preserve"> </w:t>
      </w:r>
      <w:hyperlink r:id="rId17" w:history="1">
        <w:r w:rsidR="005B3DDD" w:rsidRPr="00030BBF">
          <w:rPr>
            <w:rStyle w:val="Hypertextovodkaz"/>
            <w:rFonts w:eastAsia="Calibri" w:cstheme="minorHAnsi"/>
            <w:noProof/>
          </w:rPr>
          <w:t>michaela.sahulova@bcas.cz</w:t>
        </w:r>
      </w:hyperlink>
      <w:r w:rsidR="00866220" w:rsidRPr="00030BBF">
        <w:rPr>
          <w:rFonts w:eastAsia="Calibri" w:cstheme="minorHAnsi"/>
          <w:noProof/>
        </w:rPr>
        <w:t xml:space="preserve"> </w:t>
      </w:r>
    </w:p>
    <w:sectPr w:rsidR="004C7BB5" w:rsidRPr="005B3E4A" w:rsidSect="006B54C7">
      <w:headerReference w:type="default" r:id="rId18"/>
      <w:footerReference w:type="default" r:id="rId19"/>
      <w:headerReference w:type="first" r:id="rId20"/>
      <w:footerReference w:type="first" r:id="rId21"/>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CBAA8" w14:textId="77777777" w:rsidR="002C0392" w:rsidRDefault="002C0392">
      <w:r>
        <w:separator/>
      </w:r>
    </w:p>
  </w:endnote>
  <w:endnote w:type="continuationSeparator" w:id="0">
    <w:p w14:paraId="37F548BF" w14:textId="77777777" w:rsidR="002C0392" w:rsidRDefault="002C0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00"/>
    <w:family w:val="swiss"/>
    <w:pitch w:val="variable"/>
    <w:sig w:usb0="E0002AFF" w:usb1="C0007843"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5479FAA3"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F53850">
          <w:rPr>
            <w:rFonts w:asciiTheme="minorHAnsi" w:hAnsiTheme="minorHAnsi" w:cstheme="minorHAnsi"/>
            <w:noProof/>
            <w:sz w:val="20"/>
            <w:szCs w:val="20"/>
          </w:rPr>
          <w:t>3</w:t>
        </w:r>
        <w:r w:rsidRPr="006B54C7">
          <w:rPr>
            <w:rFonts w:asciiTheme="minorHAnsi" w:hAnsiTheme="minorHAnsi" w:cstheme="minorHAnsi"/>
            <w:sz w:val="20"/>
            <w:szCs w:val="20"/>
          </w:rPr>
          <w:fldChar w:fldCharType="end"/>
        </w:r>
        <w:r w:rsidRPr="006B54C7">
          <w:rPr>
            <w:rFonts w:asciiTheme="minorHAnsi" w:hAnsiTheme="minorHAnsi" w:cstheme="minorHAnsi"/>
            <w:sz w:val="20"/>
            <w:szCs w:val="20"/>
          </w:rPr>
          <w:t>/3</w:t>
        </w:r>
      </w:p>
      <w:p w14:paraId="5AF2E761" w14:textId="77777777" w:rsidR="006B54C7" w:rsidRDefault="006B54C7">
        <w:pPr>
          <w:pStyle w:val="Zpat"/>
          <w:jc w:val="center"/>
        </w:pPr>
      </w:p>
      <w:p w14:paraId="21AECC00" w14:textId="52E0DABD" w:rsidR="006B54C7" w:rsidRDefault="002C0392">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5231C" w14:textId="77777777" w:rsidR="002C0392" w:rsidRDefault="002C0392">
      <w:r>
        <w:separator/>
      </w:r>
    </w:p>
  </w:footnote>
  <w:footnote w:type="continuationSeparator" w:id="0">
    <w:p w14:paraId="0042B51D" w14:textId="77777777" w:rsidR="002C0392" w:rsidRDefault="002C0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28C96E50" w14:textId="013FC64A" w:rsidR="00B65A3B" w:rsidRPr="00C8584A" w:rsidRDefault="00AF0BE0" w:rsidP="00B65A3B">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p w14:paraId="5006E230" w14:textId="77777777" w:rsidR="00C8584A" w:rsidRDefault="00C8584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4"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5"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
  </w:num>
  <w:num w:numId="3">
    <w:abstractNumId w:val="18"/>
  </w:num>
  <w:num w:numId="4">
    <w:abstractNumId w:val="5"/>
  </w:num>
  <w:num w:numId="5">
    <w:abstractNumId w:val="0"/>
  </w:num>
  <w:num w:numId="6">
    <w:abstractNumId w:val="20"/>
  </w:num>
  <w:num w:numId="7">
    <w:abstractNumId w:val="12"/>
  </w:num>
  <w:num w:numId="8">
    <w:abstractNumId w:val="11"/>
  </w:num>
  <w:num w:numId="9">
    <w:abstractNumId w:val="8"/>
  </w:num>
  <w:num w:numId="10">
    <w:abstractNumId w:val="10"/>
  </w:num>
  <w:num w:numId="11">
    <w:abstractNumId w:val="6"/>
  </w:num>
  <w:num w:numId="12">
    <w:abstractNumId w:val="3"/>
  </w:num>
  <w:num w:numId="13">
    <w:abstractNumId w:val="15"/>
  </w:num>
  <w:num w:numId="14">
    <w:abstractNumId w:val="23"/>
  </w:num>
  <w:num w:numId="15">
    <w:abstractNumId w:val="1"/>
  </w:num>
  <w:num w:numId="16">
    <w:abstractNumId w:val="14"/>
  </w:num>
  <w:num w:numId="17">
    <w:abstractNumId w:val="4"/>
  </w:num>
  <w:num w:numId="18">
    <w:abstractNumId w:val="9"/>
  </w:num>
  <w:num w:numId="19">
    <w:abstractNumId w:val="17"/>
  </w:num>
  <w:num w:numId="20">
    <w:abstractNumId w:val="22"/>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 w:ilvl="0">
        <w:start w:val="3"/>
        <w:numFmt w:val="decimal"/>
        <w:lvlText w:val="%1."/>
        <w:lvlJc w:val="left"/>
        <w:pPr>
          <w:ind w:left="0" w:firstLine="0"/>
        </w:pPr>
        <w:rPr>
          <w:b/>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lvlOverride w:ilvl="1">
      <w:startOverride w:val="4"/>
    </w:lvlOverride>
    <w:lvlOverride w:ilvl="2"/>
    <w:lvlOverride w:ilvl="3"/>
    <w:lvlOverride w:ilvl="4"/>
    <w:lvlOverride w:ilvl="5"/>
    <w:lvlOverride w:ilvl="6"/>
    <w:lvlOverride w:ilvl="7"/>
    <w:lvlOverride w:ilvl="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05FCB"/>
    <w:rsid w:val="00010812"/>
    <w:rsid w:val="000118E9"/>
    <w:rsid w:val="00014A3B"/>
    <w:rsid w:val="000153FB"/>
    <w:rsid w:val="00015694"/>
    <w:rsid w:val="0002531C"/>
    <w:rsid w:val="00025983"/>
    <w:rsid w:val="000262FD"/>
    <w:rsid w:val="00026F23"/>
    <w:rsid w:val="00030BBF"/>
    <w:rsid w:val="00031C6E"/>
    <w:rsid w:val="00032AD6"/>
    <w:rsid w:val="00032D94"/>
    <w:rsid w:val="000374D7"/>
    <w:rsid w:val="0004010D"/>
    <w:rsid w:val="00041008"/>
    <w:rsid w:val="0004360D"/>
    <w:rsid w:val="000504BA"/>
    <w:rsid w:val="0005423A"/>
    <w:rsid w:val="00055470"/>
    <w:rsid w:val="00056BB7"/>
    <w:rsid w:val="00056ECA"/>
    <w:rsid w:val="00062E18"/>
    <w:rsid w:val="00066A72"/>
    <w:rsid w:val="00067BA6"/>
    <w:rsid w:val="000705A5"/>
    <w:rsid w:val="00070D3C"/>
    <w:rsid w:val="0007198D"/>
    <w:rsid w:val="0007340D"/>
    <w:rsid w:val="00073462"/>
    <w:rsid w:val="00076845"/>
    <w:rsid w:val="00076C44"/>
    <w:rsid w:val="00077CC7"/>
    <w:rsid w:val="000866C0"/>
    <w:rsid w:val="00087D87"/>
    <w:rsid w:val="00090F2A"/>
    <w:rsid w:val="00091509"/>
    <w:rsid w:val="00094F77"/>
    <w:rsid w:val="00096AE4"/>
    <w:rsid w:val="000A06EA"/>
    <w:rsid w:val="000A170E"/>
    <w:rsid w:val="000A51D0"/>
    <w:rsid w:val="000A6FB0"/>
    <w:rsid w:val="000A77CE"/>
    <w:rsid w:val="000C1AB4"/>
    <w:rsid w:val="000C32B0"/>
    <w:rsid w:val="000C351D"/>
    <w:rsid w:val="000C38CB"/>
    <w:rsid w:val="000C3C4C"/>
    <w:rsid w:val="000C53D6"/>
    <w:rsid w:val="000C7119"/>
    <w:rsid w:val="000C74BD"/>
    <w:rsid w:val="000D11FB"/>
    <w:rsid w:val="000D133F"/>
    <w:rsid w:val="000D2044"/>
    <w:rsid w:val="000D2DDE"/>
    <w:rsid w:val="000D333C"/>
    <w:rsid w:val="000D6870"/>
    <w:rsid w:val="000E21D2"/>
    <w:rsid w:val="000E286C"/>
    <w:rsid w:val="000F040D"/>
    <w:rsid w:val="000F1935"/>
    <w:rsid w:val="000F47AE"/>
    <w:rsid w:val="000F56EF"/>
    <w:rsid w:val="000F6249"/>
    <w:rsid w:val="00100869"/>
    <w:rsid w:val="0010426A"/>
    <w:rsid w:val="00104FCB"/>
    <w:rsid w:val="00106651"/>
    <w:rsid w:val="00107E00"/>
    <w:rsid w:val="00112F65"/>
    <w:rsid w:val="00114392"/>
    <w:rsid w:val="00114D2B"/>
    <w:rsid w:val="00114D66"/>
    <w:rsid w:val="00114E09"/>
    <w:rsid w:val="00115CF8"/>
    <w:rsid w:val="00116173"/>
    <w:rsid w:val="00116A29"/>
    <w:rsid w:val="00117988"/>
    <w:rsid w:val="0012132F"/>
    <w:rsid w:val="0012713E"/>
    <w:rsid w:val="0013044E"/>
    <w:rsid w:val="00131F7B"/>
    <w:rsid w:val="00133BFD"/>
    <w:rsid w:val="0013512D"/>
    <w:rsid w:val="00136D21"/>
    <w:rsid w:val="00137003"/>
    <w:rsid w:val="00137E3C"/>
    <w:rsid w:val="00141303"/>
    <w:rsid w:val="001434CE"/>
    <w:rsid w:val="0014388A"/>
    <w:rsid w:val="001449CB"/>
    <w:rsid w:val="00146956"/>
    <w:rsid w:val="00150500"/>
    <w:rsid w:val="00152185"/>
    <w:rsid w:val="00152EDC"/>
    <w:rsid w:val="00153161"/>
    <w:rsid w:val="00155667"/>
    <w:rsid w:val="00160060"/>
    <w:rsid w:val="001603AF"/>
    <w:rsid w:val="00164219"/>
    <w:rsid w:val="001722EA"/>
    <w:rsid w:val="00173C9F"/>
    <w:rsid w:val="00174394"/>
    <w:rsid w:val="0017797E"/>
    <w:rsid w:val="00177E6B"/>
    <w:rsid w:val="0018139F"/>
    <w:rsid w:val="00181E9B"/>
    <w:rsid w:val="001844F8"/>
    <w:rsid w:val="00186E95"/>
    <w:rsid w:val="00190C04"/>
    <w:rsid w:val="00193B5D"/>
    <w:rsid w:val="00194628"/>
    <w:rsid w:val="00194A47"/>
    <w:rsid w:val="00197408"/>
    <w:rsid w:val="00197AF4"/>
    <w:rsid w:val="00197DE5"/>
    <w:rsid w:val="001A210B"/>
    <w:rsid w:val="001A4DDB"/>
    <w:rsid w:val="001A54DD"/>
    <w:rsid w:val="001B195D"/>
    <w:rsid w:val="001B1C05"/>
    <w:rsid w:val="001B4EE4"/>
    <w:rsid w:val="001B5A35"/>
    <w:rsid w:val="001B5D34"/>
    <w:rsid w:val="001B79AC"/>
    <w:rsid w:val="001C4A67"/>
    <w:rsid w:val="001C4C44"/>
    <w:rsid w:val="001D3C90"/>
    <w:rsid w:val="001E265F"/>
    <w:rsid w:val="001E2B55"/>
    <w:rsid w:val="001E2DCC"/>
    <w:rsid w:val="001E68DE"/>
    <w:rsid w:val="001F27AC"/>
    <w:rsid w:val="00200F89"/>
    <w:rsid w:val="00202BE8"/>
    <w:rsid w:val="002108A4"/>
    <w:rsid w:val="00211C5C"/>
    <w:rsid w:val="00214949"/>
    <w:rsid w:val="00214E98"/>
    <w:rsid w:val="00215EF1"/>
    <w:rsid w:val="00215FFE"/>
    <w:rsid w:val="002174D5"/>
    <w:rsid w:val="0022642E"/>
    <w:rsid w:val="002333DA"/>
    <w:rsid w:val="0023472C"/>
    <w:rsid w:val="00235828"/>
    <w:rsid w:val="00236B96"/>
    <w:rsid w:val="00237068"/>
    <w:rsid w:val="00237D4E"/>
    <w:rsid w:val="00240BAE"/>
    <w:rsid w:val="00241313"/>
    <w:rsid w:val="00242251"/>
    <w:rsid w:val="002506AD"/>
    <w:rsid w:val="0025264B"/>
    <w:rsid w:val="0025408A"/>
    <w:rsid w:val="00254F1F"/>
    <w:rsid w:val="002555B1"/>
    <w:rsid w:val="00255E96"/>
    <w:rsid w:val="00255FAB"/>
    <w:rsid w:val="002609B2"/>
    <w:rsid w:val="00261C33"/>
    <w:rsid w:val="00261EE7"/>
    <w:rsid w:val="002636B1"/>
    <w:rsid w:val="002665EC"/>
    <w:rsid w:val="00267A14"/>
    <w:rsid w:val="00267AB1"/>
    <w:rsid w:val="00267F28"/>
    <w:rsid w:val="00270DB3"/>
    <w:rsid w:val="00275325"/>
    <w:rsid w:val="0028080D"/>
    <w:rsid w:val="002812A1"/>
    <w:rsid w:val="0028211A"/>
    <w:rsid w:val="002912BF"/>
    <w:rsid w:val="002928FF"/>
    <w:rsid w:val="0029552F"/>
    <w:rsid w:val="00295CB7"/>
    <w:rsid w:val="00295DB6"/>
    <w:rsid w:val="0029614B"/>
    <w:rsid w:val="002A2FB9"/>
    <w:rsid w:val="002A7348"/>
    <w:rsid w:val="002A7AE9"/>
    <w:rsid w:val="002B053B"/>
    <w:rsid w:val="002B3EE0"/>
    <w:rsid w:val="002B5B4B"/>
    <w:rsid w:val="002B6A48"/>
    <w:rsid w:val="002C0392"/>
    <w:rsid w:val="002C635D"/>
    <w:rsid w:val="002D5492"/>
    <w:rsid w:val="002E2785"/>
    <w:rsid w:val="002E27C5"/>
    <w:rsid w:val="002E2F8E"/>
    <w:rsid w:val="002F0335"/>
    <w:rsid w:val="002F0C79"/>
    <w:rsid w:val="002F5A42"/>
    <w:rsid w:val="002F5A56"/>
    <w:rsid w:val="002F6814"/>
    <w:rsid w:val="002F68D1"/>
    <w:rsid w:val="00301660"/>
    <w:rsid w:val="00302AE6"/>
    <w:rsid w:val="00303223"/>
    <w:rsid w:val="00303C85"/>
    <w:rsid w:val="0030477F"/>
    <w:rsid w:val="00305EA9"/>
    <w:rsid w:val="00307CEB"/>
    <w:rsid w:val="00307D0F"/>
    <w:rsid w:val="00312311"/>
    <w:rsid w:val="003128F8"/>
    <w:rsid w:val="003203FF"/>
    <w:rsid w:val="0032274C"/>
    <w:rsid w:val="00322BE1"/>
    <w:rsid w:val="00325CD8"/>
    <w:rsid w:val="00326268"/>
    <w:rsid w:val="00330918"/>
    <w:rsid w:val="0033104C"/>
    <w:rsid w:val="003404F4"/>
    <w:rsid w:val="00341A59"/>
    <w:rsid w:val="003428A4"/>
    <w:rsid w:val="003473B3"/>
    <w:rsid w:val="00347557"/>
    <w:rsid w:val="003504FD"/>
    <w:rsid w:val="00352433"/>
    <w:rsid w:val="0035286E"/>
    <w:rsid w:val="00352D61"/>
    <w:rsid w:val="00354DBF"/>
    <w:rsid w:val="00356FFC"/>
    <w:rsid w:val="00363124"/>
    <w:rsid w:val="00374B71"/>
    <w:rsid w:val="00375451"/>
    <w:rsid w:val="00375CF7"/>
    <w:rsid w:val="00381F5F"/>
    <w:rsid w:val="003830B5"/>
    <w:rsid w:val="003863F0"/>
    <w:rsid w:val="00390304"/>
    <w:rsid w:val="0039102F"/>
    <w:rsid w:val="0039395A"/>
    <w:rsid w:val="00395524"/>
    <w:rsid w:val="00397D4B"/>
    <w:rsid w:val="003A4180"/>
    <w:rsid w:val="003A7C59"/>
    <w:rsid w:val="003A7C9A"/>
    <w:rsid w:val="003B08AC"/>
    <w:rsid w:val="003B4B9E"/>
    <w:rsid w:val="003B54D9"/>
    <w:rsid w:val="003B7BFE"/>
    <w:rsid w:val="003C4D4B"/>
    <w:rsid w:val="003D03A6"/>
    <w:rsid w:val="003D07A2"/>
    <w:rsid w:val="003D2590"/>
    <w:rsid w:val="003D2CAC"/>
    <w:rsid w:val="003D386F"/>
    <w:rsid w:val="003D43DB"/>
    <w:rsid w:val="003D4C73"/>
    <w:rsid w:val="003D556B"/>
    <w:rsid w:val="003D653E"/>
    <w:rsid w:val="003E2280"/>
    <w:rsid w:val="003E2ADC"/>
    <w:rsid w:val="003F38E5"/>
    <w:rsid w:val="003F73C3"/>
    <w:rsid w:val="00401210"/>
    <w:rsid w:val="00404CDA"/>
    <w:rsid w:val="00406B06"/>
    <w:rsid w:val="00410BF5"/>
    <w:rsid w:val="0041222E"/>
    <w:rsid w:val="0041224F"/>
    <w:rsid w:val="004130A2"/>
    <w:rsid w:val="0041452A"/>
    <w:rsid w:val="004151E6"/>
    <w:rsid w:val="00415BA7"/>
    <w:rsid w:val="00416F40"/>
    <w:rsid w:val="00417E36"/>
    <w:rsid w:val="00422B4E"/>
    <w:rsid w:val="0042312B"/>
    <w:rsid w:val="00423F48"/>
    <w:rsid w:val="0042625B"/>
    <w:rsid w:val="0043207C"/>
    <w:rsid w:val="0043263D"/>
    <w:rsid w:val="004336FA"/>
    <w:rsid w:val="004349B6"/>
    <w:rsid w:val="00436FD5"/>
    <w:rsid w:val="00437639"/>
    <w:rsid w:val="004413A6"/>
    <w:rsid w:val="00441D22"/>
    <w:rsid w:val="00444BB9"/>
    <w:rsid w:val="00445D0A"/>
    <w:rsid w:val="00447E56"/>
    <w:rsid w:val="00453482"/>
    <w:rsid w:val="00453CFE"/>
    <w:rsid w:val="00457E45"/>
    <w:rsid w:val="00463570"/>
    <w:rsid w:val="00467207"/>
    <w:rsid w:val="0047109D"/>
    <w:rsid w:val="00472B53"/>
    <w:rsid w:val="00476C23"/>
    <w:rsid w:val="004809C7"/>
    <w:rsid w:val="00483A48"/>
    <w:rsid w:val="0048779A"/>
    <w:rsid w:val="00493430"/>
    <w:rsid w:val="00495519"/>
    <w:rsid w:val="00496EFA"/>
    <w:rsid w:val="004A245D"/>
    <w:rsid w:val="004A2E7A"/>
    <w:rsid w:val="004A3A91"/>
    <w:rsid w:val="004A557B"/>
    <w:rsid w:val="004A7461"/>
    <w:rsid w:val="004B4992"/>
    <w:rsid w:val="004B6687"/>
    <w:rsid w:val="004B73DC"/>
    <w:rsid w:val="004C3C0D"/>
    <w:rsid w:val="004C4033"/>
    <w:rsid w:val="004C5C61"/>
    <w:rsid w:val="004C6594"/>
    <w:rsid w:val="004C7507"/>
    <w:rsid w:val="004C798D"/>
    <w:rsid w:val="004C7BB5"/>
    <w:rsid w:val="004D4111"/>
    <w:rsid w:val="004D52BD"/>
    <w:rsid w:val="004D69FB"/>
    <w:rsid w:val="004E1108"/>
    <w:rsid w:val="004E207F"/>
    <w:rsid w:val="004E3877"/>
    <w:rsid w:val="004E4203"/>
    <w:rsid w:val="004E42A8"/>
    <w:rsid w:val="004F0D7B"/>
    <w:rsid w:val="004F0DC0"/>
    <w:rsid w:val="004F2548"/>
    <w:rsid w:val="004F43C7"/>
    <w:rsid w:val="004F5CC5"/>
    <w:rsid w:val="004F63FD"/>
    <w:rsid w:val="0050130C"/>
    <w:rsid w:val="005039B0"/>
    <w:rsid w:val="005058FE"/>
    <w:rsid w:val="00507696"/>
    <w:rsid w:val="005154F9"/>
    <w:rsid w:val="00520EA0"/>
    <w:rsid w:val="00523BD9"/>
    <w:rsid w:val="0052644E"/>
    <w:rsid w:val="0052748B"/>
    <w:rsid w:val="005336E7"/>
    <w:rsid w:val="00543BFB"/>
    <w:rsid w:val="00543F98"/>
    <w:rsid w:val="00544F68"/>
    <w:rsid w:val="00547816"/>
    <w:rsid w:val="00552CC5"/>
    <w:rsid w:val="005546DD"/>
    <w:rsid w:val="005613E9"/>
    <w:rsid w:val="00561757"/>
    <w:rsid w:val="00562CA8"/>
    <w:rsid w:val="00562DBA"/>
    <w:rsid w:val="00567402"/>
    <w:rsid w:val="005733BD"/>
    <w:rsid w:val="0057359A"/>
    <w:rsid w:val="00576552"/>
    <w:rsid w:val="005773EE"/>
    <w:rsid w:val="00580B4C"/>
    <w:rsid w:val="00580D50"/>
    <w:rsid w:val="00582565"/>
    <w:rsid w:val="005837F8"/>
    <w:rsid w:val="005853C3"/>
    <w:rsid w:val="00587549"/>
    <w:rsid w:val="00587B4C"/>
    <w:rsid w:val="0059081F"/>
    <w:rsid w:val="00592002"/>
    <w:rsid w:val="00592071"/>
    <w:rsid w:val="00595E44"/>
    <w:rsid w:val="00596E22"/>
    <w:rsid w:val="005973B7"/>
    <w:rsid w:val="00597E85"/>
    <w:rsid w:val="005A5F89"/>
    <w:rsid w:val="005A61D5"/>
    <w:rsid w:val="005A6E1C"/>
    <w:rsid w:val="005A75AE"/>
    <w:rsid w:val="005B13F7"/>
    <w:rsid w:val="005B32C5"/>
    <w:rsid w:val="005B35D6"/>
    <w:rsid w:val="005B360B"/>
    <w:rsid w:val="005B3DDD"/>
    <w:rsid w:val="005B3E4A"/>
    <w:rsid w:val="005C3043"/>
    <w:rsid w:val="005D11F0"/>
    <w:rsid w:val="005D3281"/>
    <w:rsid w:val="005D4C94"/>
    <w:rsid w:val="005D5B42"/>
    <w:rsid w:val="005D74FB"/>
    <w:rsid w:val="005D7DFF"/>
    <w:rsid w:val="005E1F28"/>
    <w:rsid w:val="005E443E"/>
    <w:rsid w:val="005E4C96"/>
    <w:rsid w:val="005E60F6"/>
    <w:rsid w:val="005F31C1"/>
    <w:rsid w:val="00601F8F"/>
    <w:rsid w:val="006033BD"/>
    <w:rsid w:val="00605FAF"/>
    <w:rsid w:val="00606B19"/>
    <w:rsid w:val="00606FBC"/>
    <w:rsid w:val="00612B3B"/>
    <w:rsid w:val="006156DC"/>
    <w:rsid w:val="00623B26"/>
    <w:rsid w:val="00624C21"/>
    <w:rsid w:val="00625503"/>
    <w:rsid w:val="00630C55"/>
    <w:rsid w:val="00640494"/>
    <w:rsid w:val="00646D74"/>
    <w:rsid w:val="00650902"/>
    <w:rsid w:val="0065153C"/>
    <w:rsid w:val="00651D03"/>
    <w:rsid w:val="0065506F"/>
    <w:rsid w:val="006618CF"/>
    <w:rsid w:val="006620C8"/>
    <w:rsid w:val="006652BA"/>
    <w:rsid w:val="00667000"/>
    <w:rsid w:val="006676D9"/>
    <w:rsid w:val="00673898"/>
    <w:rsid w:val="00674094"/>
    <w:rsid w:val="0067482F"/>
    <w:rsid w:val="00675503"/>
    <w:rsid w:val="00682B2C"/>
    <w:rsid w:val="006849F6"/>
    <w:rsid w:val="00684B75"/>
    <w:rsid w:val="00684BC2"/>
    <w:rsid w:val="00684D30"/>
    <w:rsid w:val="006856FF"/>
    <w:rsid w:val="006863D8"/>
    <w:rsid w:val="00690AD8"/>
    <w:rsid w:val="00695734"/>
    <w:rsid w:val="00695EEC"/>
    <w:rsid w:val="006A20B3"/>
    <w:rsid w:val="006B0FE8"/>
    <w:rsid w:val="006B1609"/>
    <w:rsid w:val="006B3946"/>
    <w:rsid w:val="006B54C7"/>
    <w:rsid w:val="006B7033"/>
    <w:rsid w:val="006B7FBE"/>
    <w:rsid w:val="006C2E50"/>
    <w:rsid w:val="006C53A7"/>
    <w:rsid w:val="006C6246"/>
    <w:rsid w:val="006C7AE7"/>
    <w:rsid w:val="006D5A9A"/>
    <w:rsid w:val="006E15E4"/>
    <w:rsid w:val="006E1F02"/>
    <w:rsid w:val="006E3397"/>
    <w:rsid w:val="006F11BD"/>
    <w:rsid w:val="006F3882"/>
    <w:rsid w:val="006F4BEB"/>
    <w:rsid w:val="006F6676"/>
    <w:rsid w:val="007001E0"/>
    <w:rsid w:val="007123C2"/>
    <w:rsid w:val="0071316F"/>
    <w:rsid w:val="007136E6"/>
    <w:rsid w:val="00720E37"/>
    <w:rsid w:val="00720FC0"/>
    <w:rsid w:val="0072349E"/>
    <w:rsid w:val="00724536"/>
    <w:rsid w:val="007253E3"/>
    <w:rsid w:val="007255CD"/>
    <w:rsid w:val="007318BA"/>
    <w:rsid w:val="007334EA"/>
    <w:rsid w:val="00735F36"/>
    <w:rsid w:val="00737025"/>
    <w:rsid w:val="00737A54"/>
    <w:rsid w:val="00737FB2"/>
    <w:rsid w:val="00741E4A"/>
    <w:rsid w:val="007437EE"/>
    <w:rsid w:val="00744F5A"/>
    <w:rsid w:val="00746E66"/>
    <w:rsid w:val="00747F40"/>
    <w:rsid w:val="0075063F"/>
    <w:rsid w:val="007605C8"/>
    <w:rsid w:val="00763554"/>
    <w:rsid w:val="00764614"/>
    <w:rsid w:val="0076526B"/>
    <w:rsid w:val="007652AE"/>
    <w:rsid w:val="007677BE"/>
    <w:rsid w:val="007707AA"/>
    <w:rsid w:val="0077224E"/>
    <w:rsid w:val="00781039"/>
    <w:rsid w:val="007825E8"/>
    <w:rsid w:val="00790246"/>
    <w:rsid w:val="00793C25"/>
    <w:rsid w:val="007A1136"/>
    <w:rsid w:val="007A5C4C"/>
    <w:rsid w:val="007B0579"/>
    <w:rsid w:val="007B6AD8"/>
    <w:rsid w:val="007B6D97"/>
    <w:rsid w:val="007B7906"/>
    <w:rsid w:val="007D14DF"/>
    <w:rsid w:val="007D22BA"/>
    <w:rsid w:val="007D3AB9"/>
    <w:rsid w:val="007D3C35"/>
    <w:rsid w:val="007D42A1"/>
    <w:rsid w:val="007D441F"/>
    <w:rsid w:val="007D4868"/>
    <w:rsid w:val="007D4A60"/>
    <w:rsid w:val="007D7BA6"/>
    <w:rsid w:val="007E0AC1"/>
    <w:rsid w:val="007E30B0"/>
    <w:rsid w:val="007E37C0"/>
    <w:rsid w:val="007E5598"/>
    <w:rsid w:val="007E6279"/>
    <w:rsid w:val="007F2249"/>
    <w:rsid w:val="007F28B9"/>
    <w:rsid w:val="007F6C2A"/>
    <w:rsid w:val="008001D1"/>
    <w:rsid w:val="008020D3"/>
    <w:rsid w:val="008043AE"/>
    <w:rsid w:val="00804869"/>
    <w:rsid w:val="00804908"/>
    <w:rsid w:val="0080704C"/>
    <w:rsid w:val="00807BBD"/>
    <w:rsid w:val="008120DB"/>
    <w:rsid w:val="00813665"/>
    <w:rsid w:val="00814698"/>
    <w:rsid w:val="0081479B"/>
    <w:rsid w:val="00815ECC"/>
    <w:rsid w:val="00823D56"/>
    <w:rsid w:val="0083062A"/>
    <w:rsid w:val="00831D49"/>
    <w:rsid w:val="0083210B"/>
    <w:rsid w:val="008355CE"/>
    <w:rsid w:val="00835736"/>
    <w:rsid w:val="00836DF0"/>
    <w:rsid w:val="00837AF9"/>
    <w:rsid w:val="00850F9B"/>
    <w:rsid w:val="00854470"/>
    <w:rsid w:val="00861B39"/>
    <w:rsid w:val="00864D3B"/>
    <w:rsid w:val="00866220"/>
    <w:rsid w:val="008672D5"/>
    <w:rsid w:val="00870A8D"/>
    <w:rsid w:val="00871D8A"/>
    <w:rsid w:val="00873067"/>
    <w:rsid w:val="0087448C"/>
    <w:rsid w:val="00874C32"/>
    <w:rsid w:val="00874E79"/>
    <w:rsid w:val="00876E01"/>
    <w:rsid w:val="00880D87"/>
    <w:rsid w:val="00881B29"/>
    <w:rsid w:val="00882EAC"/>
    <w:rsid w:val="0088428C"/>
    <w:rsid w:val="00884340"/>
    <w:rsid w:val="00886394"/>
    <w:rsid w:val="00887004"/>
    <w:rsid w:val="00892BA9"/>
    <w:rsid w:val="008968E9"/>
    <w:rsid w:val="008A04D3"/>
    <w:rsid w:val="008A3D7F"/>
    <w:rsid w:val="008A4334"/>
    <w:rsid w:val="008B0E70"/>
    <w:rsid w:val="008B3C30"/>
    <w:rsid w:val="008B5577"/>
    <w:rsid w:val="008C2161"/>
    <w:rsid w:val="008C3AC7"/>
    <w:rsid w:val="008C47FA"/>
    <w:rsid w:val="008C5342"/>
    <w:rsid w:val="008C692E"/>
    <w:rsid w:val="008C7230"/>
    <w:rsid w:val="008C7A52"/>
    <w:rsid w:val="008D26B6"/>
    <w:rsid w:val="008D26CF"/>
    <w:rsid w:val="008D368D"/>
    <w:rsid w:val="008D4344"/>
    <w:rsid w:val="008E0C1C"/>
    <w:rsid w:val="008E45B5"/>
    <w:rsid w:val="008E4A71"/>
    <w:rsid w:val="008E5FF5"/>
    <w:rsid w:val="008F30F4"/>
    <w:rsid w:val="008F7F4E"/>
    <w:rsid w:val="00904B90"/>
    <w:rsid w:val="00906147"/>
    <w:rsid w:val="009111C1"/>
    <w:rsid w:val="009130AC"/>
    <w:rsid w:val="0091561E"/>
    <w:rsid w:val="00915ADA"/>
    <w:rsid w:val="00917467"/>
    <w:rsid w:val="00922831"/>
    <w:rsid w:val="00922872"/>
    <w:rsid w:val="00924030"/>
    <w:rsid w:val="0093538A"/>
    <w:rsid w:val="009362DC"/>
    <w:rsid w:val="00937D6D"/>
    <w:rsid w:val="00937EF5"/>
    <w:rsid w:val="00940EA3"/>
    <w:rsid w:val="00947E0F"/>
    <w:rsid w:val="00950337"/>
    <w:rsid w:val="009509CC"/>
    <w:rsid w:val="0095216F"/>
    <w:rsid w:val="0095680F"/>
    <w:rsid w:val="00956A25"/>
    <w:rsid w:val="00960235"/>
    <w:rsid w:val="009612EF"/>
    <w:rsid w:val="00962D05"/>
    <w:rsid w:val="00963043"/>
    <w:rsid w:val="009634C8"/>
    <w:rsid w:val="0096488C"/>
    <w:rsid w:val="00965007"/>
    <w:rsid w:val="0096518D"/>
    <w:rsid w:val="0096547A"/>
    <w:rsid w:val="00967EDE"/>
    <w:rsid w:val="009706CE"/>
    <w:rsid w:val="00974A2D"/>
    <w:rsid w:val="0097633B"/>
    <w:rsid w:val="00976A70"/>
    <w:rsid w:val="00977B31"/>
    <w:rsid w:val="00982774"/>
    <w:rsid w:val="00982991"/>
    <w:rsid w:val="00983C40"/>
    <w:rsid w:val="00984D4F"/>
    <w:rsid w:val="00986C46"/>
    <w:rsid w:val="009911D2"/>
    <w:rsid w:val="009A1543"/>
    <w:rsid w:val="009A315A"/>
    <w:rsid w:val="009A6BB3"/>
    <w:rsid w:val="009B4FF9"/>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26C"/>
    <w:rsid w:val="00A06687"/>
    <w:rsid w:val="00A07B57"/>
    <w:rsid w:val="00A1017F"/>
    <w:rsid w:val="00A11002"/>
    <w:rsid w:val="00A12D97"/>
    <w:rsid w:val="00A145E2"/>
    <w:rsid w:val="00A15C5F"/>
    <w:rsid w:val="00A1706A"/>
    <w:rsid w:val="00A17595"/>
    <w:rsid w:val="00A2129E"/>
    <w:rsid w:val="00A22380"/>
    <w:rsid w:val="00A267CE"/>
    <w:rsid w:val="00A3119E"/>
    <w:rsid w:val="00A3163A"/>
    <w:rsid w:val="00A34404"/>
    <w:rsid w:val="00A345F7"/>
    <w:rsid w:val="00A351F4"/>
    <w:rsid w:val="00A35204"/>
    <w:rsid w:val="00A35900"/>
    <w:rsid w:val="00A36D79"/>
    <w:rsid w:val="00A401A3"/>
    <w:rsid w:val="00A4441D"/>
    <w:rsid w:val="00A51DB8"/>
    <w:rsid w:val="00A526C9"/>
    <w:rsid w:val="00A52E40"/>
    <w:rsid w:val="00A553F8"/>
    <w:rsid w:val="00A644DF"/>
    <w:rsid w:val="00A661EE"/>
    <w:rsid w:val="00A672EA"/>
    <w:rsid w:val="00A67865"/>
    <w:rsid w:val="00A706DB"/>
    <w:rsid w:val="00A75581"/>
    <w:rsid w:val="00A80A8B"/>
    <w:rsid w:val="00A85069"/>
    <w:rsid w:val="00A86EF2"/>
    <w:rsid w:val="00A902B4"/>
    <w:rsid w:val="00A93669"/>
    <w:rsid w:val="00A969E4"/>
    <w:rsid w:val="00AA0C1B"/>
    <w:rsid w:val="00AA13C3"/>
    <w:rsid w:val="00AA1EF9"/>
    <w:rsid w:val="00AA3C5C"/>
    <w:rsid w:val="00AA58B4"/>
    <w:rsid w:val="00AC0B97"/>
    <w:rsid w:val="00AC0F4F"/>
    <w:rsid w:val="00AC14FC"/>
    <w:rsid w:val="00AC1B87"/>
    <w:rsid w:val="00AC1E03"/>
    <w:rsid w:val="00AC3155"/>
    <w:rsid w:val="00AC4CEE"/>
    <w:rsid w:val="00AD0B09"/>
    <w:rsid w:val="00AD2933"/>
    <w:rsid w:val="00AD3089"/>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3DF1"/>
    <w:rsid w:val="00B14797"/>
    <w:rsid w:val="00B1561F"/>
    <w:rsid w:val="00B15FD4"/>
    <w:rsid w:val="00B177AF"/>
    <w:rsid w:val="00B17AD8"/>
    <w:rsid w:val="00B21A92"/>
    <w:rsid w:val="00B21D7F"/>
    <w:rsid w:val="00B2288F"/>
    <w:rsid w:val="00B244B9"/>
    <w:rsid w:val="00B24AB2"/>
    <w:rsid w:val="00B26C1E"/>
    <w:rsid w:val="00B278D2"/>
    <w:rsid w:val="00B30195"/>
    <w:rsid w:val="00B3074F"/>
    <w:rsid w:val="00B3103A"/>
    <w:rsid w:val="00B3354F"/>
    <w:rsid w:val="00B34562"/>
    <w:rsid w:val="00B41012"/>
    <w:rsid w:val="00B45ED0"/>
    <w:rsid w:val="00B45F71"/>
    <w:rsid w:val="00B46015"/>
    <w:rsid w:val="00B475E1"/>
    <w:rsid w:val="00B5230B"/>
    <w:rsid w:val="00B52B36"/>
    <w:rsid w:val="00B564A6"/>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80003"/>
    <w:rsid w:val="00B81F38"/>
    <w:rsid w:val="00B82BA4"/>
    <w:rsid w:val="00B84690"/>
    <w:rsid w:val="00B86D21"/>
    <w:rsid w:val="00B92DE5"/>
    <w:rsid w:val="00B95EBA"/>
    <w:rsid w:val="00BA29AE"/>
    <w:rsid w:val="00BA6059"/>
    <w:rsid w:val="00BA6DBC"/>
    <w:rsid w:val="00BA6DD7"/>
    <w:rsid w:val="00BA7E4C"/>
    <w:rsid w:val="00BB0801"/>
    <w:rsid w:val="00BB5F03"/>
    <w:rsid w:val="00BC10FE"/>
    <w:rsid w:val="00BC1BA1"/>
    <w:rsid w:val="00BC30D1"/>
    <w:rsid w:val="00BC43C3"/>
    <w:rsid w:val="00BD0305"/>
    <w:rsid w:val="00BD18EA"/>
    <w:rsid w:val="00BD25BD"/>
    <w:rsid w:val="00BD26AB"/>
    <w:rsid w:val="00BD4FB4"/>
    <w:rsid w:val="00BD56CC"/>
    <w:rsid w:val="00BD6A7F"/>
    <w:rsid w:val="00BD7095"/>
    <w:rsid w:val="00BE127F"/>
    <w:rsid w:val="00BE34DD"/>
    <w:rsid w:val="00BF02EE"/>
    <w:rsid w:val="00BF0F80"/>
    <w:rsid w:val="00BF1CB0"/>
    <w:rsid w:val="00BF3B93"/>
    <w:rsid w:val="00BF4FA6"/>
    <w:rsid w:val="00BF5DE1"/>
    <w:rsid w:val="00C00860"/>
    <w:rsid w:val="00C0488B"/>
    <w:rsid w:val="00C05509"/>
    <w:rsid w:val="00C12B80"/>
    <w:rsid w:val="00C1553C"/>
    <w:rsid w:val="00C16A07"/>
    <w:rsid w:val="00C2196C"/>
    <w:rsid w:val="00C25A49"/>
    <w:rsid w:val="00C30103"/>
    <w:rsid w:val="00C306CA"/>
    <w:rsid w:val="00C35BFC"/>
    <w:rsid w:val="00C36244"/>
    <w:rsid w:val="00C36818"/>
    <w:rsid w:val="00C36AC8"/>
    <w:rsid w:val="00C36E73"/>
    <w:rsid w:val="00C40157"/>
    <w:rsid w:val="00C42096"/>
    <w:rsid w:val="00C45232"/>
    <w:rsid w:val="00C503A0"/>
    <w:rsid w:val="00C505D4"/>
    <w:rsid w:val="00C50A39"/>
    <w:rsid w:val="00C51E90"/>
    <w:rsid w:val="00C55E4E"/>
    <w:rsid w:val="00C5726E"/>
    <w:rsid w:val="00C6048F"/>
    <w:rsid w:val="00C607F2"/>
    <w:rsid w:val="00C61777"/>
    <w:rsid w:val="00C639A8"/>
    <w:rsid w:val="00C63DF0"/>
    <w:rsid w:val="00C63E32"/>
    <w:rsid w:val="00C64B40"/>
    <w:rsid w:val="00C650DB"/>
    <w:rsid w:val="00C72C9B"/>
    <w:rsid w:val="00C73FC6"/>
    <w:rsid w:val="00C7462C"/>
    <w:rsid w:val="00C805AC"/>
    <w:rsid w:val="00C85300"/>
    <w:rsid w:val="00C8584A"/>
    <w:rsid w:val="00C85AB7"/>
    <w:rsid w:val="00C86EBC"/>
    <w:rsid w:val="00C91F7F"/>
    <w:rsid w:val="00CA3FE4"/>
    <w:rsid w:val="00CA5FC8"/>
    <w:rsid w:val="00CB1985"/>
    <w:rsid w:val="00CB40F4"/>
    <w:rsid w:val="00CB7416"/>
    <w:rsid w:val="00CC04E3"/>
    <w:rsid w:val="00CC32D9"/>
    <w:rsid w:val="00CC45E5"/>
    <w:rsid w:val="00CC5BEB"/>
    <w:rsid w:val="00CC7C89"/>
    <w:rsid w:val="00CD1C31"/>
    <w:rsid w:val="00CD2522"/>
    <w:rsid w:val="00CD3324"/>
    <w:rsid w:val="00CD3C1E"/>
    <w:rsid w:val="00CD4B4B"/>
    <w:rsid w:val="00CD6EEC"/>
    <w:rsid w:val="00CE2578"/>
    <w:rsid w:val="00CE3577"/>
    <w:rsid w:val="00CF10DA"/>
    <w:rsid w:val="00CF2718"/>
    <w:rsid w:val="00CF3762"/>
    <w:rsid w:val="00CF7691"/>
    <w:rsid w:val="00D01461"/>
    <w:rsid w:val="00D01832"/>
    <w:rsid w:val="00D047B7"/>
    <w:rsid w:val="00D11870"/>
    <w:rsid w:val="00D132FF"/>
    <w:rsid w:val="00D15557"/>
    <w:rsid w:val="00D15686"/>
    <w:rsid w:val="00D16F9E"/>
    <w:rsid w:val="00D21B27"/>
    <w:rsid w:val="00D223BF"/>
    <w:rsid w:val="00D2253B"/>
    <w:rsid w:val="00D22A67"/>
    <w:rsid w:val="00D245D2"/>
    <w:rsid w:val="00D25B0B"/>
    <w:rsid w:val="00D31127"/>
    <w:rsid w:val="00D31FA8"/>
    <w:rsid w:val="00D3396D"/>
    <w:rsid w:val="00D3397B"/>
    <w:rsid w:val="00D3569B"/>
    <w:rsid w:val="00D35A90"/>
    <w:rsid w:val="00D36065"/>
    <w:rsid w:val="00D40D11"/>
    <w:rsid w:val="00D423AD"/>
    <w:rsid w:val="00D46528"/>
    <w:rsid w:val="00D46E13"/>
    <w:rsid w:val="00D4733D"/>
    <w:rsid w:val="00D53085"/>
    <w:rsid w:val="00D57146"/>
    <w:rsid w:val="00D618AD"/>
    <w:rsid w:val="00D63DD3"/>
    <w:rsid w:val="00D6464D"/>
    <w:rsid w:val="00D72895"/>
    <w:rsid w:val="00D777C9"/>
    <w:rsid w:val="00D80B6D"/>
    <w:rsid w:val="00D82E2D"/>
    <w:rsid w:val="00D8513A"/>
    <w:rsid w:val="00D87CCE"/>
    <w:rsid w:val="00D9306C"/>
    <w:rsid w:val="00DA1662"/>
    <w:rsid w:val="00DA327C"/>
    <w:rsid w:val="00DA576C"/>
    <w:rsid w:val="00DA6D6A"/>
    <w:rsid w:val="00DA7689"/>
    <w:rsid w:val="00DA78FC"/>
    <w:rsid w:val="00DB365A"/>
    <w:rsid w:val="00DB4335"/>
    <w:rsid w:val="00DB7664"/>
    <w:rsid w:val="00DC1FA8"/>
    <w:rsid w:val="00DC2A4B"/>
    <w:rsid w:val="00DC6476"/>
    <w:rsid w:val="00DC6AB6"/>
    <w:rsid w:val="00DD1EC1"/>
    <w:rsid w:val="00DE17B0"/>
    <w:rsid w:val="00DE36DE"/>
    <w:rsid w:val="00DE448F"/>
    <w:rsid w:val="00DE75F4"/>
    <w:rsid w:val="00DE7686"/>
    <w:rsid w:val="00DE7CE1"/>
    <w:rsid w:val="00DF006F"/>
    <w:rsid w:val="00DF1F56"/>
    <w:rsid w:val="00DF296C"/>
    <w:rsid w:val="00DF2A53"/>
    <w:rsid w:val="00DF388B"/>
    <w:rsid w:val="00E02125"/>
    <w:rsid w:val="00E04F7B"/>
    <w:rsid w:val="00E06CEA"/>
    <w:rsid w:val="00E11435"/>
    <w:rsid w:val="00E121F2"/>
    <w:rsid w:val="00E166F1"/>
    <w:rsid w:val="00E16FE8"/>
    <w:rsid w:val="00E17539"/>
    <w:rsid w:val="00E23F1D"/>
    <w:rsid w:val="00E24FED"/>
    <w:rsid w:val="00E25085"/>
    <w:rsid w:val="00E343B0"/>
    <w:rsid w:val="00E364A9"/>
    <w:rsid w:val="00E36E36"/>
    <w:rsid w:val="00E400AA"/>
    <w:rsid w:val="00E40BF0"/>
    <w:rsid w:val="00E42149"/>
    <w:rsid w:val="00E4768E"/>
    <w:rsid w:val="00E47BA7"/>
    <w:rsid w:val="00E515C8"/>
    <w:rsid w:val="00E53945"/>
    <w:rsid w:val="00E57D1A"/>
    <w:rsid w:val="00E608E3"/>
    <w:rsid w:val="00E60E78"/>
    <w:rsid w:val="00E63C9B"/>
    <w:rsid w:val="00E669EF"/>
    <w:rsid w:val="00E67800"/>
    <w:rsid w:val="00E71B7C"/>
    <w:rsid w:val="00E71C1E"/>
    <w:rsid w:val="00E71D31"/>
    <w:rsid w:val="00E72BA8"/>
    <w:rsid w:val="00E74BB2"/>
    <w:rsid w:val="00E804FF"/>
    <w:rsid w:val="00E81785"/>
    <w:rsid w:val="00E83CCD"/>
    <w:rsid w:val="00E847E6"/>
    <w:rsid w:val="00E856C2"/>
    <w:rsid w:val="00E90FB8"/>
    <w:rsid w:val="00E938B3"/>
    <w:rsid w:val="00E945C4"/>
    <w:rsid w:val="00E9495C"/>
    <w:rsid w:val="00EA29EC"/>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5EE0"/>
    <w:rsid w:val="00EF62F8"/>
    <w:rsid w:val="00F0275F"/>
    <w:rsid w:val="00F040CA"/>
    <w:rsid w:val="00F04FF5"/>
    <w:rsid w:val="00F06420"/>
    <w:rsid w:val="00F06844"/>
    <w:rsid w:val="00F0734C"/>
    <w:rsid w:val="00F1214E"/>
    <w:rsid w:val="00F16128"/>
    <w:rsid w:val="00F161D2"/>
    <w:rsid w:val="00F20841"/>
    <w:rsid w:val="00F2446D"/>
    <w:rsid w:val="00F257ED"/>
    <w:rsid w:val="00F27366"/>
    <w:rsid w:val="00F30542"/>
    <w:rsid w:val="00F30BB8"/>
    <w:rsid w:val="00F33E63"/>
    <w:rsid w:val="00F366A6"/>
    <w:rsid w:val="00F37E08"/>
    <w:rsid w:val="00F41968"/>
    <w:rsid w:val="00F428EF"/>
    <w:rsid w:val="00F44539"/>
    <w:rsid w:val="00F44AEB"/>
    <w:rsid w:val="00F45620"/>
    <w:rsid w:val="00F4632A"/>
    <w:rsid w:val="00F52462"/>
    <w:rsid w:val="00F53850"/>
    <w:rsid w:val="00F542F8"/>
    <w:rsid w:val="00F61061"/>
    <w:rsid w:val="00F63E7A"/>
    <w:rsid w:val="00F64A9E"/>
    <w:rsid w:val="00F6505F"/>
    <w:rsid w:val="00F655E3"/>
    <w:rsid w:val="00F65A7D"/>
    <w:rsid w:val="00F739AD"/>
    <w:rsid w:val="00F76B0E"/>
    <w:rsid w:val="00F7782E"/>
    <w:rsid w:val="00F77BD8"/>
    <w:rsid w:val="00F8482C"/>
    <w:rsid w:val="00F84DCA"/>
    <w:rsid w:val="00F93799"/>
    <w:rsid w:val="00F95B39"/>
    <w:rsid w:val="00F968E3"/>
    <w:rsid w:val="00F97A8C"/>
    <w:rsid w:val="00FA0F28"/>
    <w:rsid w:val="00FA1AF3"/>
    <w:rsid w:val="00FA6E14"/>
    <w:rsid w:val="00FB551F"/>
    <w:rsid w:val="00FB6C4F"/>
    <w:rsid w:val="00FB7593"/>
    <w:rsid w:val="00FC1254"/>
    <w:rsid w:val="00FC33AA"/>
    <w:rsid w:val="00FD08A6"/>
    <w:rsid w:val="00FD37BD"/>
    <w:rsid w:val="00FD5578"/>
    <w:rsid w:val="00FE189D"/>
    <w:rsid w:val="00FE28BC"/>
    <w:rsid w:val="00FE3A27"/>
    <w:rsid w:val="00FE6DB7"/>
    <w:rsid w:val="00FE7E9A"/>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AC2D0-C332-44F2-A008-E964C4D5C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4115</TotalTime>
  <Pages>3</Pages>
  <Words>950</Words>
  <Characters>5611</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32</cp:revision>
  <dcterms:created xsi:type="dcterms:W3CDTF">2023-04-21T12:18:00Z</dcterms:created>
  <dcterms:modified xsi:type="dcterms:W3CDTF">2023-04-24T09:55:00Z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