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ED014A1" w14:textId="55F827D2" w:rsidR="00D80B6D" w:rsidRPr="00B346ED" w:rsidRDefault="00D80B6D" w:rsidP="00B346ED">
          <w:pPr>
            <w:rPr>
              <w:highlight w:val="yellow"/>
            </w:rPr>
          </w:pPr>
        </w:p>
        <w:p w14:paraId="0FB45B67"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 xml:space="preserve">FIXINDEX </w:t>
          </w:r>
        </w:p>
        <w:p w14:paraId="03C4DE47" w14:textId="137DE246" w:rsidR="0009776B" w:rsidRDefault="00D80B6D" w:rsidP="005F65A1">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PODÍLOVÝCH FONDŮ </w:t>
          </w:r>
        </w:p>
        <w:p w14:paraId="5F5E486E" w14:textId="2A454C45" w:rsidR="004B5B94" w:rsidRPr="007443AD" w:rsidRDefault="004B5B94" w:rsidP="005F65A1">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5904F9FC"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 xml:space="preserve">INDEX </w:t>
          </w:r>
        </w:p>
        <w:p w14:paraId="5B21B8A6"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3660AEB6" w14:textId="77777777" w:rsidR="005B7E46" w:rsidRDefault="005B7E46" w:rsidP="00D80B6D">
          <w:pPr>
            <w:pStyle w:val="Zkladntext"/>
            <w:jc w:val="both"/>
            <w:rPr>
              <w:rFonts w:ascii="Arial" w:hAnsi="Arial" w:cs="Arial"/>
              <w:b/>
              <w:sz w:val="20"/>
            </w:rPr>
          </w:pPr>
        </w:p>
        <w:p w14:paraId="51D468A4" w14:textId="77777777" w:rsidR="005B7E46" w:rsidRDefault="005B7E46" w:rsidP="00D80B6D">
          <w:pPr>
            <w:pStyle w:val="Zkladntext"/>
            <w:jc w:val="both"/>
            <w:rPr>
              <w:rFonts w:ascii="Arial" w:hAnsi="Arial" w:cs="Arial"/>
              <w:b/>
              <w:sz w:val="20"/>
            </w:rPr>
          </w:pPr>
        </w:p>
        <w:p w14:paraId="2F2ED302" w14:textId="77777777" w:rsidR="005B7E46" w:rsidRDefault="005B7E46" w:rsidP="00D80B6D">
          <w:pPr>
            <w:pStyle w:val="Zkladntext"/>
            <w:jc w:val="both"/>
            <w:rPr>
              <w:rFonts w:ascii="Arial" w:hAnsi="Arial" w:cs="Arial"/>
              <w:b/>
              <w:sz w:val="20"/>
            </w:rPr>
          </w:pPr>
        </w:p>
        <w:p w14:paraId="6C828C12" w14:textId="77777777" w:rsidR="005B7E46" w:rsidRDefault="005B7E46" w:rsidP="00D80B6D">
          <w:pPr>
            <w:pStyle w:val="Zkladntext"/>
            <w:jc w:val="both"/>
            <w:rPr>
              <w:rFonts w:ascii="Arial" w:hAnsi="Arial" w:cs="Arial"/>
              <w:b/>
              <w:sz w:val="20"/>
            </w:rPr>
          </w:pPr>
        </w:p>
        <w:p w14:paraId="49B23CF7" w14:textId="77777777" w:rsidR="005B7E46" w:rsidRDefault="005B7E46" w:rsidP="00D80B6D">
          <w:pPr>
            <w:pStyle w:val="Zkladntext"/>
            <w:jc w:val="both"/>
            <w:rPr>
              <w:rFonts w:ascii="Arial" w:hAnsi="Arial" w:cs="Arial"/>
              <w:b/>
              <w:sz w:val="20"/>
            </w:rPr>
          </w:pPr>
        </w:p>
        <w:p w14:paraId="17EC9300" w14:textId="77777777" w:rsidR="005B7E46" w:rsidRDefault="005B7E46" w:rsidP="00D80B6D">
          <w:pPr>
            <w:pStyle w:val="Zkladntext"/>
            <w:jc w:val="both"/>
            <w:rPr>
              <w:rFonts w:ascii="Arial" w:hAnsi="Arial" w:cs="Arial"/>
              <w:b/>
              <w:sz w:val="20"/>
            </w:rPr>
          </w:pPr>
        </w:p>
        <w:p w14:paraId="11132A3F" w14:textId="5D367D7A"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D80B6D">
          <w:pPr>
            <w:jc w:val="both"/>
            <w:rPr>
              <w:rFonts w:asciiTheme="minorHAnsi" w:hAnsiTheme="minorHAnsi" w:cstheme="minorHAnsi"/>
              <w:sz w:val="20"/>
              <w:szCs w:val="20"/>
            </w:rPr>
          </w:pPr>
        </w:p>
        <w:p w14:paraId="08070DCC" w14:textId="12AA13AF" w:rsidR="00792EE9" w:rsidRPr="005B7E46" w:rsidRDefault="00792EE9" w:rsidP="00792EE9">
          <w:pPr>
            <w:jc w:val="both"/>
            <w:rPr>
              <w:rStyle w:val="dn"/>
              <w:rFonts w:asciiTheme="minorHAnsi" w:hAnsiTheme="minorHAnsi" w:cstheme="minorHAnsi"/>
              <w:sz w:val="20"/>
              <w:szCs w:val="20"/>
            </w:rPr>
          </w:pPr>
          <w:r w:rsidRPr="005B7E46">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D6257" w:rsidRPr="005B7E46">
            <w:rPr>
              <w:rFonts w:asciiTheme="minorHAnsi" w:hAnsiTheme="minorHAnsi" w:cstheme="minorHAnsi"/>
              <w:sz w:val="20"/>
              <w:szCs w:val="20"/>
            </w:rPr>
            <w:t xml:space="preserve">více než </w:t>
          </w:r>
          <w:r w:rsidR="002141AF" w:rsidRPr="005B7E46">
            <w:rPr>
              <w:rFonts w:asciiTheme="minorHAnsi" w:hAnsiTheme="minorHAnsi" w:cstheme="minorHAnsi"/>
              <w:sz w:val="20"/>
              <w:szCs w:val="20"/>
            </w:rPr>
            <w:t>40</w:t>
          </w:r>
          <w:r w:rsidRPr="005B7E46">
            <w:rPr>
              <w:rFonts w:asciiTheme="minorHAnsi" w:hAnsiTheme="minorHAnsi" w:cstheme="minorHAnsi"/>
              <w:sz w:val="20"/>
              <w:szCs w:val="20"/>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w:t>
          </w:r>
          <w:r w:rsidR="008D373A" w:rsidRPr="005B7E46">
            <w:rPr>
              <w:rFonts w:asciiTheme="minorHAnsi" w:hAnsiTheme="minorHAnsi" w:cstheme="minorHAnsi"/>
              <w:sz w:val="20"/>
              <w:szCs w:val="20"/>
            </w:rPr>
            <w:t xml:space="preserve">g. </w:t>
          </w:r>
          <w:proofErr w:type="spellStart"/>
          <w:r w:rsidRPr="005B7E46">
            <w:rPr>
              <w:rStyle w:val="dn"/>
              <w:rFonts w:asciiTheme="minorHAnsi" w:hAnsiTheme="minorHAnsi" w:cstheme="minorHAnsi"/>
              <w:sz w:val="20"/>
              <w:szCs w:val="20"/>
            </w:rPr>
            <w:t>Více</w:t>
          </w:r>
          <w:proofErr w:type="spellEnd"/>
          <w:r w:rsidRPr="005B7E46">
            <w:rPr>
              <w:rStyle w:val="dn"/>
              <w:rFonts w:asciiTheme="minorHAnsi" w:hAnsiTheme="minorHAnsi" w:cstheme="minorHAnsi"/>
              <w:sz w:val="20"/>
              <w:szCs w:val="20"/>
            </w:rPr>
            <w:t xml:space="preserv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7B232E" w:rsidRPr="005B7E46">
              <w:rPr>
                <w:rStyle w:val="Hypertextovodkaz"/>
                <w:rFonts w:asciiTheme="minorHAnsi" w:hAnsiTheme="minorHAnsi" w:cstheme="minorHAnsi"/>
                <w:color w:val="auto"/>
                <w:sz w:val="20"/>
                <w:szCs w:val="20"/>
              </w:rPr>
              <w:t>okpointy.cz</w:t>
            </w:r>
          </w:hyperlink>
          <w:r w:rsidR="007B232E" w:rsidRPr="005B7E46">
            <w:rPr>
              <w:rStyle w:val="Hypertextovodkaz"/>
              <w:rFonts w:asciiTheme="minorHAnsi" w:hAnsiTheme="minorHAnsi" w:cstheme="minorHAnsi"/>
              <w:color w:val="auto"/>
              <w:sz w:val="20"/>
              <w:szCs w:val="20"/>
              <w:u w:val="none"/>
            </w:rPr>
            <w:t xml:space="preserve">, </w:t>
          </w:r>
          <w:hyperlink r:id="rId11" w:history="1">
            <w:r w:rsidR="007B232E" w:rsidRPr="005B7E46">
              <w:rPr>
                <w:rStyle w:val="Hypertextovodkaz"/>
                <w:rFonts w:asciiTheme="minorHAnsi" w:hAnsiTheme="minorHAnsi" w:cstheme="minorHAnsi"/>
                <w:color w:val="auto"/>
                <w:sz w:val="20"/>
                <w:szCs w:val="20"/>
              </w:rPr>
              <w:t>okpoint.tv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proofErr w:type="spellStart"/>
          <w:r w:rsidRPr="005B7E46">
            <w:rPr>
              <w:rStyle w:val="dn"/>
              <w:rFonts w:asciiTheme="minorHAnsi" w:hAnsiTheme="minorHAnsi" w:cstheme="minorHAnsi"/>
              <w:sz w:val="20"/>
              <w:szCs w:val="20"/>
            </w:rPr>
            <w:t>Navštivte</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také</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náš</w:t>
          </w:r>
          <w:proofErr w:type="spellEnd"/>
          <w:r w:rsidRPr="005B7E46">
            <w:rPr>
              <w:rStyle w:val="dn"/>
              <w:rFonts w:asciiTheme="minorHAnsi" w:hAnsiTheme="minorHAnsi" w:cstheme="minorHAnsi"/>
              <w:sz w:val="20"/>
              <w:szCs w:val="20"/>
            </w:rPr>
            <w:t xml:space="preserve"> </w:t>
          </w:r>
          <w:hyperlink r:id="rId13" w:history="1">
            <w:proofErr w:type="spellStart"/>
            <w:r w:rsidRPr="005B7E46">
              <w:rPr>
                <w:rStyle w:val="Hypertextovodkaz"/>
                <w:rFonts w:asciiTheme="minorHAnsi" w:hAnsiTheme="minorHAnsi" w:cstheme="minorHAnsi"/>
                <w:color w:val="auto"/>
                <w:sz w:val="20"/>
                <w:szCs w:val="20"/>
              </w:rPr>
              <w:t>Facebook</w:t>
            </w:r>
            <w:proofErr w:type="spellEnd"/>
          </w:hyperlink>
          <w:r w:rsidR="005B7E46" w:rsidRPr="005B7E46">
            <w:rPr>
              <w:rStyle w:val="dn"/>
              <w:rFonts w:asciiTheme="minorHAnsi" w:hAnsiTheme="minorHAnsi" w:cstheme="minorHAnsi"/>
              <w:sz w:val="20"/>
              <w:szCs w:val="20"/>
            </w:rPr>
            <w:t xml:space="preserve">, </w:t>
          </w:r>
          <w:hyperlink r:id="rId14" w:history="1">
            <w:proofErr w:type="spellStart"/>
            <w:r w:rsidRPr="005B7E46">
              <w:rPr>
                <w:rStyle w:val="Hypertextovodkaz"/>
                <w:rFonts w:asciiTheme="minorHAnsi" w:hAnsiTheme="minorHAnsi" w:cstheme="minorHAnsi"/>
                <w:color w:val="auto"/>
                <w:sz w:val="20"/>
                <w:szCs w:val="20"/>
              </w:rPr>
              <w:t>LinkedIN</w:t>
            </w:r>
            <w:proofErr w:type="spellEnd"/>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w:t>
          </w:r>
          <w:proofErr w:type="spellStart"/>
          <w:r w:rsidR="005B7E46" w:rsidRPr="005B7E46">
            <w:rPr>
              <w:rFonts w:asciiTheme="minorHAnsi" w:hAnsiTheme="minorHAnsi" w:cstheme="minorHAnsi"/>
              <w:sz w:val="20"/>
              <w:szCs w:val="20"/>
              <w:shd w:val="clear" w:color="auto" w:fill="FFFFFF"/>
            </w:rPr>
            <w:t>BC_oficialni</w:t>
          </w:r>
          <w:proofErr w:type="spellEnd"/>
          <w:r w:rsidR="005B7E46" w:rsidRPr="005B7E46">
            <w:rPr>
              <w:rFonts w:asciiTheme="minorHAnsi" w:hAnsiTheme="minorHAnsi" w:cstheme="minorHAnsi"/>
              <w:sz w:val="20"/>
              <w:szCs w:val="20"/>
              <w:shd w:val="clear" w:color="auto" w:fill="FFFFFF"/>
            </w:rPr>
            <w:t xml:space="preserve">, </w:t>
          </w:r>
          <w:r w:rsidRPr="005B7E46">
            <w:rPr>
              <w:rStyle w:val="dn"/>
              <w:rFonts w:asciiTheme="minorHAnsi" w:hAnsiTheme="minorHAnsi" w:cstheme="minorHAnsi"/>
              <w:sz w:val="20"/>
              <w:szCs w:val="20"/>
            </w:rPr>
            <w:t xml:space="preserve"> </w:t>
          </w:r>
          <w:hyperlink r:id="rId15"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a </w:t>
          </w:r>
          <w:hyperlink r:id="rId16" w:history="1">
            <w:proofErr w:type="spellStart"/>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proofErr w:type="spellEnd"/>
          <w:r w:rsidRPr="005B7E46">
            <w:rPr>
              <w:rStyle w:val="dn"/>
              <w:rFonts w:asciiTheme="minorHAnsi" w:hAnsiTheme="minorHAnsi" w:cstheme="minorHAnsi"/>
              <w:sz w:val="20"/>
              <w:szCs w:val="20"/>
            </w:rPr>
            <w:t xml:space="preserve"> OK </w:t>
          </w:r>
          <w:proofErr w:type="spellStart"/>
          <w:r w:rsidRPr="005B7E46">
            <w:rPr>
              <w:rStyle w:val="dn"/>
              <w:rFonts w:asciiTheme="minorHAnsi" w:hAnsiTheme="minorHAnsi" w:cstheme="minorHAnsi"/>
              <w:sz w:val="20"/>
              <w:szCs w:val="20"/>
            </w:rPr>
            <w:t>POINTů</w:t>
          </w:r>
          <w:proofErr w:type="spellEnd"/>
          <w:r w:rsidRPr="005B7E46">
            <w:rPr>
              <w:rStyle w:val="dn"/>
              <w:rFonts w:asciiTheme="minorHAnsi" w:hAnsiTheme="minorHAnsi" w:cstheme="minorHAnsi"/>
              <w:sz w:val="20"/>
              <w:szCs w:val="20"/>
            </w:rPr>
            <w:t xml:space="preserve">.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default" r:id="rId17"/>
              <w:footerReference w:type="default" r:id="rId18"/>
              <w:pgSz w:w="11910" w:h="16840"/>
              <w:pgMar w:top="960" w:right="740" w:bottom="0" w:left="720" w:header="708" w:footer="708" w:gutter="0"/>
              <w:cols w:space="708"/>
            </w:sectPr>
          </w:pPr>
        </w:p>
        <w:p w14:paraId="4F038982" w14:textId="77777777" w:rsidR="00203BD4" w:rsidRDefault="00203BD4" w:rsidP="0025264B">
          <w:pPr>
            <w:rPr>
              <w:rFonts w:ascii="Arial" w:hAnsi="Arial" w:cs="Arial"/>
              <w:sz w:val="20"/>
              <w:szCs w:val="20"/>
              <w:highlight w:val="yellow"/>
            </w:rPr>
          </w:pPr>
        </w:p>
        <w:p w14:paraId="35539C65" w14:textId="06F0629B" w:rsidR="00D31127" w:rsidRPr="006545F8" w:rsidRDefault="00EA5CA0" w:rsidP="0025264B">
          <w:pPr>
            <w:rPr>
              <w:rFonts w:ascii="Arial" w:hAnsi="Arial" w:cs="Arial"/>
              <w:sz w:val="20"/>
              <w:szCs w:val="20"/>
              <w:highlight w:val="yellow"/>
            </w:rPr>
            <w:sectPr w:rsidR="00D31127" w:rsidRPr="006545F8"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7B2F240A" w14:textId="4B556E61" w:rsidR="00B32817" w:rsidRDefault="00B32817" w:rsidP="00B85C55">
      <w:pPr>
        <w:spacing w:after="240"/>
        <w:jc w:val="center"/>
        <w:rPr>
          <w:rFonts w:asciiTheme="minorHAnsi" w:hAnsiTheme="minorHAnsi" w:cstheme="minorHAnsi"/>
          <w:b/>
          <w:sz w:val="28"/>
          <w:szCs w:val="28"/>
        </w:rPr>
      </w:pPr>
      <w:r w:rsidRPr="0032734F">
        <w:rPr>
          <w:rFonts w:asciiTheme="minorHAnsi" w:hAnsiTheme="minorHAnsi" w:cstheme="minorHAnsi"/>
          <w:b/>
          <w:sz w:val="28"/>
          <w:szCs w:val="28"/>
        </w:rPr>
        <w:t>Stagnace úroků u</w:t>
      </w:r>
      <w:r w:rsidR="0032734F" w:rsidRPr="0032734F">
        <w:rPr>
          <w:rFonts w:asciiTheme="minorHAnsi" w:hAnsiTheme="minorHAnsi" w:cstheme="minorHAnsi"/>
          <w:b/>
          <w:sz w:val="28"/>
          <w:szCs w:val="28"/>
        </w:rPr>
        <w:t xml:space="preserve"> hypoték pokračuje</w:t>
      </w:r>
    </w:p>
    <w:p w14:paraId="2F8E01C8" w14:textId="71EBAF07" w:rsidR="00B85C55" w:rsidRPr="00B85C55" w:rsidRDefault="00B85C55" w:rsidP="00B85C55">
      <w:pPr>
        <w:pStyle w:val="Odstavecseseznamem"/>
        <w:numPr>
          <w:ilvl w:val="0"/>
          <w:numId w:val="3"/>
        </w:numPr>
        <w:ind w:left="357" w:right="40" w:hanging="357"/>
        <w:rPr>
          <w:rFonts w:asciiTheme="minorHAnsi" w:eastAsiaTheme="minorHAnsi" w:hAnsiTheme="minorHAnsi" w:cstheme="minorHAnsi"/>
          <w:b/>
          <w:lang w:bidi="ar-SA"/>
        </w:rPr>
      </w:pPr>
      <w:r>
        <w:rPr>
          <w:rFonts w:asciiTheme="minorHAnsi" w:eastAsiaTheme="minorHAnsi" w:hAnsiTheme="minorHAnsi" w:cstheme="minorHAnsi"/>
          <w:b/>
          <w:lang w:bidi="ar-SA"/>
        </w:rPr>
        <w:t>Broker Consulting Index hypotečních úvěrů činil za březen 5,89 procenta</w:t>
      </w:r>
    </w:p>
    <w:p w14:paraId="7B242272" w14:textId="48137E41" w:rsidR="00B85C55" w:rsidRDefault="00B85C55" w:rsidP="00B85C55">
      <w:pPr>
        <w:pStyle w:val="Odstavecseseznamem"/>
        <w:numPr>
          <w:ilvl w:val="0"/>
          <w:numId w:val="3"/>
        </w:numPr>
        <w:ind w:left="357" w:right="40" w:hanging="357"/>
        <w:rPr>
          <w:rFonts w:asciiTheme="minorHAnsi" w:eastAsiaTheme="minorHAnsi" w:hAnsiTheme="minorHAnsi" w:cstheme="minorHAnsi"/>
          <w:b/>
          <w:lang w:bidi="ar-SA"/>
        </w:rPr>
      </w:pPr>
      <w:r>
        <w:rPr>
          <w:rFonts w:asciiTheme="minorHAnsi" w:eastAsiaTheme="minorHAnsi" w:hAnsiTheme="minorHAnsi" w:cstheme="minorHAnsi"/>
          <w:b/>
          <w:lang w:bidi="ar-SA"/>
        </w:rPr>
        <w:t>Meziro</w:t>
      </w:r>
      <w:r w:rsidR="00E3404F">
        <w:rPr>
          <w:rFonts w:asciiTheme="minorHAnsi" w:eastAsiaTheme="minorHAnsi" w:hAnsiTheme="minorHAnsi" w:cstheme="minorHAnsi"/>
          <w:b/>
          <w:lang w:bidi="ar-SA"/>
        </w:rPr>
        <w:t xml:space="preserve">čně se monitorovaná hodnota zvýšila </w:t>
      </w:r>
      <w:r>
        <w:rPr>
          <w:rFonts w:asciiTheme="minorHAnsi" w:eastAsiaTheme="minorHAnsi" w:hAnsiTheme="minorHAnsi" w:cstheme="minorHAnsi"/>
          <w:b/>
          <w:lang w:bidi="ar-SA"/>
        </w:rPr>
        <w:t>o 1,59 procentního bodu</w:t>
      </w:r>
    </w:p>
    <w:p w14:paraId="711A9D9D" w14:textId="77777777" w:rsidR="00B85C55" w:rsidRPr="00B85C55" w:rsidRDefault="00B85C55" w:rsidP="00B85C55">
      <w:pPr>
        <w:pStyle w:val="Odstavecseseznamem"/>
        <w:numPr>
          <w:ilvl w:val="0"/>
          <w:numId w:val="3"/>
        </w:numPr>
        <w:ind w:left="357" w:right="40" w:hanging="357"/>
        <w:rPr>
          <w:rFonts w:asciiTheme="minorHAnsi" w:eastAsiaTheme="minorHAnsi" w:hAnsiTheme="minorHAnsi" w:cstheme="minorHAnsi"/>
          <w:b/>
          <w:lang w:bidi="ar-SA"/>
        </w:rPr>
      </w:pPr>
      <w:r>
        <w:rPr>
          <w:rFonts w:asciiTheme="minorHAnsi" w:eastAsiaTheme="minorHAnsi" w:hAnsiTheme="minorHAnsi" w:cstheme="minorHAnsi"/>
          <w:b/>
          <w:lang w:bidi="ar-SA"/>
        </w:rPr>
        <w:t>Předstihový ukazatel na duben předpokládá průměrnou výši úrokové sazby 6,10 procenta</w:t>
      </w:r>
    </w:p>
    <w:p w14:paraId="46836511" w14:textId="0B455CA6" w:rsidR="0032734F" w:rsidRDefault="00217E92" w:rsidP="008B5C5C">
      <w:pPr>
        <w:spacing w:before="200" w:after="200"/>
        <w:jc w:val="both"/>
        <w:rPr>
          <w:rFonts w:asciiTheme="minorHAnsi" w:hAnsiTheme="minorHAnsi" w:cstheme="minorHAnsi"/>
          <w:b/>
        </w:rPr>
      </w:pPr>
      <w:r>
        <w:rPr>
          <w:rFonts w:asciiTheme="minorHAnsi" w:hAnsiTheme="minorHAnsi" w:cstheme="minorHAnsi"/>
          <w:b/>
        </w:rPr>
        <w:t>Praha, 4</w:t>
      </w:r>
      <w:bookmarkStart w:id="0" w:name="_GoBack"/>
      <w:bookmarkEnd w:id="0"/>
      <w:r w:rsidR="003E1308" w:rsidRPr="007443AD">
        <w:rPr>
          <w:rFonts w:asciiTheme="minorHAnsi" w:hAnsiTheme="minorHAnsi" w:cstheme="minorHAnsi"/>
          <w:b/>
        </w:rPr>
        <w:t xml:space="preserve">. </w:t>
      </w:r>
      <w:r w:rsidR="0032734F">
        <w:rPr>
          <w:rFonts w:asciiTheme="minorHAnsi" w:hAnsiTheme="minorHAnsi" w:cstheme="minorHAnsi"/>
          <w:b/>
        </w:rPr>
        <w:t>dubna</w:t>
      </w:r>
      <w:r w:rsidR="006110E7" w:rsidRPr="007443AD">
        <w:rPr>
          <w:rFonts w:asciiTheme="minorHAnsi" w:hAnsiTheme="minorHAnsi" w:cstheme="minorHAnsi"/>
          <w:b/>
        </w:rPr>
        <w:t xml:space="preserve"> 2023</w:t>
      </w:r>
      <w:r w:rsidR="00CD6257" w:rsidRPr="007443AD">
        <w:rPr>
          <w:rFonts w:asciiTheme="minorHAnsi" w:hAnsiTheme="minorHAnsi" w:cstheme="minorHAnsi"/>
          <w:b/>
        </w:rPr>
        <w:t xml:space="preserve"> –</w:t>
      </w:r>
      <w:r w:rsidR="004D14C1" w:rsidRPr="007443AD">
        <w:rPr>
          <w:rFonts w:asciiTheme="minorHAnsi" w:hAnsiTheme="minorHAnsi" w:cstheme="minorHAnsi"/>
          <w:b/>
        </w:rPr>
        <w:t xml:space="preserve"> </w:t>
      </w:r>
      <w:r w:rsidR="005B4E77" w:rsidRPr="007443AD">
        <w:rPr>
          <w:rFonts w:asciiTheme="minorHAnsi" w:hAnsiTheme="minorHAnsi" w:cstheme="minorHAnsi"/>
          <w:b/>
        </w:rPr>
        <w:t xml:space="preserve"> </w:t>
      </w:r>
      <w:r w:rsidR="0032734F">
        <w:rPr>
          <w:rFonts w:asciiTheme="minorHAnsi" w:hAnsiTheme="minorHAnsi" w:cstheme="minorHAnsi"/>
          <w:b/>
        </w:rPr>
        <w:t xml:space="preserve">Březnové výsledky Broker Consulting Indexu hypotečních úvěrů potvrdily </w:t>
      </w:r>
      <w:r w:rsidR="001327CE">
        <w:rPr>
          <w:rFonts w:asciiTheme="minorHAnsi" w:hAnsiTheme="minorHAnsi" w:cstheme="minorHAnsi"/>
          <w:b/>
        </w:rPr>
        <w:t xml:space="preserve">stagnaci úrokových sazeb u hypoték, měřená hodnota klesla </w:t>
      </w:r>
      <w:r w:rsidR="00F26166">
        <w:rPr>
          <w:rFonts w:asciiTheme="minorHAnsi" w:hAnsiTheme="minorHAnsi" w:cstheme="minorHAnsi"/>
          <w:b/>
        </w:rPr>
        <w:t xml:space="preserve">pouze </w:t>
      </w:r>
      <w:r w:rsidR="001327CE">
        <w:rPr>
          <w:rFonts w:asciiTheme="minorHAnsi" w:hAnsiTheme="minorHAnsi" w:cstheme="minorHAnsi"/>
          <w:b/>
        </w:rPr>
        <w:t xml:space="preserve">o </w:t>
      </w:r>
      <w:r w:rsidR="00817512">
        <w:rPr>
          <w:rFonts w:asciiTheme="minorHAnsi" w:hAnsiTheme="minorHAnsi" w:cstheme="minorHAnsi"/>
          <w:b/>
        </w:rPr>
        <w:t>pět bazických bodů</w:t>
      </w:r>
      <w:r w:rsidR="001327CE">
        <w:rPr>
          <w:rFonts w:asciiTheme="minorHAnsi" w:hAnsiTheme="minorHAnsi" w:cstheme="minorHAnsi"/>
          <w:b/>
        </w:rPr>
        <w:t xml:space="preserve"> na 5,89</w:t>
      </w:r>
      <w:r w:rsidR="00817512">
        <w:rPr>
          <w:rFonts w:asciiTheme="minorHAnsi" w:hAnsiTheme="minorHAnsi" w:cstheme="minorHAnsi"/>
          <w:b/>
        </w:rPr>
        <w:t xml:space="preserve"> procenta. Meziročně se hodnota sledovaného indexu zvýšila o 1,59 procentního bodu, ve skute</w:t>
      </w:r>
      <w:r w:rsidR="00CD6E1E">
        <w:rPr>
          <w:rFonts w:asciiTheme="minorHAnsi" w:hAnsiTheme="minorHAnsi" w:cstheme="minorHAnsi"/>
          <w:b/>
        </w:rPr>
        <w:t>čnosti to potom znamenalo nárůst</w:t>
      </w:r>
      <w:r w:rsidR="00817512">
        <w:rPr>
          <w:rFonts w:asciiTheme="minorHAnsi" w:hAnsiTheme="minorHAnsi" w:cstheme="minorHAnsi"/>
          <w:b/>
        </w:rPr>
        <w:t xml:space="preserve"> sazeb o celých 37 procent. Výrazné změny neočekávají odborníci ani v příštích měsících. </w:t>
      </w:r>
      <w:r w:rsidR="00914002">
        <w:rPr>
          <w:rFonts w:asciiTheme="minorHAnsi" w:hAnsiTheme="minorHAnsi" w:cstheme="minorHAnsi"/>
          <w:b/>
        </w:rPr>
        <w:t>Přispívá k tomu</w:t>
      </w:r>
      <w:r w:rsidR="00817512">
        <w:rPr>
          <w:rFonts w:asciiTheme="minorHAnsi" w:hAnsiTheme="minorHAnsi" w:cstheme="minorHAnsi"/>
          <w:b/>
        </w:rPr>
        <w:t xml:space="preserve"> i rozhodnutí České národní banky o udržení </w:t>
      </w:r>
      <w:r w:rsidR="005F57A1">
        <w:rPr>
          <w:rFonts w:asciiTheme="minorHAnsi" w:hAnsiTheme="minorHAnsi" w:cstheme="minorHAnsi"/>
          <w:b/>
        </w:rPr>
        <w:t xml:space="preserve">dvoutýdenní </w:t>
      </w:r>
      <w:proofErr w:type="spellStart"/>
      <w:r w:rsidR="0071201C">
        <w:rPr>
          <w:rFonts w:asciiTheme="minorHAnsi" w:hAnsiTheme="minorHAnsi" w:cstheme="minorHAnsi"/>
          <w:b/>
        </w:rPr>
        <w:t>repo</w:t>
      </w:r>
      <w:proofErr w:type="spellEnd"/>
      <w:r w:rsidR="0071201C">
        <w:rPr>
          <w:rFonts w:asciiTheme="minorHAnsi" w:hAnsiTheme="minorHAnsi" w:cstheme="minorHAnsi"/>
          <w:b/>
        </w:rPr>
        <w:t xml:space="preserve"> sazby na stejné úrovni</w:t>
      </w:r>
      <w:r w:rsidR="00817512">
        <w:rPr>
          <w:rFonts w:asciiTheme="minorHAnsi" w:hAnsiTheme="minorHAnsi" w:cstheme="minorHAnsi"/>
          <w:b/>
        </w:rPr>
        <w:t xml:space="preserve">. </w:t>
      </w:r>
    </w:p>
    <w:p w14:paraId="72F982FD" w14:textId="18E3DEDC" w:rsidR="009213AE" w:rsidRPr="008B5C5C" w:rsidRDefault="00817512" w:rsidP="008B5C5C">
      <w:pPr>
        <w:spacing w:after="120"/>
        <w:jc w:val="both"/>
        <w:rPr>
          <w:rFonts w:asciiTheme="minorHAnsi" w:eastAsiaTheme="minorHAnsi" w:hAnsiTheme="minorHAnsi" w:cstheme="minorHAnsi"/>
          <w:lang w:bidi="ar-SA"/>
        </w:rPr>
      </w:pPr>
      <w:r w:rsidRPr="00477DCC">
        <w:rPr>
          <w:rFonts w:asciiTheme="minorHAnsi" w:hAnsiTheme="minorHAnsi" w:cstheme="minorHAnsi"/>
        </w:rPr>
        <w:t>„</w:t>
      </w:r>
      <w:r w:rsidRPr="00477DCC">
        <w:rPr>
          <w:rFonts w:asciiTheme="minorHAnsi" w:hAnsiTheme="minorHAnsi" w:cstheme="minorHAnsi"/>
          <w:i/>
          <w:iCs/>
        </w:rPr>
        <w:t>Rozhodnutí, kterým centrální banka ponechala úrokové sazby na sedmiprocentní úrovni, jsme očekávali. Podle meziročního srovnání se začínají vysoké úrokové sazby projevovat na inflaci, která nyní pomalu klesá. Další zvýšení sazeb by mohlo vyvíjet zbytečně velký tlak na ekonomiku a potenciálně prohloubit recesi</w:t>
      </w:r>
      <w:r w:rsidR="00477DCC">
        <w:rPr>
          <w:rFonts w:asciiTheme="minorHAnsi" w:hAnsiTheme="minorHAnsi" w:cstheme="minorHAnsi"/>
        </w:rPr>
        <w:t xml:space="preserve">,“ komentuje výsledky minulého jednání bankovní rady </w:t>
      </w:r>
      <w:r w:rsidRPr="00477DCC">
        <w:rPr>
          <w:rFonts w:asciiTheme="minorHAnsi" w:hAnsiTheme="minorHAnsi" w:cstheme="minorHAnsi"/>
          <w:b/>
          <w:bCs/>
        </w:rPr>
        <w:t>Martin Novák, hlavní analytik společnosti Broker Consulting</w:t>
      </w:r>
      <w:r w:rsidRPr="00477DCC">
        <w:rPr>
          <w:rFonts w:asciiTheme="minorHAnsi" w:hAnsiTheme="minorHAnsi" w:cstheme="minorHAnsi"/>
        </w:rPr>
        <w:t xml:space="preserve">. </w:t>
      </w:r>
    </w:p>
    <w:p w14:paraId="31C7EE6F" w14:textId="5B5A6FA1" w:rsidR="005F57A1" w:rsidRPr="005F57A1" w:rsidRDefault="00737562" w:rsidP="008B5C5C">
      <w:pPr>
        <w:spacing w:after="120"/>
        <w:jc w:val="both"/>
        <w:rPr>
          <w:rFonts w:asciiTheme="minorHAnsi" w:hAnsiTheme="minorHAnsi" w:cstheme="minorHAnsi"/>
        </w:rPr>
      </w:pPr>
      <w:r>
        <w:rPr>
          <w:rFonts w:asciiTheme="minorHAnsi" w:hAnsiTheme="minorHAnsi" w:cstheme="minorHAnsi"/>
        </w:rPr>
        <w:t>Udržování</w:t>
      </w:r>
      <w:r w:rsidR="009213AE" w:rsidRPr="005F57A1">
        <w:rPr>
          <w:rFonts w:asciiTheme="minorHAnsi" w:hAnsiTheme="minorHAnsi" w:cstheme="minorHAnsi"/>
        </w:rPr>
        <w:t xml:space="preserve"> základních sazeb na stejné úrovni velmi ovlivňuje vývoj měřených hodnot indexu, u těch poté výkyvy způsobují změny v sazebnících u jednotlivých bank, které na úpravu ČNB následně reagují. V březnu </w:t>
      </w:r>
      <w:r w:rsidR="00CC3DF9" w:rsidRPr="005F57A1">
        <w:rPr>
          <w:rFonts w:asciiTheme="minorHAnsi" w:hAnsiTheme="minorHAnsi" w:cstheme="minorHAnsi"/>
        </w:rPr>
        <w:t>sice bankovní rada rozhodla</w:t>
      </w:r>
      <w:r w:rsidR="009213AE" w:rsidRPr="005F57A1">
        <w:rPr>
          <w:rFonts w:asciiTheme="minorHAnsi" w:hAnsiTheme="minorHAnsi" w:cstheme="minorHAnsi"/>
        </w:rPr>
        <w:t xml:space="preserve"> až na konci měsíce,</w:t>
      </w:r>
      <w:r w:rsidR="00CC3DF9" w:rsidRPr="005F57A1">
        <w:rPr>
          <w:rFonts w:asciiTheme="minorHAnsi" w:hAnsiTheme="minorHAnsi" w:cstheme="minorHAnsi"/>
        </w:rPr>
        <w:t xml:space="preserve"> stagnace či mírný pokles sazeb vyplýval z indexových hodnot ale už od začátku tohoto roku.</w:t>
      </w:r>
      <w:r w:rsidR="00376086">
        <w:rPr>
          <w:rFonts w:asciiTheme="minorHAnsi" w:hAnsiTheme="minorHAnsi" w:cstheme="minorHAnsi"/>
        </w:rPr>
        <w:t xml:space="preserve"> Hodnota v březnu, tedy 5,</w:t>
      </w:r>
      <w:r w:rsidR="0055553F" w:rsidRPr="005F57A1">
        <w:rPr>
          <w:rFonts w:asciiTheme="minorHAnsi" w:hAnsiTheme="minorHAnsi" w:cstheme="minorHAnsi"/>
        </w:rPr>
        <w:t xml:space="preserve">89 procenta je prozatím letos </w:t>
      </w:r>
      <w:r w:rsidR="00080E7A">
        <w:rPr>
          <w:rFonts w:asciiTheme="minorHAnsi" w:hAnsiTheme="minorHAnsi" w:cstheme="minorHAnsi"/>
        </w:rPr>
        <w:t>nejníže</w:t>
      </w:r>
      <w:r w:rsidR="0055553F" w:rsidRPr="005F57A1">
        <w:rPr>
          <w:rFonts w:asciiTheme="minorHAnsi" w:hAnsiTheme="minorHAnsi" w:cstheme="minorHAnsi"/>
        </w:rPr>
        <w:t xml:space="preserve"> naměřenou a vypovídá o stagnaci </w:t>
      </w:r>
      <w:r>
        <w:rPr>
          <w:rFonts w:asciiTheme="minorHAnsi" w:hAnsiTheme="minorHAnsi" w:cstheme="minorHAnsi"/>
        </w:rPr>
        <w:t xml:space="preserve">úrokových </w:t>
      </w:r>
      <w:r w:rsidR="0055553F" w:rsidRPr="005F57A1">
        <w:rPr>
          <w:rFonts w:asciiTheme="minorHAnsi" w:hAnsiTheme="minorHAnsi" w:cstheme="minorHAnsi"/>
        </w:rPr>
        <w:t xml:space="preserve">sazeb u hypoték. </w:t>
      </w:r>
      <w:r w:rsidR="005F57A1" w:rsidRPr="005F57A1">
        <w:rPr>
          <w:rFonts w:asciiTheme="minorHAnsi" w:hAnsiTheme="minorHAnsi" w:cstheme="minorHAnsi"/>
        </w:rPr>
        <w:t>„</w:t>
      </w:r>
      <w:r w:rsidR="005F57A1" w:rsidRPr="00080E7A">
        <w:rPr>
          <w:rFonts w:asciiTheme="minorHAnsi" w:hAnsiTheme="minorHAnsi" w:cstheme="minorHAnsi"/>
          <w:i/>
        </w:rPr>
        <w:t>Výraznější změny nejsou v nejbližších měsících pravděpodobné. Případný větší pokles je reálný nejdříve  koncem letošního roku nebo začátkem roku příštího</w:t>
      </w:r>
      <w:r w:rsidR="005F57A1" w:rsidRPr="005F57A1">
        <w:rPr>
          <w:rFonts w:asciiTheme="minorHAnsi" w:hAnsiTheme="minorHAnsi" w:cstheme="minorHAnsi"/>
        </w:rPr>
        <w:t xml:space="preserve">,“ tvrdí Michaela Pudilová, </w:t>
      </w:r>
      <w:r w:rsidR="005F57A1" w:rsidRPr="005F57A1">
        <w:rPr>
          <w:rStyle w:val="Siln"/>
          <w:rFonts w:asciiTheme="minorHAnsi" w:hAnsiTheme="minorHAnsi" w:cstheme="minorHAnsi"/>
          <w:color w:val="000000"/>
        </w:rPr>
        <w:t>analytička hypotečních a spotřebitelských úvěrů společnosti Broker Consulting.</w:t>
      </w:r>
    </w:p>
    <w:p w14:paraId="31C465F4" w14:textId="78E95597" w:rsidR="00952F66" w:rsidRDefault="00376086" w:rsidP="008B5C5C">
      <w:pPr>
        <w:spacing w:after="120"/>
        <w:jc w:val="both"/>
        <w:rPr>
          <w:rFonts w:asciiTheme="minorHAnsi" w:hAnsiTheme="minorHAnsi" w:cstheme="minorHAnsi"/>
        </w:rPr>
      </w:pPr>
      <w:r>
        <w:rPr>
          <w:rFonts w:asciiTheme="minorHAnsi" w:hAnsiTheme="minorHAnsi" w:cstheme="minorHAnsi"/>
        </w:rPr>
        <w:t>Při porovnání s minulými měření</w:t>
      </w:r>
      <w:r w:rsidR="00952F66">
        <w:rPr>
          <w:rFonts w:asciiTheme="minorHAnsi" w:hAnsiTheme="minorHAnsi" w:cstheme="minorHAnsi"/>
        </w:rPr>
        <w:t>mi je březen těsně pod vrcholem maximálních hodnot</w:t>
      </w:r>
      <w:r w:rsidR="00F7033F">
        <w:rPr>
          <w:rFonts w:asciiTheme="minorHAnsi" w:hAnsiTheme="minorHAnsi" w:cstheme="minorHAnsi"/>
        </w:rPr>
        <w:t xml:space="preserve"> Broker Consulting indexu hypotečních úvěrů</w:t>
      </w:r>
      <w:r w:rsidR="00952F66">
        <w:rPr>
          <w:rFonts w:asciiTheme="minorHAnsi" w:hAnsiTheme="minorHAnsi" w:cstheme="minorHAnsi"/>
        </w:rPr>
        <w:t xml:space="preserve">. </w:t>
      </w:r>
      <w:r w:rsidR="00F7033F">
        <w:rPr>
          <w:rFonts w:asciiTheme="minorHAnsi" w:hAnsiTheme="minorHAnsi" w:cstheme="minorHAnsi"/>
        </w:rPr>
        <w:t xml:space="preserve">Nad hranicí šesti procent </w:t>
      </w:r>
      <w:r w:rsidR="00952F66">
        <w:rPr>
          <w:rFonts w:asciiTheme="minorHAnsi" w:hAnsiTheme="minorHAnsi" w:cstheme="minorHAnsi"/>
        </w:rPr>
        <w:t xml:space="preserve">kulminoval na konci minulého roku, v lednu a v únoru poté lehce klesl. V porovnání s rokem 2022 se </w:t>
      </w:r>
      <w:r w:rsidR="00795445">
        <w:rPr>
          <w:rFonts w:asciiTheme="minorHAnsi" w:hAnsiTheme="minorHAnsi" w:cstheme="minorHAnsi"/>
        </w:rPr>
        <w:t xml:space="preserve">úrokové sazby </w:t>
      </w:r>
      <w:r w:rsidR="00952F66">
        <w:rPr>
          <w:rFonts w:asciiTheme="minorHAnsi" w:hAnsiTheme="minorHAnsi" w:cstheme="minorHAnsi"/>
        </w:rPr>
        <w:t>zvýšily o 1,59 procentního bodu, průměrná sazba</w:t>
      </w:r>
      <w:r w:rsidR="00795445">
        <w:rPr>
          <w:rFonts w:asciiTheme="minorHAnsi" w:hAnsiTheme="minorHAnsi" w:cstheme="minorHAnsi"/>
        </w:rPr>
        <w:t xml:space="preserve"> </w:t>
      </w:r>
      <w:r>
        <w:rPr>
          <w:rFonts w:asciiTheme="minorHAnsi" w:hAnsiTheme="minorHAnsi" w:cstheme="minorHAnsi"/>
        </w:rPr>
        <w:t>hypoték u</w:t>
      </w:r>
      <w:r w:rsidR="00F7033F">
        <w:rPr>
          <w:rFonts w:asciiTheme="minorHAnsi" w:hAnsiTheme="minorHAnsi" w:cstheme="minorHAnsi"/>
        </w:rPr>
        <w:t xml:space="preserve"> klientů</w:t>
      </w:r>
      <w:r w:rsidR="00795445">
        <w:rPr>
          <w:rFonts w:asciiTheme="minorHAnsi" w:hAnsiTheme="minorHAnsi" w:cstheme="minorHAnsi"/>
        </w:rPr>
        <w:t xml:space="preserve"> narostla</w:t>
      </w:r>
      <w:r w:rsidR="00952F66">
        <w:rPr>
          <w:rFonts w:asciiTheme="minorHAnsi" w:hAnsiTheme="minorHAnsi" w:cstheme="minorHAnsi"/>
        </w:rPr>
        <w:t xml:space="preserve"> oproti loňskému březnu o necelých čtyřicet procent. </w:t>
      </w:r>
    </w:p>
    <w:p w14:paraId="3C375D08" w14:textId="2A85807C" w:rsidR="005B5CA8" w:rsidRDefault="005B5CA8" w:rsidP="008B5C5C">
      <w:pPr>
        <w:spacing w:after="120"/>
        <w:rPr>
          <w:rFonts w:asciiTheme="minorHAnsi" w:hAnsiTheme="minorHAnsi" w:cstheme="minorHAnsi"/>
        </w:rPr>
      </w:pPr>
      <w:r w:rsidRPr="007443AD">
        <w:rPr>
          <w:rFonts w:asciiTheme="minorHAnsi" w:hAnsiTheme="minorHAnsi" w:cstheme="minorHAnsi"/>
        </w:rPr>
        <w:t xml:space="preserve">Hodnota předstihového ukazatele pro pětiletou fixaci v únoru </w:t>
      </w:r>
      <w:r>
        <w:rPr>
          <w:rFonts w:asciiTheme="minorHAnsi" w:hAnsiTheme="minorHAnsi" w:cstheme="minorHAnsi"/>
        </w:rPr>
        <w:t>zůstává obdobná jako za minulý měsíc</w:t>
      </w:r>
      <w:r w:rsidRPr="007443AD">
        <w:rPr>
          <w:rFonts w:asciiTheme="minorHAnsi" w:hAnsiTheme="minorHAnsi" w:cstheme="minorHAnsi"/>
        </w:rPr>
        <w:t xml:space="preserve">, </w:t>
      </w:r>
      <w:r>
        <w:rPr>
          <w:rFonts w:asciiTheme="minorHAnsi" w:hAnsiTheme="minorHAnsi" w:cstheme="minorHAnsi"/>
        </w:rPr>
        <w:t>a to na 6,10 procenta</w:t>
      </w:r>
      <w:r w:rsidRPr="007443AD">
        <w:rPr>
          <w:rFonts w:asciiTheme="minorHAnsi" w:hAnsiTheme="minorHAnsi" w:cstheme="minorHAnsi"/>
        </w:rPr>
        <w:t>.</w:t>
      </w:r>
    </w:p>
    <w:p w14:paraId="139151C3" w14:textId="121CCDB1" w:rsidR="00952F66" w:rsidRDefault="005B5CA8" w:rsidP="008B5C5C">
      <w:pPr>
        <w:spacing w:after="120"/>
        <w:jc w:val="both"/>
        <w:rPr>
          <w:rFonts w:asciiTheme="minorHAnsi" w:hAnsiTheme="minorHAnsi" w:cstheme="minorHAnsi"/>
        </w:rPr>
      </w:pPr>
      <w:r>
        <w:rPr>
          <w:rFonts w:asciiTheme="minorHAnsi" w:hAnsiTheme="minorHAnsi" w:cstheme="minorHAnsi"/>
        </w:rPr>
        <w:t xml:space="preserve">U konkrétní modelace to poté může vypadat následovně: u pěti milionové hypotéky na 30 let s úrokovou sazbou 6 </w:t>
      </w:r>
      <w:r w:rsidR="004C0D41">
        <w:rPr>
          <w:rFonts w:asciiTheme="minorHAnsi" w:hAnsiTheme="minorHAnsi" w:cstheme="minorHAnsi"/>
        </w:rPr>
        <w:t>procent</w:t>
      </w:r>
      <w:r>
        <w:rPr>
          <w:rFonts w:asciiTheme="minorHAnsi" w:hAnsiTheme="minorHAnsi" w:cstheme="minorHAnsi"/>
        </w:rPr>
        <w:t xml:space="preserve"> bude klient aktuálně měsíčně splácet 30 tisíc korun. V případě </w:t>
      </w:r>
      <w:r w:rsidR="005B6889">
        <w:rPr>
          <w:rFonts w:asciiTheme="minorHAnsi" w:hAnsiTheme="minorHAnsi" w:cstheme="minorHAnsi"/>
        </w:rPr>
        <w:t xml:space="preserve">poklesu </w:t>
      </w:r>
      <w:r>
        <w:rPr>
          <w:rFonts w:asciiTheme="minorHAnsi" w:hAnsiTheme="minorHAnsi" w:cstheme="minorHAnsi"/>
        </w:rPr>
        <w:t xml:space="preserve">úrokové sazby po třech letech o jedno procento na 5 procent se měsíční splátka sníží o celé tři tisíce a klient by tak pravidelně </w:t>
      </w:r>
      <w:r w:rsidR="005B6889">
        <w:rPr>
          <w:rFonts w:asciiTheme="minorHAnsi" w:hAnsiTheme="minorHAnsi" w:cstheme="minorHAnsi"/>
        </w:rPr>
        <w:t>mohl splácet</w:t>
      </w:r>
      <w:r>
        <w:rPr>
          <w:rFonts w:asciiTheme="minorHAnsi" w:hAnsiTheme="minorHAnsi" w:cstheme="minorHAnsi"/>
        </w:rPr>
        <w:t xml:space="preserve"> už jen 27 tisíc korun.</w:t>
      </w:r>
    </w:p>
    <w:p w14:paraId="25D36EA4" w14:textId="70556C85" w:rsidR="005F57A1" w:rsidRDefault="004E2983" w:rsidP="008B5C5C">
      <w:pPr>
        <w:spacing w:after="120"/>
        <w:jc w:val="both"/>
        <w:rPr>
          <w:rFonts w:asciiTheme="minorHAnsi" w:hAnsiTheme="minorHAnsi" w:cstheme="minorHAnsi"/>
        </w:rPr>
      </w:pPr>
      <w:r>
        <w:rPr>
          <w:rFonts w:asciiTheme="minorHAnsi" w:hAnsiTheme="minorHAnsi" w:cstheme="minorHAnsi"/>
        </w:rPr>
        <w:t xml:space="preserve">U fixace proto </w:t>
      </w:r>
      <w:r w:rsidR="005C41F6">
        <w:rPr>
          <w:rFonts w:asciiTheme="minorHAnsi" w:hAnsiTheme="minorHAnsi" w:cstheme="minorHAnsi"/>
        </w:rPr>
        <w:t xml:space="preserve">hypoteční specialisté </w:t>
      </w:r>
      <w:r>
        <w:rPr>
          <w:rFonts w:asciiTheme="minorHAnsi" w:hAnsiTheme="minorHAnsi" w:cstheme="minorHAnsi"/>
        </w:rPr>
        <w:t xml:space="preserve">doporučují zvolit </w:t>
      </w:r>
      <w:r w:rsidR="005C41F6">
        <w:rPr>
          <w:rFonts w:asciiTheme="minorHAnsi" w:hAnsiTheme="minorHAnsi" w:cstheme="minorHAnsi"/>
        </w:rPr>
        <w:t xml:space="preserve">nyní </w:t>
      </w:r>
      <w:r w:rsidR="00737562">
        <w:rPr>
          <w:rFonts w:asciiTheme="minorHAnsi" w:hAnsiTheme="minorHAnsi" w:cstheme="minorHAnsi"/>
        </w:rPr>
        <w:t>spíše kratší dobu. „</w:t>
      </w:r>
      <w:r w:rsidR="00737562" w:rsidRPr="004C0D41">
        <w:rPr>
          <w:rFonts w:asciiTheme="minorHAnsi" w:hAnsiTheme="minorHAnsi" w:cstheme="minorHAnsi"/>
          <w:i/>
        </w:rPr>
        <w:t>U</w:t>
      </w:r>
      <w:r w:rsidRPr="004C0D41">
        <w:rPr>
          <w:rFonts w:asciiTheme="minorHAnsi" w:hAnsiTheme="minorHAnsi" w:cstheme="minorHAnsi"/>
          <w:i/>
        </w:rPr>
        <w:t xml:space="preserve"> nové hypotéky i po úpravě fixace té stávající se může výše úroků v čase </w:t>
      </w:r>
      <w:r w:rsidR="00737562" w:rsidRPr="004C0D41">
        <w:rPr>
          <w:rFonts w:asciiTheme="minorHAnsi" w:hAnsiTheme="minorHAnsi" w:cstheme="minorHAnsi"/>
          <w:i/>
        </w:rPr>
        <w:t>změnit</w:t>
      </w:r>
      <w:r w:rsidR="00737562">
        <w:rPr>
          <w:rFonts w:asciiTheme="minorHAnsi" w:hAnsiTheme="minorHAnsi" w:cstheme="minorHAnsi"/>
        </w:rPr>
        <w:t>,“ dodává Pudilová.</w:t>
      </w:r>
    </w:p>
    <w:p w14:paraId="176C6DB6" w14:textId="77777777" w:rsidR="002676E8" w:rsidRPr="007443AD" w:rsidRDefault="002676E8" w:rsidP="003E1308">
      <w:pPr>
        <w:jc w:val="both"/>
        <w:rPr>
          <w:rFonts w:asciiTheme="minorHAnsi" w:hAnsiTheme="minorHAnsi" w:cstheme="minorHAnsi"/>
        </w:rPr>
      </w:pPr>
    </w:p>
    <w:p w14:paraId="55E05AB7" w14:textId="1BBD93AC" w:rsidR="00103109" w:rsidRDefault="00CA079E" w:rsidP="00FD55C9">
      <w:pPr>
        <w:jc w:val="both"/>
        <w:rPr>
          <w:rFonts w:ascii="Arial" w:hAnsi="Arial" w:cs="Arial"/>
          <w:sz w:val="20"/>
          <w:szCs w:val="20"/>
        </w:rPr>
      </w:pPr>
      <w:r>
        <w:rPr>
          <w:rFonts w:ascii="Arial" w:hAnsi="Arial" w:cs="Arial"/>
          <w:noProof/>
          <w:sz w:val="20"/>
          <w:szCs w:val="20"/>
          <w:lang w:bidi="ar-SA"/>
        </w:rPr>
        <w:drawing>
          <wp:inline distT="0" distB="0" distL="0" distR="0" wp14:anchorId="35307C64" wp14:editId="05675D53">
            <wp:extent cx="6635750" cy="2159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BC Index hypotečních úvěrů - březen 2023.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2159635"/>
                    </a:xfrm>
                    <a:prstGeom prst="rect">
                      <a:avLst/>
                    </a:prstGeom>
                  </pic:spPr>
                </pic:pic>
              </a:graphicData>
            </a:graphic>
          </wp:inline>
        </w:drawing>
      </w:r>
    </w:p>
    <w:p w14:paraId="74B8B694" w14:textId="77777777" w:rsidR="005A7A64" w:rsidRPr="00FD55C9" w:rsidRDefault="005A7A64" w:rsidP="005A7A64">
      <w:pPr>
        <w:pBdr>
          <w:bottom w:val="single" w:sz="4" w:space="1" w:color="auto"/>
        </w:pBdr>
        <w:jc w:val="both"/>
        <w:rPr>
          <w:rFonts w:ascii="Arial" w:hAnsi="Arial" w:cs="Arial"/>
          <w:sz w:val="20"/>
          <w:szCs w:val="20"/>
        </w:rPr>
      </w:pPr>
    </w:p>
    <w:p w14:paraId="06153168" w14:textId="3B6E7B9A" w:rsidR="00236A37" w:rsidRPr="002F5550" w:rsidRDefault="00C42CA5" w:rsidP="008B5C5C">
      <w:pPr>
        <w:spacing w:before="240" w:after="120"/>
        <w:jc w:val="both"/>
        <w:rPr>
          <w:rFonts w:asciiTheme="minorHAnsi" w:hAnsiTheme="minorHAnsi" w:cstheme="minorHAnsi"/>
        </w:rPr>
      </w:pPr>
      <w:r w:rsidRPr="002F5550">
        <w:rPr>
          <w:rFonts w:asciiTheme="minorHAnsi" w:hAnsiTheme="minorHAnsi" w:cstheme="minorHAnsi"/>
        </w:rPr>
        <w:lastRenderedPageBreak/>
        <w:t>Broker Consulting Index hypotečních úvěrů je analytický nástroj</w:t>
      </w:r>
      <w:r w:rsidR="00113603" w:rsidRPr="002F5550">
        <w:rPr>
          <w:rFonts w:asciiTheme="minorHAnsi" w:hAnsiTheme="minorHAnsi" w:cstheme="minorHAnsi"/>
        </w:rPr>
        <w:t xml:space="preserve"> znázorňující</w:t>
      </w:r>
      <w:r w:rsidRPr="002F5550">
        <w:rPr>
          <w:rFonts w:asciiTheme="minorHAnsi" w:hAnsiTheme="minorHAnsi" w:cstheme="minorHAnsi"/>
        </w:rPr>
        <w:t xml:space="preserve"> průměrnou úrokovou sazbu u hypotečních úvěrů, </w:t>
      </w:r>
      <w:r w:rsidR="00113603" w:rsidRPr="002F5550">
        <w:rPr>
          <w:rFonts w:asciiTheme="minorHAnsi" w:hAnsiTheme="minorHAnsi" w:cstheme="minorHAnsi"/>
        </w:rPr>
        <w:t>které</w:t>
      </w:r>
      <w:r w:rsidRPr="002F5550">
        <w:rPr>
          <w:rFonts w:asciiTheme="minorHAnsi" w:hAnsiTheme="minorHAnsi" w:cstheme="minorHAnsi"/>
        </w:rPr>
        <w:t xml:space="preserve"> zprostředkovali konzultanti Broker Consulting a pobočky OK POINT u kteréhokoli poskytovatele hypotečních úvěrů. Jedná se o vážený aritmetický průměr, kdy hlavní vahou je objem úvěru. Tedy čím vyšší úvěr, tím jeho sazba </w:t>
      </w:r>
      <w:r w:rsidR="00113603" w:rsidRPr="002F5550">
        <w:rPr>
          <w:rFonts w:asciiTheme="minorHAnsi" w:hAnsiTheme="minorHAnsi" w:cstheme="minorHAnsi"/>
        </w:rPr>
        <w:t xml:space="preserve">vstupuje </w:t>
      </w:r>
      <w:r w:rsidRPr="002F5550">
        <w:rPr>
          <w:rFonts w:asciiTheme="minorHAnsi" w:hAnsiTheme="minorHAnsi" w:cstheme="minorHAnsi"/>
        </w:rPr>
        <w:t xml:space="preserve">do indexu větší vahou. </w:t>
      </w:r>
      <w:r w:rsidRPr="002F5550">
        <w:rPr>
          <w:rFonts w:asciiTheme="minorHAnsi" w:hAnsiTheme="minorHAnsi" w:cstheme="minorHAnsi"/>
          <w:b/>
        </w:rPr>
        <w:t xml:space="preserve">Výhodou metody výpočtu </w:t>
      </w:r>
      <w:r w:rsidR="00C7532A" w:rsidRPr="002F5550">
        <w:rPr>
          <w:rFonts w:asciiTheme="minorHAnsi" w:hAnsiTheme="minorHAnsi" w:cstheme="minorHAnsi"/>
          <w:b/>
        </w:rPr>
        <w:t xml:space="preserve">indexu </w:t>
      </w:r>
      <w:r w:rsidRPr="002F5550">
        <w:rPr>
          <w:rFonts w:asciiTheme="minorHAnsi" w:hAnsiTheme="minorHAnsi" w:cstheme="minorHAnsi"/>
          <w:b/>
        </w:rPr>
        <w:t>je skutečnost, že se do statistiky dostávají pouze skutečně schválené úvěry, a to bez výjimky všechny.</w:t>
      </w:r>
      <w:r w:rsidRPr="002F5550">
        <w:rPr>
          <w:rFonts w:asciiTheme="minorHAnsi" w:hAnsiTheme="minorHAnsi" w:cstheme="minorHAnsi"/>
        </w:rPr>
        <w:t xml:space="preserve"> Nemůže tak dojít ke zkreslení informací a index není závislý na dodávkách třetích stran. </w:t>
      </w:r>
    </w:p>
    <w:p w14:paraId="70EFA666" w14:textId="4A6CAE48" w:rsidR="002E6DB6" w:rsidRPr="002F5550" w:rsidRDefault="00C42CA5" w:rsidP="008B5C5C">
      <w:pPr>
        <w:spacing w:after="120"/>
        <w:jc w:val="both"/>
        <w:rPr>
          <w:rFonts w:asciiTheme="minorHAnsi" w:hAnsiTheme="minorHAnsi" w:cstheme="minorHAnsi"/>
        </w:rPr>
      </w:pPr>
      <w:r w:rsidRPr="002F5550">
        <w:rPr>
          <w:rFonts w:asciiTheme="minorHAnsi" w:hAnsiTheme="minorHAnsi" w:cstheme="minorHAnsi"/>
        </w:rPr>
        <w:t>V principu se Broker Consulting Index hypotečních úvěrů počítá ze sazeb, které jsou v danou chvíli pro daného klienta nejnižší na trhu</w:t>
      </w:r>
      <w:r w:rsidR="00FA2D1E" w:rsidRPr="002F5550">
        <w:rPr>
          <w:rFonts w:asciiTheme="minorHAnsi" w:hAnsiTheme="minorHAnsi" w:cstheme="minorHAnsi"/>
        </w:rPr>
        <w:t>,</w:t>
      </w:r>
      <w:r w:rsidRPr="002F5550">
        <w:rPr>
          <w:rFonts w:asciiTheme="minorHAnsi" w:hAnsiTheme="minorHAnsi" w:cstheme="minorHAnsi"/>
        </w:rPr>
        <w:t xml:space="preserve"> </w:t>
      </w:r>
      <w:r w:rsidR="00FA2D1E" w:rsidRPr="002F5550">
        <w:rPr>
          <w:rFonts w:asciiTheme="minorHAnsi" w:hAnsiTheme="minorHAnsi" w:cstheme="minorHAnsi"/>
        </w:rPr>
        <w:t>a</w:t>
      </w:r>
      <w:r w:rsidRPr="002F5550">
        <w:rPr>
          <w:rFonts w:asciiTheme="minorHAnsi" w:hAnsiTheme="minorHAnsi" w:cstheme="minorHAnsi"/>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6B1DF12D" w14:textId="18A0CCB4" w:rsidR="009345C9" w:rsidRPr="008009B8" w:rsidRDefault="002E6DB6" w:rsidP="008B5C5C">
      <w:pPr>
        <w:spacing w:after="120"/>
        <w:jc w:val="both"/>
        <w:rPr>
          <w:rFonts w:ascii="Arial" w:hAnsi="Arial" w:cs="Arial"/>
          <w:sz w:val="20"/>
          <w:szCs w:val="20"/>
        </w:rPr>
      </w:pPr>
      <w:r w:rsidRPr="002F5550">
        <w:rPr>
          <w:rFonts w:asciiTheme="minorHAnsi" w:hAnsiTheme="minorHAnsi" w:cstheme="minorHAnsi"/>
          <w:color w:val="000000"/>
        </w:rPr>
        <w:t>Předstihový ukazatel Broker Consulting Indexu hypotečních úvěrů a jeho výpočet rea</w:t>
      </w:r>
      <w:r w:rsidR="008C75D3" w:rsidRPr="002F5550">
        <w:rPr>
          <w:rFonts w:asciiTheme="minorHAnsi" w:hAnsiTheme="minorHAnsi" w:cstheme="minorHAnsi"/>
          <w:color w:val="000000"/>
        </w:rPr>
        <w:t>guje na potřebu aktuálního výhledu výše sazeb, ve kterém se budou v daném měsíci poskytovat hypoteční úvěry zprostředkovávané od většiny bankovních institucí v tuzemsku. Ve výpočtu jde o aritmetick</w:t>
      </w:r>
      <w:r w:rsidR="00057F54" w:rsidRPr="002F5550">
        <w:rPr>
          <w:rFonts w:asciiTheme="minorHAnsi" w:hAnsiTheme="minorHAnsi" w:cstheme="minorHAnsi"/>
          <w:color w:val="000000"/>
        </w:rPr>
        <w:t>ý průměr nabízených úrokových sazeb</w:t>
      </w:r>
      <w:r w:rsidR="00807AD4" w:rsidRPr="002F5550">
        <w:rPr>
          <w:rFonts w:asciiTheme="minorHAnsi" w:hAnsiTheme="minorHAnsi" w:cstheme="minorHAnsi"/>
          <w:color w:val="000000"/>
        </w:rPr>
        <w:t xml:space="preserve"> v konkrétním </w:t>
      </w:r>
      <w:r w:rsidR="008C75D3" w:rsidRPr="002F5550">
        <w:rPr>
          <w:rFonts w:asciiTheme="minorHAnsi" w:hAnsiTheme="minorHAnsi" w:cstheme="minorHAnsi"/>
          <w:color w:val="000000"/>
        </w:rPr>
        <w:t>měsíci, ve kterém se zveřejňují hodnoty Broker Consulting Indexu hypotečních úvěrů.</w:t>
      </w:r>
      <w:r w:rsidR="00CC3D3D" w:rsidRPr="002F5550">
        <w:rPr>
          <w:rFonts w:asciiTheme="minorHAnsi" w:hAnsiTheme="minorHAnsi" w:cstheme="minorHAnsi"/>
          <w:color w:val="000000"/>
        </w:rPr>
        <w:t xml:space="preserve"> Vzhledem ke statisti</w:t>
      </w:r>
      <w:r w:rsidR="004919CC" w:rsidRPr="002F5550">
        <w:rPr>
          <w:rFonts w:asciiTheme="minorHAnsi" w:hAnsiTheme="minorHAnsi" w:cstheme="minorHAnsi"/>
          <w:color w:val="000000"/>
        </w:rPr>
        <w:t>ce preferovaných fixací byla při výpoč</w:t>
      </w:r>
      <w:r w:rsidR="00CC3D3D" w:rsidRPr="002F5550">
        <w:rPr>
          <w:rFonts w:asciiTheme="minorHAnsi" w:hAnsiTheme="minorHAnsi" w:cstheme="minorHAnsi"/>
          <w:color w:val="000000"/>
        </w:rPr>
        <w:t>t</w:t>
      </w:r>
      <w:r w:rsidR="004919CC" w:rsidRPr="002F5550">
        <w:rPr>
          <w:rFonts w:asciiTheme="minorHAnsi" w:hAnsiTheme="minorHAnsi" w:cstheme="minorHAnsi"/>
          <w:color w:val="000000"/>
        </w:rPr>
        <w:t>u zohledněna</w:t>
      </w:r>
      <w:r w:rsidR="00CC3D3D" w:rsidRPr="002F5550">
        <w:rPr>
          <w:rFonts w:asciiTheme="minorHAnsi" w:hAnsiTheme="minorHAnsi" w:cstheme="minorHAnsi"/>
          <w:color w:val="000000"/>
        </w:rPr>
        <w:t xml:space="preserve"> pětiletá fixace úrokových sazeb</w:t>
      </w:r>
      <w:r w:rsidR="00CC3D3D" w:rsidRPr="008009B8">
        <w:rPr>
          <w:rFonts w:ascii="Arial" w:hAnsi="Arial" w:cs="Arial"/>
          <w:color w:val="000000"/>
          <w:sz w:val="20"/>
          <w:szCs w:val="20"/>
        </w:rPr>
        <w:t>.</w:t>
      </w:r>
    </w:p>
    <w:p w14:paraId="691D3A33" w14:textId="77777777" w:rsidR="00C42CA5" w:rsidRPr="00C42CA5" w:rsidRDefault="00C42CA5" w:rsidP="00C42CA5">
      <w:pPr>
        <w:pBdr>
          <w:bottom w:val="single" w:sz="4" w:space="1" w:color="auto"/>
        </w:pBdr>
        <w:jc w:val="both"/>
        <w:rPr>
          <w:rFonts w:ascii="Arial" w:hAnsi="Arial" w:cs="Arial"/>
          <w:sz w:val="20"/>
          <w:szCs w:val="20"/>
        </w:rPr>
      </w:pPr>
    </w:p>
    <w:p w14:paraId="4A4E372E" w14:textId="214E9ADC" w:rsidR="00CA1806" w:rsidRDefault="00CA1806" w:rsidP="006529D7">
      <w:pPr>
        <w:rPr>
          <w:rFonts w:ascii="Arial" w:hAnsi="Arial" w:cs="Arial"/>
          <w:b/>
          <w:sz w:val="18"/>
          <w:szCs w:val="16"/>
        </w:rPr>
      </w:pPr>
    </w:p>
    <w:p w14:paraId="5FCF3C96" w14:textId="040F53B7" w:rsidR="00B01F39" w:rsidRPr="002F5550" w:rsidRDefault="00C947C0" w:rsidP="006529D7">
      <w:pPr>
        <w:rPr>
          <w:rFonts w:asciiTheme="minorHAnsi" w:hAnsiTheme="minorHAnsi" w:cstheme="minorHAnsi"/>
        </w:rPr>
      </w:pPr>
      <w:r w:rsidRPr="002F5550">
        <w:rPr>
          <w:rFonts w:asciiTheme="minorHAnsi" w:hAnsiTheme="minorHAnsi" w:cstheme="minorHAnsi"/>
          <w:b/>
        </w:rPr>
        <w:t>P</w:t>
      </w:r>
      <w:r w:rsidR="00B37F41" w:rsidRPr="002F5550">
        <w:rPr>
          <w:rFonts w:asciiTheme="minorHAnsi" w:hAnsiTheme="minorHAnsi" w:cstheme="minorHAnsi"/>
          <w:b/>
        </w:rPr>
        <w:t>oznámka pro média:</w:t>
      </w:r>
      <w:r w:rsidR="00B37F41" w:rsidRPr="002F5550">
        <w:rPr>
          <w:rFonts w:asciiTheme="minorHAnsi" w:hAnsiTheme="minorHAnsi" w:cstheme="minorHAnsi"/>
        </w:rPr>
        <w:t xml:space="preserve"> </w:t>
      </w:r>
      <w:r w:rsidR="00B37F41" w:rsidRPr="002F5550">
        <w:rPr>
          <w:rFonts w:asciiTheme="minorHAnsi" w:hAnsiTheme="minorHAnsi" w:cstheme="minorHAnsi"/>
          <w:color w:val="1D1D1B"/>
          <w:w w:val="105"/>
        </w:rPr>
        <w:t>Broker</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w w:val="105"/>
        </w:rPr>
        <w:t>Consulting</w:t>
      </w:r>
      <w:r w:rsidR="00B37F41" w:rsidRPr="002F5550">
        <w:rPr>
          <w:rFonts w:asciiTheme="minorHAnsi" w:hAnsiTheme="minorHAnsi" w:cstheme="minorHAnsi"/>
          <w:color w:val="1D1D1B"/>
          <w:spacing w:val="-8"/>
          <w:w w:val="105"/>
        </w:rPr>
        <w:t xml:space="preserve"> </w:t>
      </w:r>
      <w:r w:rsidR="00B37F41" w:rsidRPr="002F5550">
        <w:rPr>
          <w:rFonts w:asciiTheme="minorHAnsi" w:hAnsiTheme="minorHAnsi" w:cstheme="minorHAnsi"/>
          <w:color w:val="1D1D1B"/>
          <w:w w:val="105"/>
        </w:rPr>
        <w:t>Indexy</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w w:val="105"/>
        </w:rPr>
        <w:t>je</w:t>
      </w:r>
      <w:r w:rsidR="00B37F41" w:rsidRPr="002F5550">
        <w:rPr>
          <w:rFonts w:asciiTheme="minorHAnsi" w:hAnsiTheme="minorHAnsi" w:cstheme="minorHAnsi"/>
          <w:color w:val="1D1D1B"/>
          <w:spacing w:val="-8"/>
          <w:w w:val="105"/>
        </w:rPr>
        <w:t xml:space="preserve"> </w:t>
      </w:r>
      <w:r w:rsidR="00B37F41" w:rsidRPr="002F5550">
        <w:rPr>
          <w:rFonts w:asciiTheme="minorHAnsi" w:hAnsiTheme="minorHAnsi" w:cstheme="minorHAnsi"/>
          <w:color w:val="1D1D1B"/>
          <w:w w:val="105"/>
        </w:rPr>
        <w:t>možné</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w w:val="105"/>
        </w:rPr>
        <w:t>volně</w:t>
      </w:r>
      <w:r w:rsidR="00B37F41" w:rsidRPr="002F5550">
        <w:rPr>
          <w:rFonts w:asciiTheme="minorHAnsi" w:hAnsiTheme="minorHAnsi" w:cstheme="minorHAnsi"/>
          <w:color w:val="1D1D1B"/>
          <w:spacing w:val="-8"/>
          <w:w w:val="105"/>
        </w:rPr>
        <w:t xml:space="preserve"> </w:t>
      </w:r>
      <w:r w:rsidR="00B37F41" w:rsidRPr="002F5550">
        <w:rPr>
          <w:rFonts w:asciiTheme="minorHAnsi" w:hAnsiTheme="minorHAnsi" w:cstheme="minorHAnsi"/>
          <w:color w:val="1D1D1B"/>
          <w:spacing w:val="2"/>
          <w:w w:val="105"/>
        </w:rPr>
        <w:t>publikovat</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w w:val="105"/>
        </w:rPr>
        <w:t>pouze</w:t>
      </w:r>
      <w:r w:rsidR="00B37F41" w:rsidRPr="002F5550">
        <w:rPr>
          <w:rFonts w:asciiTheme="minorHAnsi" w:hAnsiTheme="minorHAnsi" w:cstheme="minorHAnsi"/>
          <w:color w:val="1D1D1B"/>
          <w:spacing w:val="-8"/>
          <w:w w:val="105"/>
        </w:rPr>
        <w:t xml:space="preserve"> </w:t>
      </w:r>
      <w:r w:rsidR="00B37F41" w:rsidRPr="002F5550">
        <w:rPr>
          <w:rFonts w:asciiTheme="minorHAnsi" w:hAnsiTheme="minorHAnsi" w:cstheme="minorHAnsi"/>
          <w:color w:val="1D1D1B"/>
          <w:w w:val="105"/>
        </w:rPr>
        <w:t>s</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w w:val="105"/>
        </w:rPr>
        <w:t>označením</w:t>
      </w:r>
      <w:r w:rsidR="00B37F41" w:rsidRPr="002F5550">
        <w:rPr>
          <w:rFonts w:asciiTheme="minorHAnsi" w:hAnsiTheme="minorHAnsi" w:cstheme="minorHAnsi"/>
          <w:color w:val="1D1D1B"/>
          <w:spacing w:val="-8"/>
          <w:w w:val="105"/>
        </w:rPr>
        <w:t xml:space="preserve"> </w:t>
      </w:r>
      <w:r w:rsidR="00B37F41" w:rsidRPr="002F5550">
        <w:rPr>
          <w:rFonts w:asciiTheme="minorHAnsi" w:hAnsiTheme="minorHAnsi" w:cstheme="minorHAnsi"/>
          <w:color w:val="1D1D1B"/>
          <w:w w:val="105"/>
        </w:rPr>
        <w:t>„Broker</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w w:val="105"/>
        </w:rPr>
        <w:t>Consulting</w:t>
      </w:r>
      <w:r w:rsidR="00B37F41" w:rsidRPr="002F5550">
        <w:rPr>
          <w:rFonts w:asciiTheme="minorHAnsi" w:hAnsiTheme="minorHAnsi" w:cstheme="minorHAnsi"/>
          <w:color w:val="1D1D1B"/>
          <w:spacing w:val="-8"/>
          <w:w w:val="105"/>
        </w:rPr>
        <w:t xml:space="preserve"> </w:t>
      </w:r>
      <w:r w:rsidR="00B37F41" w:rsidRPr="002F5550">
        <w:rPr>
          <w:rFonts w:asciiTheme="minorHAnsi" w:hAnsiTheme="minorHAnsi" w:cstheme="minorHAnsi"/>
          <w:color w:val="1D1D1B"/>
          <w:w w:val="105"/>
        </w:rPr>
        <w:t>Index“</w:t>
      </w:r>
      <w:r w:rsidR="00B37F41" w:rsidRPr="002F5550">
        <w:rPr>
          <w:rFonts w:asciiTheme="minorHAnsi" w:hAnsiTheme="minorHAnsi" w:cstheme="minorHAnsi"/>
          <w:color w:val="1D1D1B"/>
          <w:spacing w:val="-9"/>
          <w:w w:val="105"/>
        </w:rPr>
        <w:t xml:space="preserve"> </w:t>
      </w:r>
      <w:r w:rsidR="00B37F41" w:rsidRPr="002F5550">
        <w:rPr>
          <w:rFonts w:asciiTheme="minorHAnsi" w:hAnsiTheme="minorHAnsi" w:cstheme="minorHAnsi"/>
          <w:color w:val="1D1D1B"/>
          <w:spacing w:val="-3"/>
          <w:w w:val="105"/>
        </w:rPr>
        <w:t>(</w:t>
      </w:r>
      <w:r w:rsidR="00B37F41" w:rsidRPr="002F5550">
        <w:rPr>
          <w:rFonts w:asciiTheme="minorHAnsi" w:hAnsiTheme="minorHAnsi" w:cstheme="minorHAnsi"/>
          <w:i/>
          <w:color w:val="1D1D1B"/>
          <w:spacing w:val="-3"/>
          <w:w w:val="105"/>
        </w:rPr>
        <w:t>např.</w:t>
      </w:r>
      <w:r w:rsidR="00B37F41" w:rsidRPr="002F5550">
        <w:rPr>
          <w:rFonts w:asciiTheme="minorHAnsi" w:hAnsiTheme="minorHAnsi" w:cstheme="minorHAnsi"/>
          <w:i/>
          <w:color w:val="1D1D1B"/>
          <w:spacing w:val="-8"/>
          <w:w w:val="105"/>
        </w:rPr>
        <w:t xml:space="preserve"> </w:t>
      </w:r>
      <w:r w:rsidR="00B37F41" w:rsidRPr="002F5550">
        <w:rPr>
          <w:rFonts w:asciiTheme="minorHAnsi" w:hAnsiTheme="minorHAnsi" w:cstheme="minorHAnsi"/>
          <w:i/>
          <w:color w:val="1D1D1B"/>
          <w:w w:val="105"/>
        </w:rPr>
        <w:t>Broker</w:t>
      </w:r>
      <w:r w:rsidR="00B37F41" w:rsidRPr="002F5550">
        <w:rPr>
          <w:rFonts w:asciiTheme="minorHAnsi" w:hAnsiTheme="minorHAnsi" w:cstheme="minorHAnsi"/>
          <w:i/>
          <w:color w:val="1D1D1B"/>
          <w:spacing w:val="-9"/>
          <w:w w:val="105"/>
        </w:rPr>
        <w:t xml:space="preserve"> </w:t>
      </w:r>
      <w:r w:rsidR="00B37F41" w:rsidRPr="002F5550">
        <w:rPr>
          <w:rFonts w:asciiTheme="minorHAnsi" w:hAnsiTheme="minorHAnsi" w:cstheme="minorHAnsi"/>
          <w:i/>
          <w:color w:val="1D1D1B"/>
          <w:w w:val="105"/>
        </w:rPr>
        <w:t>Consulting</w:t>
      </w:r>
      <w:r w:rsidR="00B37F41" w:rsidRPr="002F5550">
        <w:rPr>
          <w:rFonts w:asciiTheme="minorHAnsi" w:hAnsiTheme="minorHAnsi" w:cstheme="minorHAnsi"/>
          <w:i/>
          <w:color w:val="1D1D1B"/>
          <w:spacing w:val="-8"/>
          <w:w w:val="105"/>
        </w:rPr>
        <w:t xml:space="preserve"> </w:t>
      </w:r>
      <w:r w:rsidR="00B37F41" w:rsidRPr="002F5550">
        <w:rPr>
          <w:rFonts w:asciiTheme="minorHAnsi" w:hAnsiTheme="minorHAnsi" w:cstheme="minorHAnsi"/>
          <w:i/>
          <w:color w:val="1D1D1B"/>
          <w:w w:val="105"/>
        </w:rPr>
        <w:t>index hypot</w:t>
      </w:r>
      <w:r w:rsidR="00830CE8" w:rsidRPr="002F5550">
        <w:rPr>
          <w:rFonts w:asciiTheme="minorHAnsi" w:hAnsiTheme="minorHAnsi" w:cstheme="minorHAnsi"/>
          <w:i/>
          <w:color w:val="1D1D1B"/>
          <w:w w:val="105"/>
        </w:rPr>
        <w:t>e</w:t>
      </w:r>
      <w:r w:rsidR="00B37F41" w:rsidRPr="002F5550">
        <w:rPr>
          <w:rFonts w:asciiTheme="minorHAnsi" w:hAnsiTheme="minorHAnsi" w:cstheme="minorHAnsi"/>
          <w:i/>
          <w:color w:val="1D1D1B"/>
          <w:w w:val="105"/>
        </w:rPr>
        <w:t xml:space="preserve">čních úvěrů). Více informací najdete též na webu </w:t>
      </w:r>
      <w:r w:rsidR="00B37F41" w:rsidRPr="002F5550">
        <w:rPr>
          <w:rStyle w:val="Hypertextovodkaz"/>
          <w:rFonts w:asciiTheme="minorHAnsi" w:hAnsiTheme="minorHAnsi" w:cstheme="minorHAnsi"/>
          <w:i/>
          <w:w w:val="105"/>
        </w:rPr>
        <w:t>https://www.bcas.cz/onas/pro-media/</w:t>
      </w:r>
      <w:r w:rsidR="00B37F41" w:rsidRPr="002F5550">
        <w:rPr>
          <w:rFonts w:asciiTheme="minorHAnsi" w:hAnsiTheme="minorHAnsi" w:cstheme="minorHAnsi"/>
          <w:i/>
          <w:color w:val="1D1D1B"/>
          <w:w w:val="105"/>
        </w:rPr>
        <w:t xml:space="preserve">. </w:t>
      </w:r>
    </w:p>
    <w:p w14:paraId="58F041AC" w14:textId="57BD355F" w:rsidR="00692610" w:rsidRPr="002F5550" w:rsidRDefault="00692610" w:rsidP="00B27178">
      <w:pPr>
        <w:jc w:val="both"/>
        <w:rPr>
          <w:rFonts w:asciiTheme="minorHAnsi" w:eastAsia="Calibri" w:hAnsiTheme="minorHAnsi" w:cstheme="minorHAnsi"/>
          <w:b/>
          <w:bCs/>
          <w:noProof/>
        </w:rPr>
      </w:pPr>
    </w:p>
    <w:p w14:paraId="7DE80F01" w14:textId="77777777" w:rsidR="00CA1806" w:rsidRPr="002F5550" w:rsidRDefault="00CA1806" w:rsidP="00B27178">
      <w:pPr>
        <w:jc w:val="both"/>
        <w:rPr>
          <w:rFonts w:asciiTheme="minorHAnsi" w:eastAsia="Calibri" w:hAnsiTheme="minorHAnsi" w:cstheme="minorHAnsi"/>
          <w:b/>
          <w:bCs/>
          <w:noProof/>
        </w:rPr>
      </w:pPr>
    </w:p>
    <w:p w14:paraId="7C1907C0" w14:textId="1D2EC938" w:rsidR="00D60D98" w:rsidRPr="002F5550" w:rsidRDefault="00D60D98" w:rsidP="00D60D98">
      <w:pPr>
        <w:rPr>
          <w:rFonts w:asciiTheme="minorHAnsi" w:eastAsia="Calibri" w:hAnsiTheme="minorHAnsi" w:cstheme="minorHAnsi"/>
          <w:b/>
          <w:bCs/>
          <w:noProof/>
        </w:rPr>
      </w:pPr>
      <w:r w:rsidRPr="002F5550">
        <w:rPr>
          <w:rFonts w:asciiTheme="minorHAnsi" w:eastAsia="Calibri" w:hAnsiTheme="minorHAnsi" w:cstheme="minorHAnsi"/>
          <w:b/>
          <w:bCs/>
          <w:noProof/>
        </w:rPr>
        <w:t>Kontakt pro média:</w:t>
      </w:r>
    </w:p>
    <w:p w14:paraId="090F1F41" w14:textId="2F88DEFA" w:rsidR="00B37F41" w:rsidRPr="002F5550" w:rsidRDefault="00B37F41" w:rsidP="00D60D98">
      <w:pPr>
        <w:rPr>
          <w:rFonts w:asciiTheme="minorHAnsi" w:eastAsia="Calibri" w:hAnsiTheme="minorHAnsi" w:cstheme="minorHAnsi"/>
          <w:bCs/>
          <w:noProof/>
        </w:rPr>
      </w:pPr>
    </w:p>
    <w:p w14:paraId="459105C8" w14:textId="3415D3B2" w:rsidR="00692610" w:rsidRPr="002F5550" w:rsidRDefault="003529EF" w:rsidP="007748DA">
      <w:pPr>
        <w:spacing w:after="60"/>
        <w:rPr>
          <w:rFonts w:asciiTheme="minorHAnsi" w:eastAsia="Calibri" w:hAnsiTheme="minorHAnsi" w:cstheme="minorHAnsi"/>
          <w:bCs/>
          <w:noProof/>
          <w:lang w:bidi="ar-SA"/>
        </w:rPr>
      </w:pPr>
      <w:r w:rsidRPr="002F5550">
        <w:rPr>
          <w:rFonts w:asciiTheme="minorHAnsi" w:eastAsia="Calibri" w:hAnsiTheme="minorHAnsi" w:cstheme="minorHAnsi"/>
          <w:bCs/>
          <w:noProof/>
        </w:rPr>
        <w:t>Michaela Sahulová</w:t>
      </w:r>
    </w:p>
    <w:p w14:paraId="3D378A07" w14:textId="7DB23AAC" w:rsidR="00692610" w:rsidRPr="002F5550" w:rsidRDefault="00692610" w:rsidP="00692610">
      <w:pPr>
        <w:pStyle w:val="Bezmezer"/>
        <w:rPr>
          <w:rFonts w:eastAsia="Calibri" w:cstheme="minorHAnsi"/>
          <w:noProof/>
        </w:rPr>
      </w:pPr>
      <w:r w:rsidRPr="002F5550">
        <w:rPr>
          <w:rFonts w:eastAsia="Calibri" w:cstheme="minorHAnsi"/>
          <w:noProof/>
        </w:rPr>
        <w:t>Specialistka PR a externí komunikace</w:t>
      </w:r>
    </w:p>
    <w:p w14:paraId="5B3D6899" w14:textId="334A3B70" w:rsidR="004928CB" w:rsidRPr="002F5550" w:rsidRDefault="004928CB" w:rsidP="004928CB">
      <w:pPr>
        <w:rPr>
          <w:rFonts w:asciiTheme="minorHAnsi" w:eastAsiaTheme="minorEastAsia" w:hAnsiTheme="minorHAnsi" w:cstheme="minorHAnsi"/>
          <w:noProof/>
          <w:color w:val="000000" w:themeColor="text1"/>
          <w:lang w:bidi="ar-SA"/>
        </w:rPr>
      </w:pPr>
      <w:r w:rsidRPr="002F5550">
        <w:rPr>
          <w:rFonts w:asciiTheme="minorHAnsi" w:eastAsiaTheme="minorEastAsia" w:hAnsiTheme="minorHAnsi" w:cstheme="minorHAnsi"/>
          <w:noProof/>
          <w:color w:val="000000" w:themeColor="text1"/>
        </w:rPr>
        <w:t>tel.: +420 731 538 373</w:t>
      </w:r>
    </w:p>
    <w:p w14:paraId="16B705EA" w14:textId="41D7186C" w:rsidR="00692610" w:rsidRPr="002F5550" w:rsidRDefault="00692610" w:rsidP="00692610">
      <w:pPr>
        <w:rPr>
          <w:rFonts w:asciiTheme="minorHAnsi" w:eastAsia="Calibri" w:hAnsiTheme="minorHAnsi" w:cstheme="minorHAnsi"/>
          <w:noProof/>
        </w:rPr>
      </w:pPr>
      <w:r w:rsidRPr="002F5550">
        <w:rPr>
          <w:rFonts w:asciiTheme="minorHAnsi" w:eastAsia="Calibri" w:hAnsiTheme="minorHAnsi" w:cstheme="minorHAnsi"/>
          <w:noProof/>
        </w:rPr>
        <w:t xml:space="preserve">E-mail: </w:t>
      </w:r>
      <w:hyperlink r:id="rId26" w:history="1">
        <w:r w:rsidR="003529EF" w:rsidRPr="002F5550">
          <w:rPr>
            <w:rStyle w:val="Hypertextovodkaz"/>
            <w:rFonts w:asciiTheme="minorHAnsi" w:eastAsia="Calibri" w:hAnsiTheme="minorHAnsi" w:cstheme="minorHAnsi"/>
            <w:noProof/>
          </w:rPr>
          <w:t>michaela.sahulova@bcas.cz</w:t>
        </w:r>
      </w:hyperlink>
      <w:r w:rsidRPr="002F5550">
        <w:rPr>
          <w:rFonts w:asciiTheme="minorHAnsi" w:eastAsia="Calibri" w:hAnsiTheme="minorHAnsi" w:cstheme="minorHAnsi"/>
          <w:noProof/>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78CCD" w14:textId="77777777" w:rsidR="00EA5CA0" w:rsidRDefault="00EA5CA0">
      <w:r>
        <w:separator/>
      </w:r>
    </w:p>
  </w:endnote>
  <w:endnote w:type="continuationSeparator" w:id="0">
    <w:p w14:paraId="7AB200CB" w14:textId="77777777" w:rsidR="00EA5CA0" w:rsidRDefault="00EA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EA5CA0"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B571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EA5CA0"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B571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EA5CA0"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B571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2E7E7" w14:textId="77777777" w:rsidR="00EA5CA0" w:rsidRDefault="00EA5CA0">
      <w:r>
        <w:separator/>
      </w:r>
    </w:p>
  </w:footnote>
  <w:footnote w:type="continuationSeparator" w:id="0">
    <w:p w14:paraId="623F3062" w14:textId="77777777" w:rsidR="00EA5CA0" w:rsidRDefault="00EA5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1DF6"/>
    <w:rsid w:val="00014FB5"/>
    <w:rsid w:val="00020EC7"/>
    <w:rsid w:val="0002230E"/>
    <w:rsid w:val="000226F3"/>
    <w:rsid w:val="00026F23"/>
    <w:rsid w:val="000277AC"/>
    <w:rsid w:val="0003028F"/>
    <w:rsid w:val="00030E97"/>
    <w:rsid w:val="00032D94"/>
    <w:rsid w:val="00033FD7"/>
    <w:rsid w:val="000374D7"/>
    <w:rsid w:val="00037DAF"/>
    <w:rsid w:val="000400E4"/>
    <w:rsid w:val="000412FA"/>
    <w:rsid w:val="0004477D"/>
    <w:rsid w:val="00044EC5"/>
    <w:rsid w:val="00045D86"/>
    <w:rsid w:val="00046AF6"/>
    <w:rsid w:val="0004776E"/>
    <w:rsid w:val="0005423A"/>
    <w:rsid w:val="00057F54"/>
    <w:rsid w:val="000611E3"/>
    <w:rsid w:val="00061BF6"/>
    <w:rsid w:val="00070652"/>
    <w:rsid w:val="000766E7"/>
    <w:rsid w:val="00080E7A"/>
    <w:rsid w:val="00081616"/>
    <w:rsid w:val="000823D3"/>
    <w:rsid w:val="00082D29"/>
    <w:rsid w:val="0008331F"/>
    <w:rsid w:val="000845CA"/>
    <w:rsid w:val="000851AC"/>
    <w:rsid w:val="000853D4"/>
    <w:rsid w:val="00092AEE"/>
    <w:rsid w:val="00092BB7"/>
    <w:rsid w:val="00092C6B"/>
    <w:rsid w:val="00094C16"/>
    <w:rsid w:val="00096425"/>
    <w:rsid w:val="0009776B"/>
    <w:rsid w:val="000A080B"/>
    <w:rsid w:val="000B187C"/>
    <w:rsid w:val="000B6DD9"/>
    <w:rsid w:val="000C181E"/>
    <w:rsid w:val="000C2DA6"/>
    <w:rsid w:val="000C5541"/>
    <w:rsid w:val="000C7564"/>
    <w:rsid w:val="000D14E2"/>
    <w:rsid w:val="000D2CFC"/>
    <w:rsid w:val="000D4AFB"/>
    <w:rsid w:val="000D7158"/>
    <w:rsid w:val="000E01C2"/>
    <w:rsid w:val="000E19B2"/>
    <w:rsid w:val="000E3D86"/>
    <w:rsid w:val="000E568C"/>
    <w:rsid w:val="000E5D32"/>
    <w:rsid w:val="000E6E14"/>
    <w:rsid w:val="000F4B6C"/>
    <w:rsid w:val="000F50BC"/>
    <w:rsid w:val="000F6249"/>
    <w:rsid w:val="00103109"/>
    <w:rsid w:val="00106E26"/>
    <w:rsid w:val="001117DE"/>
    <w:rsid w:val="00111C28"/>
    <w:rsid w:val="00113603"/>
    <w:rsid w:val="001153E3"/>
    <w:rsid w:val="00117AE4"/>
    <w:rsid w:val="00120113"/>
    <w:rsid w:val="001214E7"/>
    <w:rsid w:val="00122CEB"/>
    <w:rsid w:val="00125B97"/>
    <w:rsid w:val="0012657A"/>
    <w:rsid w:val="00126BEC"/>
    <w:rsid w:val="00127234"/>
    <w:rsid w:val="0013044E"/>
    <w:rsid w:val="00131A69"/>
    <w:rsid w:val="001327CE"/>
    <w:rsid w:val="00136D8D"/>
    <w:rsid w:val="00137003"/>
    <w:rsid w:val="0013717C"/>
    <w:rsid w:val="00140987"/>
    <w:rsid w:val="00145622"/>
    <w:rsid w:val="001524FB"/>
    <w:rsid w:val="00154AC2"/>
    <w:rsid w:val="00156082"/>
    <w:rsid w:val="00160686"/>
    <w:rsid w:val="00160E1C"/>
    <w:rsid w:val="00161352"/>
    <w:rsid w:val="00161830"/>
    <w:rsid w:val="001620E3"/>
    <w:rsid w:val="00162D8E"/>
    <w:rsid w:val="0016482C"/>
    <w:rsid w:val="001675AF"/>
    <w:rsid w:val="0016771F"/>
    <w:rsid w:val="00174317"/>
    <w:rsid w:val="00175545"/>
    <w:rsid w:val="001767A5"/>
    <w:rsid w:val="00177C18"/>
    <w:rsid w:val="00182A92"/>
    <w:rsid w:val="00192716"/>
    <w:rsid w:val="00194831"/>
    <w:rsid w:val="00194B5D"/>
    <w:rsid w:val="001A0A5C"/>
    <w:rsid w:val="001A1A56"/>
    <w:rsid w:val="001A2D08"/>
    <w:rsid w:val="001A54DD"/>
    <w:rsid w:val="001A5AC8"/>
    <w:rsid w:val="001A61A5"/>
    <w:rsid w:val="001A7D2F"/>
    <w:rsid w:val="001B2A07"/>
    <w:rsid w:val="001B3B31"/>
    <w:rsid w:val="001B4F4B"/>
    <w:rsid w:val="001B501B"/>
    <w:rsid w:val="001B58E7"/>
    <w:rsid w:val="001B7936"/>
    <w:rsid w:val="001D015A"/>
    <w:rsid w:val="001D30C7"/>
    <w:rsid w:val="001D33FA"/>
    <w:rsid w:val="001D3DFC"/>
    <w:rsid w:val="001D45F5"/>
    <w:rsid w:val="001D5EFC"/>
    <w:rsid w:val="001E02C2"/>
    <w:rsid w:val="001E1597"/>
    <w:rsid w:val="001E4209"/>
    <w:rsid w:val="001F1D14"/>
    <w:rsid w:val="001F7194"/>
    <w:rsid w:val="001F71BA"/>
    <w:rsid w:val="002019F3"/>
    <w:rsid w:val="0020207A"/>
    <w:rsid w:val="00202F22"/>
    <w:rsid w:val="00203BD4"/>
    <w:rsid w:val="00206E92"/>
    <w:rsid w:val="00207D22"/>
    <w:rsid w:val="00212C2E"/>
    <w:rsid w:val="0021395D"/>
    <w:rsid w:val="002141AF"/>
    <w:rsid w:val="00216B81"/>
    <w:rsid w:val="00216F2E"/>
    <w:rsid w:val="00217E92"/>
    <w:rsid w:val="00220529"/>
    <w:rsid w:val="002220C9"/>
    <w:rsid w:val="00223FFD"/>
    <w:rsid w:val="00224AF1"/>
    <w:rsid w:val="00224E6E"/>
    <w:rsid w:val="00225CEC"/>
    <w:rsid w:val="00225D70"/>
    <w:rsid w:val="00233BF3"/>
    <w:rsid w:val="002368F3"/>
    <w:rsid w:val="00236A37"/>
    <w:rsid w:val="00241313"/>
    <w:rsid w:val="00241AA2"/>
    <w:rsid w:val="0024212A"/>
    <w:rsid w:val="0025080B"/>
    <w:rsid w:val="0025183C"/>
    <w:rsid w:val="00251F32"/>
    <w:rsid w:val="0025264B"/>
    <w:rsid w:val="00253C9E"/>
    <w:rsid w:val="0025428A"/>
    <w:rsid w:val="002555D2"/>
    <w:rsid w:val="00257978"/>
    <w:rsid w:val="002619DC"/>
    <w:rsid w:val="002676E8"/>
    <w:rsid w:val="00270B59"/>
    <w:rsid w:val="00270DB3"/>
    <w:rsid w:val="002717C9"/>
    <w:rsid w:val="0027235F"/>
    <w:rsid w:val="00277D20"/>
    <w:rsid w:val="00280730"/>
    <w:rsid w:val="00281C61"/>
    <w:rsid w:val="00285767"/>
    <w:rsid w:val="0028607C"/>
    <w:rsid w:val="002863CE"/>
    <w:rsid w:val="002961B5"/>
    <w:rsid w:val="00296B24"/>
    <w:rsid w:val="002A1185"/>
    <w:rsid w:val="002A498A"/>
    <w:rsid w:val="002A61B7"/>
    <w:rsid w:val="002B01AF"/>
    <w:rsid w:val="002B094E"/>
    <w:rsid w:val="002B1E20"/>
    <w:rsid w:val="002B2A94"/>
    <w:rsid w:val="002B3C6D"/>
    <w:rsid w:val="002B4919"/>
    <w:rsid w:val="002B4B98"/>
    <w:rsid w:val="002B6F4E"/>
    <w:rsid w:val="002B7650"/>
    <w:rsid w:val="002C0E94"/>
    <w:rsid w:val="002C6C42"/>
    <w:rsid w:val="002C7D70"/>
    <w:rsid w:val="002D23B9"/>
    <w:rsid w:val="002D3534"/>
    <w:rsid w:val="002D49F7"/>
    <w:rsid w:val="002D64A2"/>
    <w:rsid w:val="002E0400"/>
    <w:rsid w:val="002E1A01"/>
    <w:rsid w:val="002E6173"/>
    <w:rsid w:val="002E6DB6"/>
    <w:rsid w:val="002F002B"/>
    <w:rsid w:val="002F46B0"/>
    <w:rsid w:val="002F485A"/>
    <w:rsid w:val="002F5550"/>
    <w:rsid w:val="002F7EC2"/>
    <w:rsid w:val="003015E0"/>
    <w:rsid w:val="0030207B"/>
    <w:rsid w:val="00303778"/>
    <w:rsid w:val="00303A6E"/>
    <w:rsid w:val="0030751A"/>
    <w:rsid w:val="00307CF8"/>
    <w:rsid w:val="00307E95"/>
    <w:rsid w:val="00307FEB"/>
    <w:rsid w:val="003128F8"/>
    <w:rsid w:val="00313D42"/>
    <w:rsid w:val="00322E5E"/>
    <w:rsid w:val="003243A6"/>
    <w:rsid w:val="003247B0"/>
    <w:rsid w:val="0032734F"/>
    <w:rsid w:val="00330918"/>
    <w:rsid w:val="003310D8"/>
    <w:rsid w:val="0033296E"/>
    <w:rsid w:val="003337A9"/>
    <w:rsid w:val="0033431C"/>
    <w:rsid w:val="0033488F"/>
    <w:rsid w:val="00340E70"/>
    <w:rsid w:val="00342F85"/>
    <w:rsid w:val="00347557"/>
    <w:rsid w:val="00352435"/>
    <w:rsid w:val="003529EF"/>
    <w:rsid w:val="00355366"/>
    <w:rsid w:val="003555BB"/>
    <w:rsid w:val="003629B6"/>
    <w:rsid w:val="003640C8"/>
    <w:rsid w:val="00371225"/>
    <w:rsid w:val="003721AD"/>
    <w:rsid w:val="00376086"/>
    <w:rsid w:val="003761D9"/>
    <w:rsid w:val="00380608"/>
    <w:rsid w:val="00380E0A"/>
    <w:rsid w:val="00382546"/>
    <w:rsid w:val="00382EAD"/>
    <w:rsid w:val="00383DC5"/>
    <w:rsid w:val="00385EED"/>
    <w:rsid w:val="00390B58"/>
    <w:rsid w:val="00395F41"/>
    <w:rsid w:val="003967DF"/>
    <w:rsid w:val="003A291C"/>
    <w:rsid w:val="003A4860"/>
    <w:rsid w:val="003A4D47"/>
    <w:rsid w:val="003A6435"/>
    <w:rsid w:val="003A7D32"/>
    <w:rsid w:val="003B0E4F"/>
    <w:rsid w:val="003B1966"/>
    <w:rsid w:val="003B5B25"/>
    <w:rsid w:val="003B60CA"/>
    <w:rsid w:val="003C0CBE"/>
    <w:rsid w:val="003C1344"/>
    <w:rsid w:val="003C3421"/>
    <w:rsid w:val="003C5D0A"/>
    <w:rsid w:val="003D1987"/>
    <w:rsid w:val="003D3AE8"/>
    <w:rsid w:val="003D69A7"/>
    <w:rsid w:val="003E1308"/>
    <w:rsid w:val="003F07E8"/>
    <w:rsid w:val="003F79EC"/>
    <w:rsid w:val="00400129"/>
    <w:rsid w:val="00400A5A"/>
    <w:rsid w:val="00407AE9"/>
    <w:rsid w:val="004120C7"/>
    <w:rsid w:val="0042193A"/>
    <w:rsid w:val="004267DE"/>
    <w:rsid w:val="00430ABD"/>
    <w:rsid w:val="00431631"/>
    <w:rsid w:val="00432FD5"/>
    <w:rsid w:val="00434C5D"/>
    <w:rsid w:val="00435115"/>
    <w:rsid w:val="00441028"/>
    <w:rsid w:val="00444432"/>
    <w:rsid w:val="00445D0A"/>
    <w:rsid w:val="00450DBC"/>
    <w:rsid w:val="00451B7B"/>
    <w:rsid w:val="004540ED"/>
    <w:rsid w:val="00454843"/>
    <w:rsid w:val="004564BC"/>
    <w:rsid w:val="004565C7"/>
    <w:rsid w:val="004627B9"/>
    <w:rsid w:val="00465E53"/>
    <w:rsid w:val="00466329"/>
    <w:rsid w:val="00473219"/>
    <w:rsid w:val="00477DCC"/>
    <w:rsid w:val="00477FFA"/>
    <w:rsid w:val="00481D66"/>
    <w:rsid w:val="00487B6B"/>
    <w:rsid w:val="004919CC"/>
    <w:rsid w:val="004928CB"/>
    <w:rsid w:val="00492941"/>
    <w:rsid w:val="00495AFF"/>
    <w:rsid w:val="00495E14"/>
    <w:rsid w:val="004A3439"/>
    <w:rsid w:val="004B5104"/>
    <w:rsid w:val="004B5797"/>
    <w:rsid w:val="004B5B94"/>
    <w:rsid w:val="004B6304"/>
    <w:rsid w:val="004B64B3"/>
    <w:rsid w:val="004B6AF3"/>
    <w:rsid w:val="004C0179"/>
    <w:rsid w:val="004C0CEF"/>
    <w:rsid w:val="004C0D41"/>
    <w:rsid w:val="004C3F71"/>
    <w:rsid w:val="004C61F5"/>
    <w:rsid w:val="004D14C1"/>
    <w:rsid w:val="004D2C46"/>
    <w:rsid w:val="004D3578"/>
    <w:rsid w:val="004D4D9F"/>
    <w:rsid w:val="004E2983"/>
    <w:rsid w:val="004E4E9F"/>
    <w:rsid w:val="004E67DB"/>
    <w:rsid w:val="004F1934"/>
    <w:rsid w:val="004F1E84"/>
    <w:rsid w:val="005042D1"/>
    <w:rsid w:val="00506098"/>
    <w:rsid w:val="00506161"/>
    <w:rsid w:val="0050659B"/>
    <w:rsid w:val="00506889"/>
    <w:rsid w:val="00512D6B"/>
    <w:rsid w:val="00512FF6"/>
    <w:rsid w:val="005153F7"/>
    <w:rsid w:val="0052216B"/>
    <w:rsid w:val="005224C1"/>
    <w:rsid w:val="0052338B"/>
    <w:rsid w:val="00523D4C"/>
    <w:rsid w:val="005275F9"/>
    <w:rsid w:val="0053153F"/>
    <w:rsid w:val="005339D0"/>
    <w:rsid w:val="00534E75"/>
    <w:rsid w:val="00536954"/>
    <w:rsid w:val="005379BC"/>
    <w:rsid w:val="00540606"/>
    <w:rsid w:val="00541870"/>
    <w:rsid w:val="005436EC"/>
    <w:rsid w:val="00544A37"/>
    <w:rsid w:val="005455B0"/>
    <w:rsid w:val="0055263D"/>
    <w:rsid w:val="00552E2B"/>
    <w:rsid w:val="0055303C"/>
    <w:rsid w:val="00553369"/>
    <w:rsid w:val="00554574"/>
    <w:rsid w:val="0055553F"/>
    <w:rsid w:val="0056150F"/>
    <w:rsid w:val="005678E0"/>
    <w:rsid w:val="005729F4"/>
    <w:rsid w:val="00576F58"/>
    <w:rsid w:val="005773B2"/>
    <w:rsid w:val="00577D19"/>
    <w:rsid w:val="0058062A"/>
    <w:rsid w:val="005834AE"/>
    <w:rsid w:val="0058666A"/>
    <w:rsid w:val="00586BEF"/>
    <w:rsid w:val="005875EC"/>
    <w:rsid w:val="00590434"/>
    <w:rsid w:val="00594050"/>
    <w:rsid w:val="0059432A"/>
    <w:rsid w:val="0059452A"/>
    <w:rsid w:val="005956E9"/>
    <w:rsid w:val="005A0ABD"/>
    <w:rsid w:val="005A37E5"/>
    <w:rsid w:val="005A4497"/>
    <w:rsid w:val="005A5BBA"/>
    <w:rsid w:val="005A5F08"/>
    <w:rsid w:val="005A60B4"/>
    <w:rsid w:val="005A7A64"/>
    <w:rsid w:val="005B0E8E"/>
    <w:rsid w:val="005B31D7"/>
    <w:rsid w:val="005B4E77"/>
    <w:rsid w:val="005B5427"/>
    <w:rsid w:val="005B5CA8"/>
    <w:rsid w:val="005B6889"/>
    <w:rsid w:val="005B7E46"/>
    <w:rsid w:val="005C41F6"/>
    <w:rsid w:val="005C48C1"/>
    <w:rsid w:val="005C7059"/>
    <w:rsid w:val="005D189A"/>
    <w:rsid w:val="005D6963"/>
    <w:rsid w:val="005E45D8"/>
    <w:rsid w:val="005E4855"/>
    <w:rsid w:val="005F18D4"/>
    <w:rsid w:val="005F57A1"/>
    <w:rsid w:val="005F65A1"/>
    <w:rsid w:val="005F7741"/>
    <w:rsid w:val="00600788"/>
    <w:rsid w:val="00600BA3"/>
    <w:rsid w:val="00605C5D"/>
    <w:rsid w:val="006106F0"/>
    <w:rsid w:val="006110E7"/>
    <w:rsid w:val="00612DC2"/>
    <w:rsid w:val="006135FD"/>
    <w:rsid w:val="006212F9"/>
    <w:rsid w:val="00624A82"/>
    <w:rsid w:val="0062747C"/>
    <w:rsid w:val="00633136"/>
    <w:rsid w:val="00636E70"/>
    <w:rsid w:val="0064020E"/>
    <w:rsid w:val="0064160C"/>
    <w:rsid w:val="0064209A"/>
    <w:rsid w:val="00645BA9"/>
    <w:rsid w:val="006501CB"/>
    <w:rsid w:val="00651B79"/>
    <w:rsid w:val="00652695"/>
    <w:rsid w:val="006529D7"/>
    <w:rsid w:val="00652DCE"/>
    <w:rsid w:val="006545F8"/>
    <w:rsid w:val="00654F8C"/>
    <w:rsid w:val="00656312"/>
    <w:rsid w:val="0066135D"/>
    <w:rsid w:val="00661A5F"/>
    <w:rsid w:val="00663C36"/>
    <w:rsid w:val="00667012"/>
    <w:rsid w:val="00673DDB"/>
    <w:rsid w:val="00675F3B"/>
    <w:rsid w:val="006768F0"/>
    <w:rsid w:val="00676C10"/>
    <w:rsid w:val="00677078"/>
    <w:rsid w:val="006775B7"/>
    <w:rsid w:val="00677C07"/>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6601"/>
    <w:rsid w:val="006B2EA9"/>
    <w:rsid w:val="006B3A13"/>
    <w:rsid w:val="006B3CB5"/>
    <w:rsid w:val="006C2696"/>
    <w:rsid w:val="006C4076"/>
    <w:rsid w:val="006C4193"/>
    <w:rsid w:val="006C61E8"/>
    <w:rsid w:val="006D01AF"/>
    <w:rsid w:val="006D1884"/>
    <w:rsid w:val="006D65EC"/>
    <w:rsid w:val="006E074A"/>
    <w:rsid w:val="006E26DC"/>
    <w:rsid w:val="006E52B8"/>
    <w:rsid w:val="006E68CA"/>
    <w:rsid w:val="006F32FB"/>
    <w:rsid w:val="00700FD6"/>
    <w:rsid w:val="00705D83"/>
    <w:rsid w:val="0071201C"/>
    <w:rsid w:val="0072112F"/>
    <w:rsid w:val="007253C3"/>
    <w:rsid w:val="00730047"/>
    <w:rsid w:val="0073009C"/>
    <w:rsid w:val="007316BB"/>
    <w:rsid w:val="00731B6F"/>
    <w:rsid w:val="00731E05"/>
    <w:rsid w:val="00736FB9"/>
    <w:rsid w:val="00737562"/>
    <w:rsid w:val="007424FC"/>
    <w:rsid w:val="007443AD"/>
    <w:rsid w:val="00762254"/>
    <w:rsid w:val="00764BFF"/>
    <w:rsid w:val="00767284"/>
    <w:rsid w:val="00771B91"/>
    <w:rsid w:val="007748DA"/>
    <w:rsid w:val="0077685A"/>
    <w:rsid w:val="007824F4"/>
    <w:rsid w:val="00783AB1"/>
    <w:rsid w:val="00784109"/>
    <w:rsid w:val="00785FC5"/>
    <w:rsid w:val="0078631B"/>
    <w:rsid w:val="00791A2B"/>
    <w:rsid w:val="00792EE9"/>
    <w:rsid w:val="00795445"/>
    <w:rsid w:val="0079572A"/>
    <w:rsid w:val="00795D79"/>
    <w:rsid w:val="0079732B"/>
    <w:rsid w:val="007A1121"/>
    <w:rsid w:val="007A1122"/>
    <w:rsid w:val="007A15A6"/>
    <w:rsid w:val="007A278E"/>
    <w:rsid w:val="007B11F2"/>
    <w:rsid w:val="007B232E"/>
    <w:rsid w:val="007B358E"/>
    <w:rsid w:val="007C37DF"/>
    <w:rsid w:val="007C6288"/>
    <w:rsid w:val="007D06A5"/>
    <w:rsid w:val="007D085C"/>
    <w:rsid w:val="007D1100"/>
    <w:rsid w:val="007D2280"/>
    <w:rsid w:val="007D3EF7"/>
    <w:rsid w:val="007E1111"/>
    <w:rsid w:val="007E5614"/>
    <w:rsid w:val="007F0754"/>
    <w:rsid w:val="007F3198"/>
    <w:rsid w:val="007F515C"/>
    <w:rsid w:val="008009B8"/>
    <w:rsid w:val="00800CEA"/>
    <w:rsid w:val="00807AD4"/>
    <w:rsid w:val="008104E0"/>
    <w:rsid w:val="0081387C"/>
    <w:rsid w:val="00817512"/>
    <w:rsid w:val="00822194"/>
    <w:rsid w:val="008269F5"/>
    <w:rsid w:val="00830105"/>
    <w:rsid w:val="0083053E"/>
    <w:rsid w:val="00830CE8"/>
    <w:rsid w:val="00831B5E"/>
    <w:rsid w:val="00831F36"/>
    <w:rsid w:val="0083338E"/>
    <w:rsid w:val="00833A44"/>
    <w:rsid w:val="0083519D"/>
    <w:rsid w:val="00844420"/>
    <w:rsid w:val="00845A34"/>
    <w:rsid w:val="00846E1E"/>
    <w:rsid w:val="00850445"/>
    <w:rsid w:val="0085594F"/>
    <w:rsid w:val="00866791"/>
    <w:rsid w:val="00874FE0"/>
    <w:rsid w:val="008769D5"/>
    <w:rsid w:val="00882EE9"/>
    <w:rsid w:val="00883131"/>
    <w:rsid w:val="00883A3E"/>
    <w:rsid w:val="008848CF"/>
    <w:rsid w:val="00885B2F"/>
    <w:rsid w:val="008868A5"/>
    <w:rsid w:val="00890A80"/>
    <w:rsid w:val="008926E5"/>
    <w:rsid w:val="008926F3"/>
    <w:rsid w:val="00892DB3"/>
    <w:rsid w:val="00893533"/>
    <w:rsid w:val="00894FAD"/>
    <w:rsid w:val="008957C5"/>
    <w:rsid w:val="00896014"/>
    <w:rsid w:val="0089614B"/>
    <w:rsid w:val="00896556"/>
    <w:rsid w:val="00896BE6"/>
    <w:rsid w:val="00896FD6"/>
    <w:rsid w:val="00897BD9"/>
    <w:rsid w:val="008A04D3"/>
    <w:rsid w:val="008A0C76"/>
    <w:rsid w:val="008A663F"/>
    <w:rsid w:val="008B05F2"/>
    <w:rsid w:val="008B0636"/>
    <w:rsid w:val="008B2EE5"/>
    <w:rsid w:val="008B3C82"/>
    <w:rsid w:val="008B5C5C"/>
    <w:rsid w:val="008C1795"/>
    <w:rsid w:val="008C4B0D"/>
    <w:rsid w:val="008C75D3"/>
    <w:rsid w:val="008D1E94"/>
    <w:rsid w:val="008D373A"/>
    <w:rsid w:val="008D484C"/>
    <w:rsid w:val="008D68A5"/>
    <w:rsid w:val="008E19F3"/>
    <w:rsid w:val="008E3B44"/>
    <w:rsid w:val="008E58ED"/>
    <w:rsid w:val="008F2226"/>
    <w:rsid w:val="008F4980"/>
    <w:rsid w:val="008F6707"/>
    <w:rsid w:val="008F6AAF"/>
    <w:rsid w:val="00900951"/>
    <w:rsid w:val="00901813"/>
    <w:rsid w:val="00903020"/>
    <w:rsid w:val="00906176"/>
    <w:rsid w:val="00906E67"/>
    <w:rsid w:val="00914002"/>
    <w:rsid w:val="00915ADA"/>
    <w:rsid w:val="009161BE"/>
    <w:rsid w:val="00917F21"/>
    <w:rsid w:val="009213AE"/>
    <w:rsid w:val="009222C9"/>
    <w:rsid w:val="00926825"/>
    <w:rsid w:val="009268FC"/>
    <w:rsid w:val="00926A98"/>
    <w:rsid w:val="00932625"/>
    <w:rsid w:val="009340FD"/>
    <w:rsid w:val="00934141"/>
    <w:rsid w:val="009344C2"/>
    <w:rsid w:val="009345C9"/>
    <w:rsid w:val="0093538A"/>
    <w:rsid w:val="009434D0"/>
    <w:rsid w:val="0094705C"/>
    <w:rsid w:val="009514FE"/>
    <w:rsid w:val="00952F66"/>
    <w:rsid w:val="00957B41"/>
    <w:rsid w:val="00962FD2"/>
    <w:rsid w:val="009644A2"/>
    <w:rsid w:val="00967162"/>
    <w:rsid w:val="00971DE7"/>
    <w:rsid w:val="00973C62"/>
    <w:rsid w:val="0097419E"/>
    <w:rsid w:val="00974A97"/>
    <w:rsid w:val="00977B41"/>
    <w:rsid w:val="00982987"/>
    <w:rsid w:val="0099489F"/>
    <w:rsid w:val="00994B64"/>
    <w:rsid w:val="00996D72"/>
    <w:rsid w:val="009A4D99"/>
    <w:rsid w:val="009A53B7"/>
    <w:rsid w:val="009A544A"/>
    <w:rsid w:val="009A69B1"/>
    <w:rsid w:val="009A6CDB"/>
    <w:rsid w:val="009B0CA9"/>
    <w:rsid w:val="009B301F"/>
    <w:rsid w:val="009B52C2"/>
    <w:rsid w:val="009C0ECA"/>
    <w:rsid w:val="009C283B"/>
    <w:rsid w:val="009C2B04"/>
    <w:rsid w:val="009C3544"/>
    <w:rsid w:val="009C45BA"/>
    <w:rsid w:val="009D7AFB"/>
    <w:rsid w:val="009E055E"/>
    <w:rsid w:val="009E0C76"/>
    <w:rsid w:val="009E2833"/>
    <w:rsid w:val="009E317D"/>
    <w:rsid w:val="009E3B52"/>
    <w:rsid w:val="009E3D89"/>
    <w:rsid w:val="009E5B43"/>
    <w:rsid w:val="009E6B59"/>
    <w:rsid w:val="009F2CB2"/>
    <w:rsid w:val="009F2CEE"/>
    <w:rsid w:val="009F59EE"/>
    <w:rsid w:val="009F5CD5"/>
    <w:rsid w:val="009F66D0"/>
    <w:rsid w:val="00A069E2"/>
    <w:rsid w:val="00A073C7"/>
    <w:rsid w:val="00A07431"/>
    <w:rsid w:val="00A07A9F"/>
    <w:rsid w:val="00A11B93"/>
    <w:rsid w:val="00A11C90"/>
    <w:rsid w:val="00A12821"/>
    <w:rsid w:val="00A14FC9"/>
    <w:rsid w:val="00A23C45"/>
    <w:rsid w:val="00A25B10"/>
    <w:rsid w:val="00A36D79"/>
    <w:rsid w:val="00A37A20"/>
    <w:rsid w:val="00A37AD0"/>
    <w:rsid w:val="00A4618A"/>
    <w:rsid w:val="00A53205"/>
    <w:rsid w:val="00A5429B"/>
    <w:rsid w:val="00A553A9"/>
    <w:rsid w:val="00A61F80"/>
    <w:rsid w:val="00A62566"/>
    <w:rsid w:val="00A62CCA"/>
    <w:rsid w:val="00A641DB"/>
    <w:rsid w:val="00A65B9D"/>
    <w:rsid w:val="00A70932"/>
    <w:rsid w:val="00A719A5"/>
    <w:rsid w:val="00A72A74"/>
    <w:rsid w:val="00A72F83"/>
    <w:rsid w:val="00A7372B"/>
    <w:rsid w:val="00A74A1E"/>
    <w:rsid w:val="00A7509B"/>
    <w:rsid w:val="00A7796E"/>
    <w:rsid w:val="00A77F44"/>
    <w:rsid w:val="00A86656"/>
    <w:rsid w:val="00A87B14"/>
    <w:rsid w:val="00A93638"/>
    <w:rsid w:val="00A97D07"/>
    <w:rsid w:val="00AA218A"/>
    <w:rsid w:val="00AA48E7"/>
    <w:rsid w:val="00AB3D30"/>
    <w:rsid w:val="00AB4794"/>
    <w:rsid w:val="00AB4842"/>
    <w:rsid w:val="00AB7CCF"/>
    <w:rsid w:val="00AC614D"/>
    <w:rsid w:val="00AC7F1C"/>
    <w:rsid w:val="00AD0F3F"/>
    <w:rsid w:val="00AD4EA3"/>
    <w:rsid w:val="00AE05ED"/>
    <w:rsid w:val="00AE44CB"/>
    <w:rsid w:val="00AE55D4"/>
    <w:rsid w:val="00AE72D7"/>
    <w:rsid w:val="00AF1038"/>
    <w:rsid w:val="00AF2633"/>
    <w:rsid w:val="00AF74AF"/>
    <w:rsid w:val="00B01F39"/>
    <w:rsid w:val="00B05862"/>
    <w:rsid w:val="00B11974"/>
    <w:rsid w:val="00B1264B"/>
    <w:rsid w:val="00B12CF8"/>
    <w:rsid w:val="00B15519"/>
    <w:rsid w:val="00B15922"/>
    <w:rsid w:val="00B244B9"/>
    <w:rsid w:val="00B27178"/>
    <w:rsid w:val="00B30A9E"/>
    <w:rsid w:val="00B3265A"/>
    <w:rsid w:val="00B32817"/>
    <w:rsid w:val="00B33E8E"/>
    <w:rsid w:val="00B346ED"/>
    <w:rsid w:val="00B36901"/>
    <w:rsid w:val="00B37F41"/>
    <w:rsid w:val="00B4245F"/>
    <w:rsid w:val="00B43ABC"/>
    <w:rsid w:val="00B470FB"/>
    <w:rsid w:val="00B479EB"/>
    <w:rsid w:val="00B51125"/>
    <w:rsid w:val="00B52CDF"/>
    <w:rsid w:val="00B65A3B"/>
    <w:rsid w:val="00B66DE0"/>
    <w:rsid w:val="00B72652"/>
    <w:rsid w:val="00B815A3"/>
    <w:rsid w:val="00B85C55"/>
    <w:rsid w:val="00B90B23"/>
    <w:rsid w:val="00B91CEE"/>
    <w:rsid w:val="00B94777"/>
    <w:rsid w:val="00B95BB2"/>
    <w:rsid w:val="00B95EBA"/>
    <w:rsid w:val="00BA0BC1"/>
    <w:rsid w:val="00BA1D82"/>
    <w:rsid w:val="00BA1FA3"/>
    <w:rsid w:val="00BA23D8"/>
    <w:rsid w:val="00BA4230"/>
    <w:rsid w:val="00BA45FD"/>
    <w:rsid w:val="00BA5B9C"/>
    <w:rsid w:val="00BA7722"/>
    <w:rsid w:val="00BB4512"/>
    <w:rsid w:val="00BB4D49"/>
    <w:rsid w:val="00BB51F4"/>
    <w:rsid w:val="00BB58F0"/>
    <w:rsid w:val="00BB6439"/>
    <w:rsid w:val="00BB675F"/>
    <w:rsid w:val="00BC133F"/>
    <w:rsid w:val="00BC1D75"/>
    <w:rsid w:val="00BD05E4"/>
    <w:rsid w:val="00BD0936"/>
    <w:rsid w:val="00BD17B0"/>
    <w:rsid w:val="00BD3715"/>
    <w:rsid w:val="00BD4630"/>
    <w:rsid w:val="00BD4EBD"/>
    <w:rsid w:val="00BD5A47"/>
    <w:rsid w:val="00BD6E76"/>
    <w:rsid w:val="00BE6717"/>
    <w:rsid w:val="00BF4092"/>
    <w:rsid w:val="00BF44F1"/>
    <w:rsid w:val="00C02E39"/>
    <w:rsid w:val="00C0301A"/>
    <w:rsid w:val="00C04F1A"/>
    <w:rsid w:val="00C05CCC"/>
    <w:rsid w:val="00C07F35"/>
    <w:rsid w:val="00C15993"/>
    <w:rsid w:val="00C17C49"/>
    <w:rsid w:val="00C22B1C"/>
    <w:rsid w:val="00C23E32"/>
    <w:rsid w:val="00C2555B"/>
    <w:rsid w:val="00C26D3E"/>
    <w:rsid w:val="00C30EA3"/>
    <w:rsid w:val="00C31E67"/>
    <w:rsid w:val="00C325BB"/>
    <w:rsid w:val="00C33A4A"/>
    <w:rsid w:val="00C4086A"/>
    <w:rsid w:val="00C42CA5"/>
    <w:rsid w:val="00C42FAF"/>
    <w:rsid w:val="00C47E7D"/>
    <w:rsid w:val="00C52DA0"/>
    <w:rsid w:val="00C53031"/>
    <w:rsid w:val="00C56AD1"/>
    <w:rsid w:val="00C60BBC"/>
    <w:rsid w:val="00C6644B"/>
    <w:rsid w:val="00C668FF"/>
    <w:rsid w:val="00C7532A"/>
    <w:rsid w:val="00C7663D"/>
    <w:rsid w:val="00C779DC"/>
    <w:rsid w:val="00C80ADA"/>
    <w:rsid w:val="00C81DF4"/>
    <w:rsid w:val="00C83132"/>
    <w:rsid w:val="00C864DC"/>
    <w:rsid w:val="00C908E5"/>
    <w:rsid w:val="00C9156E"/>
    <w:rsid w:val="00C947C0"/>
    <w:rsid w:val="00C947CE"/>
    <w:rsid w:val="00C95F04"/>
    <w:rsid w:val="00C97E6F"/>
    <w:rsid w:val="00CA079E"/>
    <w:rsid w:val="00CA135D"/>
    <w:rsid w:val="00CA1722"/>
    <w:rsid w:val="00CA1806"/>
    <w:rsid w:val="00CA5872"/>
    <w:rsid w:val="00CA7CAF"/>
    <w:rsid w:val="00CB06F8"/>
    <w:rsid w:val="00CB18B1"/>
    <w:rsid w:val="00CB38CA"/>
    <w:rsid w:val="00CB5712"/>
    <w:rsid w:val="00CB6969"/>
    <w:rsid w:val="00CB6F2B"/>
    <w:rsid w:val="00CB7254"/>
    <w:rsid w:val="00CC0CB0"/>
    <w:rsid w:val="00CC1067"/>
    <w:rsid w:val="00CC3D3D"/>
    <w:rsid w:val="00CC3DF9"/>
    <w:rsid w:val="00CC65C5"/>
    <w:rsid w:val="00CC73AB"/>
    <w:rsid w:val="00CD12BC"/>
    <w:rsid w:val="00CD3324"/>
    <w:rsid w:val="00CD46EA"/>
    <w:rsid w:val="00CD4A18"/>
    <w:rsid w:val="00CD575C"/>
    <w:rsid w:val="00CD6257"/>
    <w:rsid w:val="00CD6E1E"/>
    <w:rsid w:val="00CE0770"/>
    <w:rsid w:val="00CE6C6E"/>
    <w:rsid w:val="00CE76FD"/>
    <w:rsid w:val="00CF2033"/>
    <w:rsid w:val="00CF5DF2"/>
    <w:rsid w:val="00CF6C98"/>
    <w:rsid w:val="00D0061B"/>
    <w:rsid w:val="00D012CF"/>
    <w:rsid w:val="00D016C3"/>
    <w:rsid w:val="00D01832"/>
    <w:rsid w:val="00D01DC0"/>
    <w:rsid w:val="00D02E81"/>
    <w:rsid w:val="00D0526B"/>
    <w:rsid w:val="00D07AA2"/>
    <w:rsid w:val="00D1081A"/>
    <w:rsid w:val="00D15A44"/>
    <w:rsid w:val="00D160DE"/>
    <w:rsid w:val="00D21C96"/>
    <w:rsid w:val="00D30074"/>
    <w:rsid w:val="00D30854"/>
    <w:rsid w:val="00D31127"/>
    <w:rsid w:val="00D320FC"/>
    <w:rsid w:val="00D333B4"/>
    <w:rsid w:val="00D3359F"/>
    <w:rsid w:val="00D35FF4"/>
    <w:rsid w:val="00D40C89"/>
    <w:rsid w:val="00D41337"/>
    <w:rsid w:val="00D47B55"/>
    <w:rsid w:val="00D47B8A"/>
    <w:rsid w:val="00D50703"/>
    <w:rsid w:val="00D531E4"/>
    <w:rsid w:val="00D53C47"/>
    <w:rsid w:val="00D53E59"/>
    <w:rsid w:val="00D60057"/>
    <w:rsid w:val="00D60444"/>
    <w:rsid w:val="00D605B1"/>
    <w:rsid w:val="00D60D98"/>
    <w:rsid w:val="00D6181D"/>
    <w:rsid w:val="00D61FAA"/>
    <w:rsid w:val="00D62038"/>
    <w:rsid w:val="00D628D2"/>
    <w:rsid w:val="00D62FEC"/>
    <w:rsid w:val="00D65C4E"/>
    <w:rsid w:val="00D67EA6"/>
    <w:rsid w:val="00D71EA0"/>
    <w:rsid w:val="00D72157"/>
    <w:rsid w:val="00D721F1"/>
    <w:rsid w:val="00D73F33"/>
    <w:rsid w:val="00D74A93"/>
    <w:rsid w:val="00D77A56"/>
    <w:rsid w:val="00D80B6D"/>
    <w:rsid w:val="00D80C55"/>
    <w:rsid w:val="00D80F78"/>
    <w:rsid w:val="00D84488"/>
    <w:rsid w:val="00D844C8"/>
    <w:rsid w:val="00D84B7D"/>
    <w:rsid w:val="00D8513A"/>
    <w:rsid w:val="00D85BBB"/>
    <w:rsid w:val="00D85FB4"/>
    <w:rsid w:val="00D906BE"/>
    <w:rsid w:val="00D943AD"/>
    <w:rsid w:val="00D9690A"/>
    <w:rsid w:val="00DA2C91"/>
    <w:rsid w:val="00DA5316"/>
    <w:rsid w:val="00DA7B87"/>
    <w:rsid w:val="00DB0343"/>
    <w:rsid w:val="00DB342A"/>
    <w:rsid w:val="00DB3E19"/>
    <w:rsid w:val="00DB63D9"/>
    <w:rsid w:val="00DB7121"/>
    <w:rsid w:val="00DB7E77"/>
    <w:rsid w:val="00DC0BD6"/>
    <w:rsid w:val="00DC0F17"/>
    <w:rsid w:val="00DC30D0"/>
    <w:rsid w:val="00DC37CE"/>
    <w:rsid w:val="00DC422E"/>
    <w:rsid w:val="00DD1F5E"/>
    <w:rsid w:val="00DD2DD1"/>
    <w:rsid w:val="00DD639C"/>
    <w:rsid w:val="00DD67DA"/>
    <w:rsid w:val="00DD7940"/>
    <w:rsid w:val="00DE1840"/>
    <w:rsid w:val="00DE1B89"/>
    <w:rsid w:val="00DE476A"/>
    <w:rsid w:val="00DE59C6"/>
    <w:rsid w:val="00DF2E5A"/>
    <w:rsid w:val="00DF3A69"/>
    <w:rsid w:val="00DF4305"/>
    <w:rsid w:val="00DF658B"/>
    <w:rsid w:val="00E00DC6"/>
    <w:rsid w:val="00E04B02"/>
    <w:rsid w:val="00E058A3"/>
    <w:rsid w:val="00E10ABF"/>
    <w:rsid w:val="00E130CB"/>
    <w:rsid w:val="00E151F3"/>
    <w:rsid w:val="00E17539"/>
    <w:rsid w:val="00E23A7D"/>
    <w:rsid w:val="00E244E6"/>
    <w:rsid w:val="00E27028"/>
    <w:rsid w:val="00E32995"/>
    <w:rsid w:val="00E32C50"/>
    <w:rsid w:val="00E3404F"/>
    <w:rsid w:val="00E41E9C"/>
    <w:rsid w:val="00E423C3"/>
    <w:rsid w:val="00E4323F"/>
    <w:rsid w:val="00E4469C"/>
    <w:rsid w:val="00E450AB"/>
    <w:rsid w:val="00E5280E"/>
    <w:rsid w:val="00E52CEE"/>
    <w:rsid w:val="00E53A7F"/>
    <w:rsid w:val="00E54A8E"/>
    <w:rsid w:val="00E563FC"/>
    <w:rsid w:val="00E57F9B"/>
    <w:rsid w:val="00E60634"/>
    <w:rsid w:val="00E6319B"/>
    <w:rsid w:val="00E6726D"/>
    <w:rsid w:val="00E70FBC"/>
    <w:rsid w:val="00E74000"/>
    <w:rsid w:val="00E7623C"/>
    <w:rsid w:val="00E80764"/>
    <w:rsid w:val="00E80FCB"/>
    <w:rsid w:val="00E81433"/>
    <w:rsid w:val="00E81C95"/>
    <w:rsid w:val="00E845C0"/>
    <w:rsid w:val="00E852A3"/>
    <w:rsid w:val="00E914B7"/>
    <w:rsid w:val="00E93103"/>
    <w:rsid w:val="00EA0295"/>
    <w:rsid w:val="00EA0C1C"/>
    <w:rsid w:val="00EA477A"/>
    <w:rsid w:val="00EA5CA0"/>
    <w:rsid w:val="00EA5D92"/>
    <w:rsid w:val="00EB307B"/>
    <w:rsid w:val="00EB5354"/>
    <w:rsid w:val="00EC3779"/>
    <w:rsid w:val="00EC7F0E"/>
    <w:rsid w:val="00ED2D1F"/>
    <w:rsid w:val="00ED58E9"/>
    <w:rsid w:val="00ED700E"/>
    <w:rsid w:val="00ED79D6"/>
    <w:rsid w:val="00EE1831"/>
    <w:rsid w:val="00EE3DAD"/>
    <w:rsid w:val="00EF2F7C"/>
    <w:rsid w:val="00EF3FC0"/>
    <w:rsid w:val="00EF61B5"/>
    <w:rsid w:val="00F00A40"/>
    <w:rsid w:val="00F00A6E"/>
    <w:rsid w:val="00F05773"/>
    <w:rsid w:val="00F0773E"/>
    <w:rsid w:val="00F12CED"/>
    <w:rsid w:val="00F12DCE"/>
    <w:rsid w:val="00F14982"/>
    <w:rsid w:val="00F22A26"/>
    <w:rsid w:val="00F23C0F"/>
    <w:rsid w:val="00F2598D"/>
    <w:rsid w:val="00F26166"/>
    <w:rsid w:val="00F32739"/>
    <w:rsid w:val="00F32845"/>
    <w:rsid w:val="00F336A2"/>
    <w:rsid w:val="00F36BA0"/>
    <w:rsid w:val="00F44AEB"/>
    <w:rsid w:val="00F45620"/>
    <w:rsid w:val="00F5304D"/>
    <w:rsid w:val="00F532E2"/>
    <w:rsid w:val="00F5470D"/>
    <w:rsid w:val="00F5638B"/>
    <w:rsid w:val="00F60301"/>
    <w:rsid w:val="00F628BC"/>
    <w:rsid w:val="00F628FC"/>
    <w:rsid w:val="00F7033F"/>
    <w:rsid w:val="00F7277F"/>
    <w:rsid w:val="00F72E32"/>
    <w:rsid w:val="00F73B85"/>
    <w:rsid w:val="00F829B7"/>
    <w:rsid w:val="00F82DF0"/>
    <w:rsid w:val="00F84A4F"/>
    <w:rsid w:val="00F8617B"/>
    <w:rsid w:val="00F863D7"/>
    <w:rsid w:val="00F9173C"/>
    <w:rsid w:val="00F975AD"/>
    <w:rsid w:val="00FA2D1E"/>
    <w:rsid w:val="00FA35EB"/>
    <w:rsid w:val="00FB18D0"/>
    <w:rsid w:val="00FB2241"/>
    <w:rsid w:val="00FB2315"/>
    <w:rsid w:val="00FB2ED6"/>
    <w:rsid w:val="00FB412B"/>
    <w:rsid w:val="00FB42E5"/>
    <w:rsid w:val="00FB59EE"/>
    <w:rsid w:val="00FB6B8F"/>
    <w:rsid w:val="00FC2522"/>
    <w:rsid w:val="00FC5B56"/>
    <w:rsid w:val="00FD4B12"/>
    <w:rsid w:val="00FD5009"/>
    <w:rsid w:val="00FD55C9"/>
    <w:rsid w:val="00FD62DC"/>
    <w:rsid w:val="00FD6A70"/>
    <w:rsid w:val="00FE1EC8"/>
    <w:rsid w:val="00FE3560"/>
    <w:rsid w:val="00FE3E09"/>
    <w:rsid w:val="00FE4FBF"/>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BE2B-AF15-4C60-8547-35BD2962D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4339</TotalTime>
  <Pages>3</Pages>
  <Words>940</Words>
  <Characters>5548</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30</cp:revision>
  <cp:lastPrinted>2023-03-06T11:31:00Z</cp:lastPrinted>
  <dcterms:created xsi:type="dcterms:W3CDTF">2023-03-31T09:47:00Z</dcterms:created>
  <dcterms:modified xsi:type="dcterms:W3CDTF">2023-04-04T10:28:00Z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