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3477F" w14:textId="73DE3A14" w:rsidR="00B712F8" w:rsidRPr="00B712F8" w:rsidRDefault="00B712F8" w:rsidP="00B712F8">
      <w:pPr>
        <w:spacing w:before="230"/>
        <w:jc w:val="center"/>
        <w:rPr>
          <w:rFonts w:asciiTheme="minorHAnsi" w:hAnsiTheme="minorHAnsi" w:cstheme="minorHAnsi"/>
          <w:sz w:val="24"/>
        </w:rPr>
      </w:pPr>
      <w:r w:rsidRPr="00B712F8">
        <w:rPr>
          <w:rFonts w:asciiTheme="minorHAnsi" w:hAnsiTheme="minorHAnsi" w:cstheme="minorHAnsi"/>
          <w:sz w:val="24"/>
        </w:rPr>
        <w:t>INDEX HYPOTEČNÍCH ÚVĚRŮ | FIXINDEX</w:t>
      </w:r>
    </w:p>
    <w:p w14:paraId="60EAB24B" w14:textId="1AA8A38E" w:rsid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PODÍLOVÝCH </w:t>
      </w:r>
    </w:p>
    <w:p w14:paraId="5297514E" w14:textId="27BF137B" w:rsidR="00873067" w:rsidRPr="00B712F8" w:rsidRDefault="00873067" w:rsidP="00B712F8">
      <w:pPr>
        <w:spacing w:before="230"/>
        <w:ind w:left="165"/>
        <w:jc w:val="center"/>
        <w:rPr>
          <w:rFonts w:asciiTheme="minorHAnsi" w:hAnsiTheme="minorHAnsi" w:cstheme="minorHAnsi"/>
          <w:sz w:val="24"/>
        </w:rPr>
      </w:pPr>
      <w:r>
        <w:rPr>
          <w:rFonts w:asciiTheme="minorHAnsi" w:hAnsiTheme="minorHAnsi" w:cstheme="minorHAnsi"/>
          <w:sz w:val="24"/>
        </w:rPr>
        <w:t>REALINDEX</w:t>
      </w:r>
    </w:p>
    <w:p w14:paraId="26DF00A4" w14:textId="285D3435" w:rsidR="00873067" w:rsidRPr="00B712F8" w:rsidRDefault="00B712F8" w:rsidP="00873067">
      <w:pPr>
        <w:spacing w:before="230"/>
        <w:ind w:left="165"/>
        <w:jc w:val="center"/>
        <w:rPr>
          <w:rFonts w:asciiTheme="minorHAnsi" w:hAnsiTheme="minorHAnsi" w:cstheme="minorHAnsi"/>
          <w:b/>
          <w:sz w:val="24"/>
        </w:rPr>
      </w:pPr>
      <w:r w:rsidRPr="00B712F8">
        <w:rPr>
          <w:rFonts w:asciiTheme="minorHAnsi" w:hAnsiTheme="minorHAnsi" w:cstheme="minorHAnsi"/>
          <w:b/>
          <w:sz w:val="24"/>
        </w:rPr>
        <w:t xml:space="preserve">POVINDEX </w:t>
      </w:r>
    </w:p>
    <w:p w14:paraId="35D84D67" w14:textId="77777777" w:rsidR="00B712F8" w:rsidRP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SPOTŘEBITELSKÝCH ÚVĚRŮ  </w:t>
      </w:r>
    </w:p>
    <w:p w14:paraId="461E2AE1" w14:textId="77777777" w:rsidR="00B712F8" w:rsidRPr="005D11F0" w:rsidRDefault="00B712F8" w:rsidP="00B712F8">
      <w:pPr>
        <w:pStyle w:val="Zkladntext"/>
        <w:rPr>
          <w:sz w:val="20"/>
        </w:rPr>
      </w:pPr>
    </w:p>
    <w:p w14:paraId="0E5FD800" w14:textId="77777777" w:rsidR="00B712F8" w:rsidRPr="005D11F0" w:rsidRDefault="00B712F8" w:rsidP="00B712F8">
      <w:pPr>
        <w:pStyle w:val="Zkladntext"/>
        <w:rPr>
          <w:sz w:val="20"/>
        </w:rPr>
      </w:pPr>
      <w:r w:rsidRPr="005D11F0">
        <w:rPr>
          <w:noProof/>
          <w:sz w:val="20"/>
          <w:lang w:bidi="ar-SA"/>
        </w:rPr>
        <w:drawing>
          <wp:anchor distT="0" distB="0" distL="114300" distR="114300" simplePos="0" relativeHeight="251659264" behindDoc="1" locked="0" layoutInCell="1" allowOverlap="1" wp14:anchorId="5B99E0AC" wp14:editId="394D1D8C">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E3ED0" w14:textId="77777777" w:rsidR="00B712F8" w:rsidRPr="005D11F0" w:rsidRDefault="00B712F8" w:rsidP="00B712F8">
      <w:pPr>
        <w:pStyle w:val="Zkladntext"/>
        <w:rPr>
          <w:sz w:val="20"/>
        </w:rPr>
      </w:pPr>
    </w:p>
    <w:p w14:paraId="07EC57A1" w14:textId="77777777" w:rsidR="00B712F8" w:rsidRPr="005D11F0" w:rsidRDefault="00B712F8" w:rsidP="00B712F8">
      <w:pPr>
        <w:pStyle w:val="Zkladntext"/>
        <w:rPr>
          <w:sz w:val="20"/>
        </w:rPr>
      </w:pPr>
    </w:p>
    <w:p w14:paraId="10EA7975" w14:textId="77777777" w:rsidR="00B712F8" w:rsidRPr="005D11F0" w:rsidRDefault="00B712F8" w:rsidP="00B712F8">
      <w:pPr>
        <w:pStyle w:val="Zkladntext"/>
        <w:rPr>
          <w:sz w:val="20"/>
        </w:rPr>
      </w:pPr>
    </w:p>
    <w:p w14:paraId="0E42394D" w14:textId="77777777" w:rsidR="00B712F8" w:rsidRPr="005D11F0" w:rsidRDefault="00B712F8" w:rsidP="00B712F8">
      <w:pPr>
        <w:pStyle w:val="Zkladntext"/>
        <w:rPr>
          <w:sz w:val="20"/>
        </w:rPr>
      </w:pPr>
    </w:p>
    <w:p w14:paraId="1D9CF081" w14:textId="77777777" w:rsidR="00B712F8" w:rsidRPr="005D11F0" w:rsidRDefault="00B712F8" w:rsidP="00B712F8">
      <w:pPr>
        <w:pStyle w:val="Zkladntext"/>
        <w:rPr>
          <w:sz w:val="20"/>
        </w:rPr>
      </w:pPr>
    </w:p>
    <w:p w14:paraId="28C33AD0" w14:textId="77777777" w:rsidR="00B712F8" w:rsidRPr="005D11F0" w:rsidRDefault="00B712F8" w:rsidP="00B712F8">
      <w:pPr>
        <w:pStyle w:val="Zkladntext"/>
        <w:rPr>
          <w:sz w:val="20"/>
        </w:rPr>
      </w:pPr>
    </w:p>
    <w:p w14:paraId="64B40F02" w14:textId="77777777" w:rsidR="00B712F8" w:rsidRPr="005D11F0" w:rsidRDefault="00B712F8" w:rsidP="00B712F8">
      <w:pPr>
        <w:pStyle w:val="Zkladntext"/>
        <w:rPr>
          <w:sz w:val="20"/>
        </w:rPr>
      </w:pPr>
    </w:p>
    <w:p w14:paraId="6AB0AA92" w14:textId="77777777" w:rsidR="00B712F8" w:rsidRPr="005D11F0" w:rsidRDefault="00B712F8" w:rsidP="00B712F8">
      <w:pPr>
        <w:pStyle w:val="Zkladntext"/>
        <w:jc w:val="both"/>
        <w:rPr>
          <w:rFonts w:ascii="Arial" w:hAnsi="Arial" w:cs="Arial"/>
          <w:sz w:val="20"/>
        </w:rPr>
      </w:pPr>
    </w:p>
    <w:p w14:paraId="168CA3FE" w14:textId="77777777" w:rsidR="00B712F8" w:rsidRPr="005D11F0" w:rsidRDefault="00B712F8" w:rsidP="00B712F8">
      <w:pPr>
        <w:pStyle w:val="Zkladntext"/>
        <w:jc w:val="both"/>
        <w:rPr>
          <w:rFonts w:ascii="Arial" w:hAnsi="Arial" w:cs="Arial"/>
          <w:b/>
          <w:sz w:val="20"/>
        </w:rPr>
      </w:pPr>
    </w:p>
    <w:p w14:paraId="2C7C11E7" w14:textId="77777777" w:rsidR="00B712F8" w:rsidRPr="005D11F0" w:rsidRDefault="00B712F8" w:rsidP="00B712F8">
      <w:pPr>
        <w:pStyle w:val="Zkladntext"/>
        <w:jc w:val="both"/>
        <w:rPr>
          <w:rFonts w:ascii="Arial" w:hAnsi="Arial" w:cs="Arial"/>
          <w:b/>
          <w:sz w:val="20"/>
        </w:rPr>
      </w:pPr>
    </w:p>
    <w:p w14:paraId="2EC7A176" w14:textId="77777777" w:rsidR="00B712F8" w:rsidRPr="005D11F0" w:rsidRDefault="00B712F8" w:rsidP="00B712F8">
      <w:pPr>
        <w:pStyle w:val="Zkladntext"/>
        <w:jc w:val="both"/>
        <w:rPr>
          <w:rFonts w:ascii="Arial" w:hAnsi="Arial" w:cs="Arial"/>
          <w:b/>
          <w:sz w:val="20"/>
        </w:rPr>
      </w:pPr>
    </w:p>
    <w:p w14:paraId="3B89FDD7" w14:textId="77777777" w:rsidR="00B712F8" w:rsidRPr="005D11F0" w:rsidRDefault="00B712F8" w:rsidP="00B712F8">
      <w:pPr>
        <w:pStyle w:val="Zkladntext"/>
        <w:jc w:val="both"/>
        <w:rPr>
          <w:rFonts w:ascii="Arial" w:hAnsi="Arial" w:cs="Arial"/>
          <w:b/>
          <w:sz w:val="20"/>
        </w:rPr>
      </w:pPr>
    </w:p>
    <w:p w14:paraId="37DBF001" w14:textId="77777777" w:rsidR="00B712F8" w:rsidRPr="005D11F0" w:rsidRDefault="00B712F8" w:rsidP="00B712F8">
      <w:pPr>
        <w:pStyle w:val="Zkladntext"/>
        <w:jc w:val="both"/>
        <w:rPr>
          <w:rFonts w:ascii="Arial" w:hAnsi="Arial" w:cs="Arial"/>
          <w:b/>
          <w:sz w:val="20"/>
        </w:rPr>
      </w:pPr>
    </w:p>
    <w:p w14:paraId="0B933A79" w14:textId="77777777" w:rsidR="00B712F8" w:rsidRPr="005D11F0" w:rsidRDefault="00B712F8" w:rsidP="00B712F8">
      <w:pPr>
        <w:pStyle w:val="Zkladntext"/>
        <w:jc w:val="both"/>
        <w:rPr>
          <w:rFonts w:ascii="Arial" w:hAnsi="Arial" w:cs="Arial"/>
          <w:b/>
          <w:sz w:val="20"/>
        </w:rPr>
      </w:pPr>
    </w:p>
    <w:p w14:paraId="2A36DAD9" w14:textId="77777777" w:rsidR="00B712F8" w:rsidRPr="005D11F0" w:rsidRDefault="00B712F8" w:rsidP="00B712F8">
      <w:pPr>
        <w:pStyle w:val="Zkladntext"/>
        <w:jc w:val="both"/>
        <w:rPr>
          <w:rFonts w:ascii="Arial" w:hAnsi="Arial" w:cs="Arial"/>
          <w:b/>
          <w:sz w:val="20"/>
        </w:rPr>
      </w:pPr>
    </w:p>
    <w:p w14:paraId="157674BA" w14:textId="77777777" w:rsidR="00B712F8" w:rsidRPr="005D11F0" w:rsidRDefault="00B712F8" w:rsidP="00B712F8">
      <w:pPr>
        <w:pStyle w:val="Zkladntext"/>
        <w:jc w:val="both"/>
        <w:rPr>
          <w:rFonts w:ascii="Arial" w:hAnsi="Arial" w:cs="Arial"/>
          <w:b/>
          <w:sz w:val="20"/>
        </w:rPr>
      </w:pPr>
    </w:p>
    <w:p w14:paraId="7C68B864" w14:textId="77777777" w:rsidR="00B712F8" w:rsidRPr="005D11F0" w:rsidRDefault="00B712F8" w:rsidP="00B712F8">
      <w:pPr>
        <w:pStyle w:val="Zkladntext"/>
        <w:jc w:val="both"/>
        <w:rPr>
          <w:rFonts w:ascii="Arial" w:hAnsi="Arial" w:cs="Arial"/>
          <w:b/>
          <w:sz w:val="20"/>
        </w:rPr>
      </w:pPr>
    </w:p>
    <w:p w14:paraId="5876D6B4" w14:textId="77777777" w:rsidR="00B712F8" w:rsidRPr="005D11F0" w:rsidRDefault="00B712F8" w:rsidP="00B712F8">
      <w:pPr>
        <w:pStyle w:val="Zkladntext"/>
        <w:jc w:val="both"/>
        <w:rPr>
          <w:rFonts w:ascii="Arial" w:hAnsi="Arial" w:cs="Arial"/>
          <w:b/>
          <w:sz w:val="20"/>
        </w:rPr>
      </w:pPr>
    </w:p>
    <w:p w14:paraId="62179353" w14:textId="77777777" w:rsidR="00B712F8" w:rsidRPr="005D11F0" w:rsidRDefault="00B712F8" w:rsidP="00B712F8">
      <w:pPr>
        <w:pStyle w:val="Zkladntext"/>
        <w:jc w:val="both"/>
        <w:rPr>
          <w:rFonts w:ascii="Arial" w:hAnsi="Arial" w:cs="Arial"/>
          <w:b/>
          <w:sz w:val="20"/>
        </w:rPr>
      </w:pPr>
    </w:p>
    <w:p w14:paraId="3D7BD27C" w14:textId="77777777" w:rsidR="00B712F8" w:rsidRPr="005D11F0" w:rsidRDefault="00B712F8" w:rsidP="00B712F8">
      <w:pPr>
        <w:pStyle w:val="Zkladntext"/>
        <w:jc w:val="both"/>
        <w:rPr>
          <w:rFonts w:ascii="Arial" w:hAnsi="Arial" w:cs="Arial"/>
          <w:b/>
          <w:sz w:val="20"/>
        </w:rPr>
      </w:pPr>
    </w:p>
    <w:p w14:paraId="5246B823" w14:textId="77777777" w:rsidR="00B712F8" w:rsidRPr="005D11F0" w:rsidRDefault="00B712F8" w:rsidP="00B712F8">
      <w:pPr>
        <w:pStyle w:val="Zkladntext"/>
        <w:jc w:val="both"/>
        <w:rPr>
          <w:rFonts w:ascii="Arial" w:hAnsi="Arial" w:cs="Arial"/>
          <w:b/>
          <w:sz w:val="20"/>
        </w:rPr>
      </w:pPr>
    </w:p>
    <w:p w14:paraId="7E12EF6D" w14:textId="77777777" w:rsidR="00B712F8" w:rsidRPr="005D11F0" w:rsidRDefault="00B712F8" w:rsidP="00B712F8">
      <w:pPr>
        <w:pStyle w:val="Zkladntext"/>
        <w:jc w:val="both"/>
        <w:rPr>
          <w:rFonts w:ascii="Arial" w:hAnsi="Arial" w:cs="Arial"/>
          <w:b/>
          <w:sz w:val="20"/>
        </w:rPr>
      </w:pPr>
    </w:p>
    <w:p w14:paraId="37782B33" w14:textId="77777777" w:rsidR="00B712F8" w:rsidRPr="005D11F0" w:rsidRDefault="00B712F8" w:rsidP="00B712F8">
      <w:pPr>
        <w:pStyle w:val="Zkladntext"/>
        <w:jc w:val="both"/>
        <w:rPr>
          <w:rFonts w:ascii="Arial" w:hAnsi="Arial" w:cs="Arial"/>
          <w:b/>
          <w:sz w:val="20"/>
        </w:rPr>
      </w:pPr>
    </w:p>
    <w:p w14:paraId="181E0E15" w14:textId="77777777" w:rsidR="00B712F8" w:rsidRPr="005D11F0" w:rsidRDefault="00B712F8" w:rsidP="00B712F8">
      <w:pPr>
        <w:pStyle w:val="Zkladntext"/>
        <w:jc w:val="both"/>
        <w:rPr>
          <w:rFonts w:ascii="Arial" w:hAnsi="Arial" w:cs="Arial"/>
          <w:b/>
          <w:sz w:val="20"/>
        </w:rPr>
      </w:pPr>
    </w:p>
    <w:p w14:paraId="540F0B34" w14:textId="77777777" w:rsidR="00B712F8" w:rsidRPr="005D11F0" w:rsidRDefault="00B712F8" w:rsidP="00B712F8">
      <w:pPr>
        <w:pStyle w:val="Zkladntext"/>
        <w:jc w:val="both"/>
        <w:rPr>
          <w:rFonts w:ascii="Arial" w:hAnsi="Arial" w:cs="Arial"/>
          <w:b/>
          <w:sz w:val="20"/>
        </w:rPr>
      </w:pPr>
    </w:p>
    <w:p w14:paraId="602D9FFB" w14:textId="77777777" w:rsidR="00B712F8" w:rsidRPr="005D11F0" w:rsidRDefault="00B712F8" w:rsidP="00B712F8">
      <w:pPr>
        <w:pStyle w:val="Zkladntext"/>
        <w:jc w:val="both"/>
        <w:rPr>
          <w:rFonts w:ascii="Arial" w:hAnsi="Arial" w:cs="Arial"/>
          <w:b/>
          <w:sz w:val="20"/>
        </w:rPr>
      </w:pPr>
    </w:p>
    <w:p w14:paraId="515F5512" w14:textId="77777777" w:rsidR="00B712F8" w:rsidRPr="005D11F0" w:rsidRDefault="00B712F8" w:rsidP="00B712F8">
      <w:pPr>
        <w:pStyle w:val="Zkladntext"/>
        <w:jc w:val="both"/>
        <w:rPr>
          <w:rFonts w:ascii="Arial" w:hAnsi="Arial" w:cs="Arial"/>
          <w:b/>
          <w:sz w:val="20"/>
        </w:rPr>
      </w:pPr>
    </w:p>
    <w:p w14:paraId="514F7B2A" w14:textId="77777777" w:rsidR="00B712F8" w:rsidRPr="005D11F0" w:rsidRDefault="00B712F8" w:rsidP="00B712F8">
      <w:pPr>
        <w:pStyle w:val="Zkladntext"/>
        <w:jc w:val="both"/>
        <w:rPr>
          <w:rFonts w:ascii="Arial" w:hAnsi="Arial" w:cs="Arial"/>
          <w:b/>
          <w:sz w:val="20"/>
        </w:rPr>
      </w:pPr>
    </w:p>
    <w:p w14:paraId="7134DC1D" w14:textId="77777777" w:rsidR="00B712F8" w:rsidRPr="005D11F0" w:rsidRDefault="00B712F8" w:rsidP="00B712F8">
      <w:pPr>
        <w:pStyle w:val="Zkladntext"/>
        <w:jc w:val="both"/>
        <w:rPr>
          <w:rFonts w:ascii="Arial" w:hAnsi="Arial" w:cs="Arial"/>
          <w:b/>
          <w:sz w:val="20"/>
        </w:rPr>
      </w:pPr>
    </w:p>
    <w:p w14:paraId="3B9A3695" w14:textId="0BA677B3" w:rsidR="00B712F8" w:rsidRPr="00B712F8" w:rsidRDefault="00B712F8" w:rsidP="00B712F8">
      <w:pPr>
        <w:pStyle w:val="Zkladntext"/>
        <w:jc w:val="both"/>
        <w:rPr>
          <w:rFonts w:asciiTheme="minorHAnsi" w:hAnsiTheme="minorHAnsi" w:cstheme="minorHAnsi"/>
          <w:b/>
        </w:rPr>
      </w:pPr>
      <w:r w:rsidRPr="00B712F8">
        <w:rPr>
          <w:rFonts w:asciiTheme="minorHAnsi" w:hAnsiTheme="minorHAnsi" w:cstheme="minorHAnsi"/>
          <w:b/>
        </w:rPr>
        <w:t>O společnosti Broker Consulting</w:t>
      </w:r>
    </w:p>
    <w:p w14:paraId="262CD423" w14:textId="77777777" w:rsidR="00B712F8" w:rsidRPr="00B712F8" w:rsidRDefault="00B712F8" w:rsidP="00B712F8">
      <w:pPr>
        <w:jc w:val="both"/>
        <w:rPr>
          <w:rFonts w:asciiTheme="minorHAnsi" w:hAnsiTheme="minorHAnsi" w:cstheme="minorHAnsi"/>
        </w:rPr>
      </w:pPr>
    </w:p>
    <w:p w14:paraId="74623457" w14:textId="77777777" w:rsidR="00F44539" w:rsidRDefault="00B712F8" w:rsidP="00F44539">
      <w:pPr>
        <w:jc w:val="both"/>
        <w:rPr>
          <w:rFonts w:asciiTheme="minorHAnsi" w:hAnsiTheme="minorHAnsi" w:cstheme="minorHAnsi"/>
          <w:sz w:val="20"/>
          <w:szCs w:val="20"/>
          <w:lang w:val="de-DE"/>
        </w:rPr>
      </w:pPr>
      <w:r w:rsidRPr="00B712F8">
        <w:rPr>
          <w:rFonts w:asciiTheme="minorHAnsi" w:hAnsiTheme="minorHAnsi" w:cstheme="minorHAnsi"/>
          <w:sz w:val="20"/>
          <w:szCs w:val="20"/>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téměř 50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w:t>
      </w:r>
      <w:r w:rsidR="00E71C1E">
        <w:rPr>
          <w:rFonts w:asciiTheme="minorHAnsi" w:hAnsiTheme="minorHAnsi" w:cstheme="minorHAnsi"/>
          <w:sz w:val="20"/>
          <w:szCs w:val="20"/>
        </w:rPr>
        <w:t xml:space="preserve">který přináší společnost Broker </w:t>
      </w:r>
      <w:r w:rsidRPr="00B712F8">
        <w:rPr>
          <w:rFonts w:asciiTheme="minorHAnsi" w:hAnsiTheme="minorHAnsi" w:cstheme="minorHAnsi"/>
          <w:sz w:val="20"/>
          <w:szCs w:val="20"/>
        </w:rPr>
        <w:t xml:space="preserve">Consulting. </w:t>
      </w:r>
      <w:r w:rsidRPr="00B712F8">
        <w:rPr>
          <w:rStyle w:val="dn"/>
          <w:rFonts w:asciiTheme="minorHAnsi" w:hAnsiTheme="minorHAnsi" w:cstheme="minorHAnsi"/>
          <w:sz w:val="20"/>
          <w:szCs w:val="20"/>
        </w:rPr>
        <w:t xml:space="preserve">Více na </w:t>
      </w:r>
      <w:hyperlink r:id="rId9" w:history="1">
        <w:r w:rsidRPr="00B712F8">
          <w:rPr>
            <w:rStyle w:val="Hypertextovodkaz"/>
            <w:rFonts w:asciiTheme="minorHAnsi" w:hAnsiTheme="minorHAnsi" w:cstheme="minorHAnsi"/>
            <w:color w:val="auto"/>
            <w:sz w:val="20"/>
            <w:szCs w:val="20"/>
          </w:rPr>
          <w:t>www.bcas.cz</w:t>
        </w:r>
      </w:hyperlink>
      <w:r w:rsidRPr="00B712F8">
        <w:rPr>
          <w:rStyle w:val="Hypertextovodkaz"/>
          <w:rFonts w:asciiTheme="minorHAnsi" w:hAnsiTheme="minorHAnsi" w:cstheme="minorHAnsi"/>
          <w:color w:val="auto"/>
          <w:sz w:val="20"/>
          <w:szCs w:val="20"/>
        </w:rPr>
        <w:t xml:space="preserve">, </w:t>
      </w:r>
      <w:hyperlink r:id="rId10" w:history="1">
        <w:r w:rsidRPr="00B712F8">
          <w:rPr>
            <w:rStyle w:val="Hypertextovodkaz"/>
            <w:rFonts w:asciiTheme="minorHAnsi" w:hAnsiTheme="minorHAnsi" w:cstheme="minorHAnsi"/>
            <w:color w:val="auto"/>
            <w:sz w:val="20"/>
            <w:szCs w:val="20"/>
          </w:rPr>
          <w:t>www.okpointy.cz</w:t>
        </w:r>
      </w:hyperlink>
      <w:r w:rsidRPr="00B712F8">
        <w:rPr>
          <w:rStyle w:val="Hypertextovodkaz"/>
          <w:rFonts w:asciiTheme="minorHAnsi" w:hAnsiTheme="minorHAnsi" w:cstheme="minorHAnsi"/>
          <w:color w:val="auto"/>
          <w:sz w:val="20"/>
          <w:szCs w:val="20"/>
        </w:rPr>
        <w:t>, www.okpoint.tv</w:t>
      </w:r>
      <w:r w:rsidRPr="00B712F8">
        <w:rPr>
          <w:rStyle w:val="dn"/>
          <w:rFonts w:asciiTheme="minorHAnsi" w:hAnsiTheme="minorHAnsi" w:cstheme="minorHAnsi"/>
          <w:sz w:val="20"/>
          <w:szCs w:val="20"/>
        </w:rPr>
        <w:t xml:space="preserve"> a na </w:t>
      </w:r>
      <w:hyperlink r:id="rId11" w:history="1">
        <w:r w:rsidRPr="00B712F8">
          <w:rPr>
            <w:rStyle w:val="Hypertextovodkaz"/>
            <w:rFonts w:asciiTheme="minorHAnsi" w:hAnsiTheme="minorHAnsi" w:cstheme="minorHAnsi"/>
            <w:color w:val="auto"/>
            <w:sz w:val="20"/>
            <w:szCs w:val="20"/>
          </w:rPr>
          <w:t>www.realityspolu.cz</w:t>
        </w:r>
      </w:hyperlink>
      <w:r w:rsidRPr="00B712F8">
        <w:rPr>
          <w:rStyle w:val="dn"/>
          <w:rFonts w:asciiTheme="minorHAnsi" w:hAnsiTheme="minorHAnsi" w:cstheme="minorHAnsi"/>
          <w:sz w:val="20"/>
          <w:szCs w:val="20"/>
        </w:rPr>
        <w:t xml:space="preserve">. </w:t>
      </w:r>
      <w:r w:rsidRPr="00B712F8">
        <w:rPr>
          <w:rStyle w:val="dn"/>
          <w:rFonts w:asciiTheme="minorHAnsi" w:hAnsiTheme="minorHAnsi" w:cstheme="minorHAnsi"/>
          <w:sz w:val="20"/>
          <w:szCs w:val="20"/>
          <w:lang w:val="cs-CZ"/>
        </w:rPr>
        <w:t>Navštivte také náš</w:t>
      </w:r>
      <w:r w:rsidRPr="00B712F8">
        <w:rPr>
          <w:rStyle w:val="dn"/>
          <w:rFonts w:asciiTheme="minorHAnsi" w:hAnsiTheme="minorHAnsi" w:cstheme="minorHAnsi"/>
          <w:sz w:val="20"/>
          <w:szCs w:val="20"/>
        </w:rPr>
        <w:t xml:space="preserve"> </w:t>
      </w:r>
      <w:hyperlink r:id="rId12" w:history="1">
        <w:r w:rsidRPr="00B712F8">
          <w:rPr>
            <w:rStyle w:val="Hypertextovodkaz"/>
            <w:rFonts w:asciiTheme="minorHAnsi" w:hAnsiTheme="minorHAnsi" w:cstheme="minorHAnsi"/>
            <w:color w:val="auto"/>
            <w:sz w:val="20"/>
            <w:szCs w:val="20"/>
          </w:rPr>
          <w:t>Facebook</w:t>
        </w:r>
      </w:hyperlink>
      <w:r w:rsidRPr="00B712F8">
        <w:rPr>
          <w:rStyle w:val="dn"/>
          <w:rFonts w:asciiTheme="minorHAnsi" w:hAnsiTheme="minorHAnsi" w:cstheme="minorHAnsi"/>
          <w:sz w:val="20"/>
          <w:szCs w:val="20"/>
        </w:rPr>
        <w:t xml:space="preserve"> a </w:t>
      </w:r>
      <w:hyperlink r:id="rId13" w:history="1">
        <w:r w:rsidRPr="00B712F8">
          <w:rPr>
            <w:rStyle w:val="Hypertextovodkaz"/>
            <w:rFonts w:asciiTheme="minorHAnsi" w:hAnsiTheme="minorHAnsi" w:cstheme="minorHAnsi"/>
            <w:color w:val="auto"/>
            <w:sz w:val="20"/>
            <w:szCs w:val="20"/>
          </w:rPr>
          <w:t>LinkedIN</w:t>
        </w:r>
      </w:hyperlink>
      <w:r w:rsidRPr="00B712F8">
        <w:rPr>
          <w:rStyle w:val="dn"/>
          <w:rFonts w:asciiTheme="minorHAnsi" w:hAnsiTheme="minorHAnsi" w:cstheme="minorHAnsi"/>
          <w:sz w:val="20"/>
          <w:szCs w:val="20"/>
        </w:rPr>
        <w:t xml:space="preserve"> Broker Consulting a </w:t>
      </w:r>
      <w:hyperlink r:id="rId14" w:history="1">
        <w:r w:rsidRPr="00B712F8">
          <w:rPr>
            <w:rStyle w:val="Hypertextovodkaz"/>
            <w:rFonts w:asciiTheme="minorHAnsi" w:hAnsiTheme="minorHAnsi" w:cstheme="minorHAnsi"/>
            <w:color w:val="auto"/>
            <w:sz w:val="20"/>
            <w:szCs w:val="20"/>
          </w:rPr>
          <w:t>Facebook</w:t>
        </w:r>
      </w:hyperlink>
      <w:r w:rsidRPr="00B712F8">
        <w:rPr>
          <w:rStyle w:val="dn"/>
          <w:rFonts w:asciiTheme="minorHAnsi" w:hAnsiTheme="minorHAnsi" w:cstheme="minorHAnsi"/>
          <w:sz w:val="20"/>
          <w:szCs w:val="20"/>
        </w:rPr>
        <w:t xml:space="preserve"> a </w:t>
      </w:r>
      <w:hyperlink r:id="rId15" w:history="1">
        <w:r w:rsidRPr="00B712F8">
          <w:rPr>
            <w:rStyle w:val="Hypertextovodkaz"/>
            <w:rFonts w:asciiTheme="minorHAnsi" w:hAnsiTheme="minorHAnsi" w:cstheme="minorHAnsi"/>
            <w:color w:val="auto"/>
            <w:sz w:val="20"/>
            <w:szCs w:val="20"/>
          </w:rPr>
          <w:t>LinkedI</w:t>
        </w:r>
      </w:hyperlink>
      <w:r w:rsidRPr="00B712F8">
        <w:rPr>
          <w:rStyle w:val="Hypertextovodkaz"/>
          <w:rFonts w:asciiTheme="minorHAnsi" w:hAnsiTheme="minorHAnsi" w:cstheme="minorHAnsi"/>
          <w:color w:val="auto"/>
          <w:sz w:val="20"/>
          <w:szCs w:val="20"/>
        </w:rPr>
        <w:t>N</w:t>
      </w:r>
      <w:r w:rsidRPr="00B712F8">
        <w:rPr>
          <w:rStyle w:val="dn"/>
          <w:rFonts w:asciiTheme="minorHAnsi" w:hAnsiTheme="minorHAnsi" w:cstheme="minorHAnsi"/>
          <w:sz w:val="20"/>
          <w:szCs w:val="20"/>
        </w:rPr>
        <w:t xml:space="preserve"> OK POINTů. </w:t>
      </w:r>
      <w:r w:rsidRPr="00B712F8">
        <w:rPr>
          <w:rFonts w:asciiTheme="minorHAnsi" w:hAnsiTheme="minorHAnsi" w:cstheme="minorHAnsi"/>
          <w:sz w:val="20"/>
          <w:szCs w:val="20"/>
        </w:rPr>
        <w:t xml:space="preserve"> </w:t>
      </w:r>
    </w:p>
    <w:p w14:paraId="0E40619F" w14:textId="443D07D4" w:rsidR="00FE189D" w:rsidRPr="00F44539" w:rsidRDefault="00FE189D" w:rsidP="00F44539">
      <w:pPr>
        <w:jc w:val="center"/>
        <w:rPr>
          <w:rFonts w:asciiTheme="minorHAnsi" w:hAnsiTheme="minorHAnsi" w:cstheme="minorHAnsi"/>
          <w:sz w:val="20"/>
          <w:szCs w:val="20"/>
          <w:lang w:val="de-DE"/>
        </w:rPr>
      </w:pPr>
      <w:r w:rsidRPr="00017DEF">
        <w:rPr>
          <w:rFonts w:asciiTheme="minorHAnsi" w:hAnsiTheme="minorHAnsi" w:cstheme="minorHAnsi"/>
          <w:b/>
          <w:sz w:val="30"/>
          <w:szCs w:val="30"/>
        </w:rPr>
        <w:lastRenderedPageBreak/>
        <w:t>Povinné ručení se dostalo na nejvyšší hodnotu za poslední tři roky</w:t>
      </w:r>
    </w:p>
    <w:p w14:paraId="56EDD8C4" w14:textId="77777777" w:rsidR="00FE189D" w:rsidRDefault="00FE189D" w:rsidP="00FE189D"/>
    <w:p w14:paraId="4244FFCF" w14:textId="6900A607" w:rsidR="00FE189D" w:rsidRPr="00395524" w:rsidRDefault="009F7C57" w:rsidP="00FE189D">
      <w:pPr>
        <w:spacing w:after="240"/>
        <w:ind w:right="130"/>
        <w:jc w:val="both"/>
        <w:rPr>
          <w:rFonts w:asciiTheme="minorHAnsi" w:hAnsiTheme="minorHAnsi" w:cstheme="minorHAnsi"/>
          <w:b/>
        </w:rPr>
      </w:pPr>
      <w:r>
        <w:rPr>
          <w:rFonts w:asciiTheme="minorHAnsi" w:hAnsiTheme="minorHAnsi" w:cstheme="minorHAnsi"/>
          <w:b/>
        </w:rPr>
        <w:t>Praha, 23</w:t>
      </w:r>
      <w:bookmarkStart w:id="0" w:name="_GoBack"/>
      <w:bookmarkEnd w:id="0"/>
      <w:r w:rsidR="00FE189D" w:rsidRPr="00395524">
        <w:rPr>
          <w:rFonts w:asciiTheme="minorHAnsi" w:hAnsiTheme="minorHAnsi" w:cstheme="minorHAnsi"/>
          <w:b/>
        </w:rPr>
        <w:t>. března 2023</w:t>
      </w:r>
      <w:r w:rsidR="00395524">
        <w:rPr>
          <w:rFonts w:asciiTheme="minorHAnsi" w:hAnsiTheme="minorHAnsi" w:cstheme="minorHAnsi"/>
          <w:b/>
        </w:rPr>
        <w:t xml:space="preserve"> – Podle B</w:t>
      </w:r>
      <w:r w:rsidR="00FE189D">
        <w:rPr>
          <w:rFonts w:asciiTheme="minorHAnsi" w:hAnsiTheme="minorHAnsi" w:cstheme="minorHAnsi"/>
          <w:b/>
        </w:rPr>
        <w:t>roker Consulting POVIndex</w:t>
      </w:r>
      <w:r w:rsidR="00395524">
        <w:rPr>
          <w:rFonts w:asciiTheme="minorHAnsi" w:hAnsiTheme="minorHAnsi" w:cstheme="minorHAnsi"/>
          <w:b/>
        </w:rPr>
        <w:t>u se</w:t>
      </w:r>
      <w:r w:rsidR="00FE189D" w:rsidRPr="002928FF">
        <w:rPr>
          <w:rFonts w:asciiTheme="minorHAnsi" w:hAnsiTheme="minorHAnsi" w:cstheme="minorHAnsi"/>
          <w:b/>
        </w:rPr>
        <w:t xml:space="preserve"> ceny povinného ručení v</w:t>
      </w:r>
      <w:r w:rsidR="00FE189D">
        <w:rPr>
          <w:rFonts w:asciiTheme="minorHAnsi" w:hAnsiTheme="minorHAnsi" w:cstheme="minorHAnsi"/>
          <w:b/>
        </w:rPr>
        <w:t xml:space="preserve"> březnu </w:t>
      </w:r>
      <w:r w:rsidR="00395524">
        <w:rPr>
          <w:rFonts w:asciiTheme="minorHAnsi" w:hAnsiTheme="minorHAnsi" w:cstheme="minorHAnsi"/>
          <w:b/>
        </w:rPr>
        <w:t xml:space="preserve">pohybovaly průměrně kolem hodnoty </w:t>
      </w:r>
      <w:r w:rsidR="00FE189D">
        <w:rPr>
          <w:rFonts w:asciiTheme="minorHAnsi" w:hAnsiTheme="minorHAnsi" w:cstheme="minorHAnsi"/>
          <w:b/>
        </w:rPr>
        <w:t>6 821 Kč. V rámci meziměsíčního srovnání se tak jeho hodnota zvýšila o 77 korun. Jednalo se o nejvyšší číslo uvedeného ukazatele za poslední tři roky. Oproti březnu minulého roku došlo k nárůstu POVIndexu o dvě stě třicet korun, což je způsobeno nejistotou na trzích a s tím spojeným zdražováním vstupů.</w:t>
      </w:r>
    </w:p>
    <w:p w14:paraId="6C16906C" w14:textId="5098F909" w:rsidR="00FE189D" w:rsidRDefault="00FE189D" w:rsidP="00FE189D">
      <w:pPr>
        <w:spacing w:after="240"/>
        <w:ind w:right="130"/>
        <w:jc w:val="both"/>
        <w:rPr>
          <w:rFonts w:asciiTheme="minorHAnsi" w:hAnsiTheme="minorHAnsi" w:cstheme="minorHAnsi"/>
          <w:b/>
        </w:rPr>
      </w:pPr>
      <w:r w:rsidRPr="0081515F">
        <w:rPr>
          <w:rFonts w:asciiTheme="minorHAnsi" w:hAnsiTheme="minorHAnsi" w:cstheme="minorHAnsi"/>
        </w:rPr>
        <w:t>Březn</w:t>
      </w:r>
      <w:r>
        <w:rPr>
          <w:rFonts w:asciiTheme="minorHAnsi" w:hAnsiTheme="minorHAnsi" w:cstheme="minorHAnsi"/>
        </w:rPr>
        <w:t>ové výsledky POV Indexu potvrzují další nárůst jeho hodnot. Meziměsíčně se průměrná cena za povinné ručení zvedla o 77 korun na 6 821 Kč. Loni v březnu byla přitom jeho hodnota ještě ve výši 6 591 Kč. Od té doby se zvýšila o 230 korun a očekává se, že bu</w:t>
      </w:r>
      <w:r w:rsidR="00F44539">
        <w:rPr>
          <w:rFonts w:asciiTheme="minorHAnsi" w:hAnsiTheme="minorHAnsi" w:cstheme="minorHAnsi"/>
        </w:rPr>
        <w:t>de dále zdražovat. Důvodů, proč</w:t>
      </w:r>
      <w:r>
        <w:rPr>
          <w:rFonts w:asciiTheme="minorHAnsi" w:hAnsiTheme="minorHAnsi" w:cstheme="minorHAnsi"/>
        </w:rPr>
        <w:t xml:space="preserve"> k tomu d</w:t>
      </w:r>
      <w:r w:rsidR="00395524">
        <w:rPr>
          <w:rFonts w:asciiTheme="minorHAnsi" w:hAnsiTheme="minorHAnsi" w:cstheme="minorHAnsi"/>
        </w:rPr>
        <w:t xml:space="preserve">ochází, je více - především </w:t>
      </w:r>
      <w:r>
        <w:rPr>
          <w:rFonts w:asciiTheme="minorHAnsi" w:hAnsiTheme="minorHAnsi" w:cstheme="minorHAnsi"/>
        </w:rPr>
        <w:t>nárůst cen náhradních dílů, energií</w:t>
      </w:r>
      <w:r w:rsidRPr="000A6A32">
        <w:rPr>
          <w:rFonts w:asciiTheme="minorHAnsi" w:hAnsiTheme="minorHAnsi" w:cstheme="minorHAnsi"/>
        </w:rPr>
        <w:t>, práce</w:t>
      </w:r>
      <w:r>
        <w:rPr>
          <w:rFonts w:asciiTheme="minorHAnsi" w:hAnsiTheme="minorHAnsi" w:cstheme="minorHAnsi"/>
        </w:rPr>
        <w:t xml:space="preserve"> </w:t>
      </w:r>
      <w:r w:rsidRPr="000A6A32">
        <w:rPr>
          <w:rFonts w:asciiTheme="minorHAnsi" w:hAnsiTheme="minorHAnsi" w:cstheme="minorHAnsi"/>
        </w:rPr>
        <w:t xml:space="preserve">a dalších </w:t>
      </w:r>
      <w:r>
        <w:rPr>
          <w:rFonts w:asciiTheme="minorHAnsi" w:hAnsiTheme="minorHAnsi" w:cstheme="minorHAnsi"/>
        </w:rPr>
        <w:t>položek</w:t>
      </w:r>
      <w:r w:rsidRPr="000A6A32">
        <w:rPr>
          <w:rFonts w:asciiTheme="minorHAnsi" w:hAnsiTheme="minorHAnsi" w:cstheme="minorHAnsi"/>
        </w:rPr>
        <w:t>.</w:t>
      </w:r>
      <w:r>
        <w:rPr>
          <w:rFonts w:asciiTheme="minorHAnsi" w:hAnsiTheme="minorHAnsi" w:cstheme="minorHAnsi"/>
          <w:b/>
        </w:rPr>
        <w:t xml:space="preserve"> </w:t>
      </w:r>
    </w:p>
    <w:p w14:paraId="38AF727A" w14:textId="4381EADC" w:rsidR="00FE189D" w:rsidRPr="00EF34AF" w:rsidRDefault="00FE189D" w:rsidP="00FE189D">
      <w:pPr>
        <w:spacing w:after="240"/>
        <w:ind w:right="130"/>
        <w:jc w:val="both"/>
        <w:rPr>
          <w:rFonts w:asciiTheme="minorHAnsi" w:hAnsiTheme="minorHAnsi" w:cstheme="minorHAnsi"/>
          <w:b/>
        </w:rPr>
      </w:pPr>
      <w:r w:rsidRPr="00395524">
        <w:rPr>
          <w:rFonts w:asciiTheme="minorHAnsi" w:hAnsiTheme="minorHAnsi" w:cstheme="minorHAnsi"/>
        </w:rPr>
        <w:t>„</w:t>
      </w:r>
      <w:r w:rsidRPr="00395524">
        <w:rPr>
          <w:rFonts w:asciiTheme="minorHAnsi" w:hAnsiTheme="minorHAnsi" w:cstheme="minorHAnsi"/>
          <w:i/>
        </w:rPr>
        <w:t>Nejistota na trzích se negativně odráží v ceně povinného ručení, které již několik měsíců po sobě setrvale roste. Řidiči by měli počítat s tím, že zdražování bude pravděpodobně pokračovat i v násl</w:t>
      </w:r>
      <w:r w:rsidR="00395524" w:rsidRPr="00395524">
        <w:rPr>
          <w:rFonts w:asciiTheme="minorHAnsi" w:hAnsiTheme="minorHAnsi" w:cstheme="minorHAnsi"/>
          <w:i/>
        </w:rPr>
        <w:t>edujících měsících. Hodnota POV</w:t>
      </w:r>
      <w:r w:rsidRPr="00395524">
        <w:rPr>
          <w:rFonts w:asciiTheme="minorHAnsi" w:hAnsiTheme="minorHAnsi" w:cstheme="minorHAnsi"/>
          <w:i/>
        </w:rPr>
        <w:t>Indexu se bude tudíž</w:t>
      </w:r>
      <w:r w:rsidR="00395524" w:rsidRPr="00395524">
        <w:rPr>
          <w:rFonts w:asciiTheme="minorHAnsi" w:hAnsiTheme="minorHAnsi" w:cstheme="minorHAnsi"/>
          <w:i/>
        </w:rPr>
        <w:t xml:space="preserve"> – až na občasné poklesy - </w:t>
      </w:r>
      <w:r w:rsidRPr="00395524">
        <w:rPr>
          <w:rFonts w:asciiTheme="minorHAnsi" w:hAnsiTheme="minorHAnsi" w:cstheme="minorHAnsi"/>
          <w:i/>
        </w:rPr>
        <w:t>nejspíše dál zvedat</w:t>
      </w:r>
      <w:r w:rsidRPr="00395524">
        <w:rPr>
          <w:rFonts w:asciiTheme="minorHAnsi" w:hAnsiTheme="minorHAnsi" w:cstheme="minorHAnsi"/>
        </w:rPr>
        <w:t>,“</w:t>
      </w:r>
      <w:r w:rsidRPr="00EF34AF">
        <w:rPr>
          <w:rFonts w:asciiTheme="minorHAnsi" w:hAnsiTheme="minorHAnsi" w:cstheme="minorHAnsi"/>
          <w:b/>
        </w:rPr>
        <w:t xml:space="preserve"> vysvětluje Jiří Váchal, analytik neživotního pojištění společnosti Broker Consulting.</w:t>
      </w:r>
    </w:p>
    <w:p w14:paraId="3DC773E2" w14:textId="49E242A4" w:rsidR="00FE189D" w:rsidRDefault="00395524" w:rsidP="00FE189D">
      <w:pPr>
        <w:spacing w:after="240"/>
        <w:ind w:right="130"/>
        <w:jc w:val="both"/>
        <w:rPr>
          <w:rFonts w:asciiTheme="minorHAnsi" w:hAnsiTheme="minorHAnsi" w:cstheme="minorHAnsi"/>
        </w:rPr>
      </w:pPr>
      <w:r>
        <w:rPr>
          <w:rFonts w:asciiTheme="minorHAnsi" w:hAnsiTheme="minorHAnsi" w:cstheme="minorHAnsi"/>
        </w:rPr>
        <w:t>Hodnota POV</w:t>
      </w:r>
      <w:r w:rsidR="00FE189D">
        <w:rPr>
          <w:rFonts w:asciiTheme="minorHAnsi" w:hAnsiTheme="minorHAnsi" w:cstheme="minorHAnsi"/>
        </w:rPr>
        <w:t>Indexu ve výši 6 821 Kč tak byla v březnu nejvyšší za poslední tři roky. Naopak nejnižší byla v dubnu roku 2021, kdy se dostala na hodnotu 6 329 Kč. Pokud budeme brát ale v potaz celé sledované období, není aktuální březnová hodnota maximální. Vyšších hodnot ukazatel dosahoval během roku 2019 a na začátku roku 2020, kdy převyšoval hranici 7 000 korun.</w:t>
      </w:r>
    </w:p>
    <w:p w14:paraId="27B57C78" w14:textId="763A9FBF" w:rsidR="00FE189D" w:rsidRDefault="008001D1" w:rsidP="00FE189D">
      <w:pPr>
        <w:spacing w:after="240"/>
        <w:ind w:right="130"/>
        <w:jc w:val="both"/>
        <w:rPr>
          <w:rFonts w:asciiTheme="minorHAnsi" w:hAnsiTheme="minorHAnsi" w:cstheme="minorHAnsi"/>
        </w:rPr>
      </w:pPr>
      <w:r>
        <w:rPr>
          <w:rFonts w:asciiTheme="minorHAnsi" w:hAnsiTheme="minorHAnsi" w:cstheme="minorHAnsi"/>
        </w:rPr>
        <w:t>V Praze je nadále POV</w:t>
      </w:r>
      <w:r w:rsidR="00FE189D">
        <w:rPr>
          <w:rFonts w:asciiTheme="minorHAnsi" w:hAnsiTheme="minorHAnsi" w:cstheme="minorHAnsi"/>
        </w:rPr>
        <w:t>Index na vyšších hodnotách, n</w:t>
      </w:r>
      <w:r>
        <w:rPr>
          <w:rFonts w:asciiTheme="minorHAnsi" w:hAnsiTheme="minorHAnsi" w:cstheme="minorHAnsi"/>
        </w:rPr>
        <w:t>ež je tomu ve</w:t>
      </w:r>
      <w:r w:rsidR="008043AE">
        <w:rPr>
          <w:rFonts w:asciiTheme="minorHAnsi" w:hAnsiTheme="minorHAnsi" w:cstheme="minorHAnsi"/>
        </w:rPr>
        <w:t xml:space="preserve"> zbytku republiky. Letos v březnu </w:t>
      </w:r>
      <w:r>
        <w:rPr>
          <w:rFonts w:asciiTheme="minorHAnsi" w:hAnsiTheme="minorHAnsi" w:cstheme="minorHAnsi"/>
        </w:rPr>
        <w:t xml:space="preserve">zde </w:t>
      </w:r>
      <w:r w:rsidR="008043AE">
        <w:rPr>
          <w:rFonts w:asciiTheme="minorHAnsi" w:hAnsiTheme="minorHAnsi" w:cstheme="minorHAnsi"/>
        </w:rPr>
        <w:t>dosáhla průměrná cena na 7 461</w:t>
      </w:r>
      <w:r w:rsidR="00FE189D">
        <w:rPr>
          <w:rFonts w:asciiTheme="minorHAnsi" w:hAnsiTheme="minorHAnsi" w:cstheme="minorHAnsi"/>
        </w:rPr>
        <w:t xml:space="preserve"> Kč. Oproti tomu v menším městě, jaké reprezentuje Benešov u Prahy, je situace odlišná. Zde se v sou</w:t>
      </w:r>
      <w:r w:rsidR="008043AE">
        <w:rPr>
          <w:rFonts w:asciiTheme="minorHAnsi" w:hAnsiTheme="minorHAnsi" w:cstheme="minorHAnsi"/>
        </w:rPr>
        <w:t>časnosti drží v průměru na 6 161</w:t>
      </w:r>
      <w:r w:rsidR="00793C25">
        <w:rPr>
          <w:rFonts w:asciiTheme="minorHAnsi" w:hAnsiTheme="minorHAnsi" w:cstheme="minorHAnsi"/>
        </w:rPr>
        <w:t xml:space="preserve"> korunách. Situaci může odlišovat také různá nehodovost v regionu.</w:t>
      </w:r>
    </w:p>
    <w:p w14:paraId="7874D97D" w14:textId="77777777" w:rsidR="00FE189D" w:rsidRPr="00C523C4" w:rsidRDefault="00FE189D" w:rsidP="00FE189D">
      <w:pPr>
        <w:spacing w:after="240"/>
        <w:ind w:right="130"/>
        <w:jc w:val="both"/>
        <w:rPr>
          <w:rFonts w:asciiTheme="minorHAnsi" w:hAnsiTheme="minorHAnsi" w:cstheme="minorHAnsi"/>
          <w:b/>
        </w:rPr>
      </w:pPr>
      <w:r w:rsidRPr="008001D1">
        <w:rPr>
          <w:rFonts w:asciiTheme="minorHAnsi" w:hAnsiTheme="minorHAnsi" w:cstheme="minorHAnsi"/>
        </w:rPr>
        <w:t>„</w:t>
      </w:r>
      <w:r w:rsidRPr="008001D1">
        <w:rPr>
          <w:rFonts w:asciiTheme="minorHAnsi" w:hAnsiTheme="minorHAnsi" w:cstheme="minorHAnsi"/>
          <w:i/>
        </w:rPr>
        <w:t>Rozdíl v ceně povinného ručení mezi hlavním městem a regiony ukazuje, že vývoj není všude zcela stejný. To nám potvrzují i dlouhodobé statistiky. I na to musí brát pojistník ohled, když si dojednává nové podmínky pojištění</w:t>
      </w:r>
      <w:r w:rsidRPr="008001D1">
        <w:rPr>
          <w:rFonts w:asciiTheme="minorHAnsi" w:hAnsiTheme="minorHAnsi" w:cstheme="minorHAnsi"/>
        </w:rPr>
        <w:t xml:space="preserve">,“ </w:t>
      </w:r>
      <w:r w:rsidRPr="001550BD">
        <w:rPr>
          <w:rFonts w:asciiTheme="minorHAnsi" w:hAnsiTheme="minorHAnsi" w:cstheme="minorHAnsi"/>
          <w:b/>
        </w:rPr>
        <w:t xml:space="preserve">dodává </w:t>
      </w:r>
      <w:r w:rsidRPr="00C523C4">
        <w:rPr>
          <w:rFonts w:asciiTheme="minorHAnsi" w:hAnsiTheme="minorHAnsi" w:cstheme="minorHAnsi"/>
          <w:b/>
        </w:rPr>
        <w:t>Váchal.</w:t>
      </w:r>
    </w:p>
    <w:p w14:paraId="61F7F818" w14:textId="6C197EF7" w:rsidR="00CF7691" w:rsidRDefault="00FE189D" w:rsidP="005B3E4A">
      <w:pPr>
        <w:pBdr>
          <w:bottom w:val="single" w:sz="4" w:space="1" w:color="auto"/>
        </w:pBdr>
        <w:spacing w:after="240"/>
        <w:ind w:right="130"/>
        <w:jc w:val="both"/>
        <w:rPr>
          <w:rFonts w:asciiTheme="minorHAnsi" w:hAnsiTheme="minorHAnsi" w:cstheme="minorHAnsi"/>
          <w:b/>
        </w:rPr>
      </w:pPr>
      <w:r w:rsidRPr="002B26E0">
        <w:rPr>
          <w:rFonts w:asciiTheme="minorHAnsi" w:hAnsiTheme="minorHAnsi" w:cstheme="minorHAnsi"/>
          <w:b/>
          <w:noProof/>
          <w:lang w:bidi="ar-SA"/>
        </w:rPr>
        <w:drawing>
          <wp:inline distT="0" distB="0" distL="0" distR="0" wp14:anchorId="1BB70F35" wp14:editId="2E78568A">
            <wp:extent cx="6381750" cy="2209066"/>
            <wp:effectExtent l="0" t="0" r="0" b="1270"/>
            <wp:docPr id="1" name="Obrázek 1" descr="C:\Users\rpolak\Desktop\Tisk\Graf BC POVIndex - březen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olak\Desktop\Tisk\Graf BC POVIndex - březen 202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4832" cy="2217056"/>
                    </a:xfrm>
                    <a:prstGeom prst="rect">
                      <a:avLst/>
                    </a:prstGeom>
                    <a:noFill/>
                    <a:ln>
                      <a:noFill/>
                    </a:ln>
                  </pic:spPr>
                </pic:pic>
              </a:graphicData>
            </a:graphic>
          </wp:inline>
        </w:drawing>
      </w:r>
    </w:p>
    <w:p w14:paraId="2928CDD5" w14:textId="77777777" w:rsidR="005B3E4A" w:rsidRPr="005B3E4A" w:rsidRDefault="005B3E4A" w:rsidP="005B3E4A">
      <w:pPr>
        <w:pBdr>
          <w:bottom w:val="single" w:sz="4" w:space="1" w:color="auto"/>
        </w:pBdr>
        <w:spacing w:after="240"/>
        <w:ind w:right="130"/>
        <w:jc w:val="both"/>
        <w:rPr>
          <w:rFonts w:asciiTheme="minorHAnsi" w:hAnsiTheme="minorHAnsi" w:cstheme="minorHAnsi"/>
          <w:b/>
        </w:rPr>
      </w:pPr>
    </w:p>
    <w:p w14:paraId="253878B0" w14:textId="70078992" w:rsidR="00FE189D" w:rsidRPr="001156F4" w:rsidRDefault="00FE189D" w:rsidP="00FE189D">
      <w:pPr>
        <w:rPr>
          <w:rFonts w:asciiTheme="minorHAnsi" w:hAnsiTheme="minorHAnsi" w:cstheme="minorHAnsi"/>
          <w:b/>
          <w:bCs/>
          <w:color w:val="0D0D0D" w:themeColor="text1" w:themeTint="F2"/>
        </w:rPr>
      </w:pPr>
      <w:r w:rsidRPr="001156F4">
        <w:rPr>
          <w:rFonts w:asciiTheme="minorHAnsi" w:hAnsiTheme="minorHAnsi" w:cstheme="minorHAnsi"/>
          <w:b/>
          <w:bCs/>
          <w:color w:val="0D0D0D" w:themeColor="text1" w:themeTint="F2"/>
        </w:rPr>
        <w:lastRenderedPageBreak/>
        <w:t>Co má vliv na cenu povinného ručení?</w:t>
      </w:r>
    </w:p>
    <w:p w14:paraId="027AABB8" w14:textId="77777777" w:rsidR="00FE189D" w:rsidRDefault="00FE189D" w:rsidP="00FE189D">
      <w:pPr>
        <w:rPr>
          <w:rFonts w:ascii="Arial" w:hAnsi="Arial" w:cs="Arial"/>
          <w:bCs/>
          <w:sz w:val="20"/>
          <w:szCs w:val="20"/>
        </w:rPr>
      </w:pPr>
    </w:p>
    <w:p w14:paraId="0AE48633" w14:textId="63E2BE85" w:rsidR="00FE189D" w:rsidRPr="00CF7691" w:rsidRDefault="00FE189D" w:rsidP="00CF7691">
      <w:pPr>
        <w:jc w:val="both"/>
        <w:rPr>
          <w:rFonts w:asciiTheme="minorHAnsi" w:hAnsiTheme="minorHAnsi" w:cstheme="minorHAnsi"/>
          <w:bCs/>
        </w:rPr>
      </w:pPr>
      <w:r w:rsidRPr="00FA3667">
        <w:rPr>
          <w:rFonts w:asciiTheme="minorHAnsi" w:hAnsiTheme="minorHAnsi" w:cstheme="minorHAnsi"/>
          <w:bCs/>
        </w:rPr>
        <w:t xml:space="preserve">Výši nákladů na povinné ručení určují zejména technické parametry vozidla </w:t>
      </w:r>
      <w:r w:rsidR="00CF7691">
        <w:rPr>
          <w:rFonts w:asciiTheme="minorHAnsi" w:hAnsiTheme="minorHAnsi" w:cstheme="minorHAnsi"/>
          <w:bCs/>
        </w:rPr>
        <w:t>- například rok výroby, objem motoru</w:t>
      </w:r>
      <w:r w:rsidRPr="00FA3667">
        <w:rPr>
          <w:rFonts w:asciiTheme="minorHAnsi" w:hAnsiTheme="minorHAnsi" w:cstheme="minorHAnsi"/>
          <w:bCs/>
        </w:rPr>
        <w:t xml:space="preserve">, značka, typ vozu, způsob </w:t>
      </w:r>
      <w:r w:rsidR="00CF7691">
        <w:rPr>
          <w:rFonts w:asciiTheme="minorHAnsi" w:hAnsiTheme="minorHAnsi" w:cstheme="minorHAnsi"/>
          <w:bCs/>
        </w:rPr>
        <w:t xml:space="preserve">jeho </w:t>
      </w:r>
      <w:r w:rsidRPr="00FA3667">
        <w:rPr>
          <w:rFonts w:asciiTheme="minorHAnsi" w:hAnsiTheme="minorHAnsi" w:cstheme="minorHAnsi"/>
          <w:bCs/>
        </w:rPr>
        <w:t xml:space="preserve">užívání a další hlediska. Důležitý je rovněž profil řidiče, bydliště a </w:t>
      </w:r>
      <w:r w:rsidR="005B3E4A">
        <w:rPr>
          <w:rFonts w:asciiTheme="minorHAnsi" w:hAnsiTheme="minorHAnsi" w:cstheme="minorHAnsi"/>
          <w:bCs/>
        </w:rPr>
        <w:t xml:space="preserve">jeho </w:t>
      </w:r>
      <w:r w:rsidRPr="00FA3667">
        <w:rPr>
          <w:rFonts w:asciiTheme="minorHAnsi" w:hAnsiTheme="minorHAnsi" w:cstheme="minorHAnsi"/>
          <w:bCs/>
        </w:rPr>
        <w:t>věk. Zde se</w:t>
      </w:r>
      <w:r w:rsidR="00CF7691">
        <w:rPr>
          <w:rFonts w:asciiTheme="minorHAnsi" w:hAnsiTheme="minorHAnsi" w:cstheme="minorHAnsi"/>
          <w:bCs/>
        </w:rPr>
        <w:t xml:space="preserve"> rovněž</w:t>
      </w:r>
      <w:r w:rsidRPr="00FA3667">
        <w:rPr>
          <w:rFonts w:asciiTheme="minorHAnsi" w:hAnsiTheme="minorHAnsi" w:cstheme="minorHAnsi"/>
          <w:bCs/>
        </w:rPr>
        <w:t xml:space="preserve"> posuzuje, zda </w:t>
      </w:r>
      <w:r w:rsidR="00CF7691">
        <w:rPr>
          <w:rFonts w:asciiTheme="minorHAnsi" w:hAnsiTheme="minorHAnsi" w:cstheme="minorHAnsi"/>
          <w:bCs/>
        </w:rPr>
        <w:t xml:space="preserve">řidič </w:t>
      </w:r>
      <w:r w:rsidRPr="00FA3667">
        <w:rPr>
          <w:rFonts w:asciiTheme="minorHAnsi" w:hAnsiTheme="minorHAnsi" w:cstheme="minorHAnsi"/>
          <w:bCs/>
        </w:rPr>
        <w:t>nepatří do rizikové skupiny. Svůj p</w:t>
      </w:r>
      <w:r w:rsidR="00CF7691">
        <w:rPr>
          <w:rFonts w:asciiTheme="minorHAnsi" w:hAnsiTheme="minorHAnsi" w:cstheme="minorHAnsi"/>
          <w:bCs/>
        </w:rPr>
        <w:t>odíl na ceně má tedy také</w:t>
      </w:r>
      <w:r w:rsidRPr="00FA3667">
        <w:rPr>
          <w:rFonts w:asciiTheme="minorHAnsi" w:hAnsiTheme="minorHAnsi" w:cstheme="minorHAnsi"/>
          <w:bCs/>
        </w:rPr>
        <w:t xml:space="preserve"> to, zda jezdí bez nehody. Za beznehodovou jízdu získává tzv. bonusy, které cenu pojistné u povinného ručení výrazně snižují. Opakem jsou potom malusy, jež má ten řidič, který často bourá.</w:t>
      </w:r>
      <w:r w:rsidR="00CF7691">
        <w:rPr>
          <w:rFonts w:asciiTheme="minorHAnsi" w:hAnsiTheme="minorHAnsi" w:cstheme="minorHAnsi"/>
          <w:bCs/>
        </w:rPr>
        <w:t xml:space="preserve"> </w:t>
      </w:r>
      <w:r w:rsidR="00CF7691">
        <w:rPr>
          <w:rFonts w:asciiTheme="minorHAnsi" w:hAnsiTheme="minorHAnsi" w:cstheme="minorHAnsi"/>
        </w:rPr>
        <w:t xml:space="preserve">Některé pojišťovny </w:t>
      </w:r>
      <w:r w:rsidRPr="00FA3667">
        <w:rPr>
          <w:rFonts w:asciiTheme="minorHAnsi" w:hAnsiTheme="minorHAnsi" w:cstheme="minorHAnsi"/>
        </w:rPr>
        <w:t>dokonce nabízí </w:t>
      </w:r>
      <w:r w:rsidRPr="00FA3667">
        <w:rPr>
          <w:rStyle w:val="Siln"/>
          <w:rFonts w:asciiTheme="minorHAnsi" w:eastAsiaTheme="majorEastAsia" w:hAnsiTheme="minorHAnsi" w:cstheme="minorHAnsi"/>
          <w:b w:val="0"/>
          <w:bdr w:val="none" w:sz="0" w:space="0" w:color="auto" w:frame="1"/>
        </w:rPr>
        <w:t>výhodnější ceny</w:t>
      </w:r>
      <w:r w:rsidRPr="00FA3667">
        <w:rPr>
          <w:rFonts w:asciiTheme="minorHAnsi" w:hAnsiTheme="minorHAnsi" w:cstheme="minorHAnsi"/>
        </w:rPr>
        <w:t> vybraným skupinám klientů. Výhodnější cenu dostanou například ženy, lékaři, hasiči nebo zdravotně postižení řidiči.</w:t>
      </w:r>
    </w:p>
    <w:p w14:paraId="7BFD1476" w14:textId="77777777" w:rsidR="00FE189D" w:rsidRPr="00FA3667" w:rsidRDefault="00FE189D" w:rsidP="00FE189D">
      <w:pPr>
        <w:pStyle w:val="Normlnweb"/>
        <w:shd w:val="clear" w:color="auto" w:fill="FFFFFF"/>
        <w:spacing w:before="0" w:beforeAutospacing="0" w:after="0" w:afterAutospacing="0"/>
        <w:jc w:val="both"/>
        <w:textAlignment w:val="baseline"/>
        <w:rPr>
          <w:rFonts w:asciiTheme="minorHAnsi" w:hAnsiTheme="minorHAnsi" w:cstheme="minorHAnsi"/>
          <w:sz w:val="22"/>
          <w:szCs w:val="22"/>
        </w:rPr>
      </w:pPr>
    </w:p>
    <w:p w14:paraId="3706ED13" w14:textId="77777777" w:rsidR="00FE189D" w:rsidRPr="00FA3667" w:rsidRDefault="00FE189D" w:rsidP="00FE189D">
      <w:pPr>
        <w:pStyle w:val="Normlnweb"/>
        <w:shd w:val="clear" w:color="auto" w:fill="FFFFFF"/>
        <w:spacing w:before="0" w:beforeAutospacing="0" w:after="0" w:afterAutospacing="0"/>
        <w:jc w:val="both"/>
        <w:textAlignment w:val="baseline"/>
        <w:rPr>
          <w:rFonts w:asciiTheme="minorHAnsi" w:hAnsiTheme="minorHAnsi" w:cstheme="minorHAnsi"/>
          <w:sz w:val="22"/>
          <w:szCs w:val="22"/>
        </w:rPr>
      </w:pPr>
      <w:r w:rsidRPr="00FA3667">
        <w:rPr>
          <w:rFonts w:asciiTheme="minorHAnsi" w:hAnsiTheme="minorHAnsi" w:cstheme="minorHAnsi"/>
          <w:sz w:val="22"/>
          <w:szCs w:val="22"/>
        </w:rPr>
        <w:t>Kromě výše uvedených parametrů rozhodují o ceně pojištění i další skutečnosti. Vzhledem k velké konkurenci na trhu lákají pojišťovny klienty i na různé </w:t>
      </w:r>
      <w:r w:rsidRPr="00FA3667">
        <w:rPr>
          <w:rStyle w:val="Siln"/>
          <w:rFonts w:asciiTheme="minorHAnsi" w:eastAsiaTheme="majorEastAsia" w:hAnsiTheme="minorHAnsi" w:cstheme="minorHAnsi"/>
          <w:b w:val="0"/>
          <w:sz w:val="22"/>
          <w:szCs w:val="22"/>
          <w:bdr w:val="none" w:sz="0" w:space="0" w:color="auto" w:frame="1"/>
        </w:rPr>
        <w:t>nadstandardní služby,</w:t>
      </w:r>
      <w:r w:rsidRPr="00FA3667">
        <w:rPr>
          <w:rFonts w:asciiTheme="minorHAnsi" w:hAnsiTheme="minorHAnsi" w:cstheme="minorHAnsi"/>
          <w:sz w:val="22"/>
          <w:szCs w:val="22"/>
        </w:rPr>
        <w:t> jako jsou například </w:t>
      </w:r>
      <w:r w:rsidRPr="00FA3667">
        <w:rPr>
          <w:rStyle w:val="Siln"/>
          <w:rFonts w:asciiTheme="minorHAnsi" w:eastAsiaTheme="majorEastAsia" w:hAnsiTheme="minorHAnsi" w:cstheme="minorHAnsi"/>
          <w:b w:val="0"/>
          <w:sz w:val="22"/>
          <w:szCs w:val="22"/>
          <w:bdr w:val="none" w:sz="0" w:space="0" w:color="auto" w:frame="1"/>
        </w:rPr>
        <w:t>asistenční služby</w:t>
      </w:r>
      <w:r w:rsidRPr="00FA3667">
        <w:rPr>
          <w:rFonts w:asciiTheme="minorHAnsi" w:hAnsiTheme="minorHAnsi" w:cstheme="minorHAnsi"/>
          <w:b/>
          <w:sz w:val="22"/>
          <w:szCs w:val="22"/>
        </w:rPr>
        <w:t>, </w:t>
      </w:r>
      <w:r w:rsidRPr="00FA3667">
        <w:rPr>
          <w:rStyle w:val="Siln"/>
          <w:rFonts w:asciiTheme="minorHAnsi" w:eastAsiaTheme="majorEastAsia" w:hAnsiTheme="minorHAnsi" w:cstheme="minorHAnsi"/>
          <w:b w:val="0"/>
          <w:sz w:val="22"/>
          <w:szCs w:val="22"/>
          <w:bdr w:val="none" w:sz="0" w:space="0" w:color="auto" w:frame="1"/>
        </w:rPr>
        <w:t>slevy</w:t>
      </w:r>
      <w:r w:rsidRPr="00FA3667">
        <w:rPr>
          <w:rFonts w:asciiTheme="minorHAnsi" w:hAnsiTheme="minorHAnsi" w:cstheme="minorHAnsi"/>
          <w:sz w:val="22"/>
          <w:szCs w:val="22"/>
        </w:rPr>
        <w:t xml:space="preserve"> na další produkt pojišťovny či slevy na povinné ručení. </w:t>
      </w:r>
    </w:p>
    <w:p w14:paraId="1FC1D5A2" w14:textId="77777777" w:rsidR="00FE189D" w:rsidRPr="00FA3667" w:rsidRDefault="00FE189D" w:rsidP="00FE189D">
      <w:pPr>
        <w:pStyle w:val="Normlnweb"/>
        <w:shd w:val="clear" w:color="auto" w:fill="FFFFFF"/>
        <w:spacing w:before="0" w:beforeAutospacing="0" w:after="0" w:afterAutospacing="0"/>
        <w:jc w:val="both"/>
        <w:textAlignment w:val="baseline"/>
        <w:rPr>
          <w:rFonts w:asciiTheme="minorHAnsi" w:hAnsiTheme="minorHAnsi" w:cstheme="minorHAnsi"/>
          <w:sz w:val="22"/>
          <w:szCs w:val="22"/>
        </w:rPr>
      </w:pPr>
    </w:p>
    <w:p w14:paraId="6A2D789F" w14:textId="39F19843" w:rsidR="00FE189D" w:rsidRPr="00FA3667" w:rsidRDefault="00FE189D" w:rsidP="00FE189D">
      <w:pPr>
        <w:pStyle w:val="Normlnweb"/>
        <w:shd w:val="clear" w:color="auto" w:fill="FFFFFF"/>
        <w:spacing w:before="0" w:beforeAutospacing="0" w:after="0" w:afterAutospacing="0"/>
        <w:jc w:val="both"/>
        <w:textAlignment w:val="baseline"/>
        <w:rPr>
          <w:rFonts w:asciiTheme="minorHAnsi" w:hAnsiTheme="minorHAnsi" w:cstheme="minorHAnsi"/>
          <w:sz w:val="22"/>
          <w:szCs w:val="22"/>
        </w:rPr>
      </w:pPr>
      <w:r w:rsidRPr="00FA3667">
        <w:rPr>
          <w:rFonts w:asciiTheme="minorHAnsi" w:hAnsiTheme="minorHAnsi" w:cstheme="minorHAnsi"/>
          <w:sz w:val="22"/>
          <w:szCs w:val="22"/>
        </w:rPr>
        <w:t xml:space="preserve">Další možnost představuje služba </w:t>
      </w:r>
      <w:r w:rsidRPr="00FA3667">
        <w:rPr>
          <w:rFonts w:asciiTheme="minorHAnsi" w:hAnsiTheme="minorHAnsi" w:cstheme="minorHAnsi"/>
          <w:noProof/>
          <w:sz w:val="22"/>
          <w:szCs w:val="22"/>
        </w:rPr>
        <w:t>připojištění k povinnému ručení, kte</w:t>
      </w:r>
      <w:r w:rsidR="00CF7691">
        <w:rPr>
          <w:rFonts w:asciiTheme="minorHAnsi" w:hAnsiTheme="minorHAnsi" w:cstheme="minorHAnsi"/>
          <w:noProof/>
          <w:sz w:val="22"/>
          <w:szCs w:val="22"/>
        </w:rPr>
        <w:t>rá sice pojistnou částku zdražuje</w:t>
      </w:r>
      <w:r w:rsidRPr="00FA3667">
        <w:rPr>
          <w:rFonts w:asciiTheme="minorHAnsi" w:hAnsiTheme="minorHAnsi" w:cstheme="minorHAnsi"/>
          <w:noProof/>
          <w:sz w:val="22"/>
          <w:szCs w:val="22"/>
        </w:rPr>
        <w:t>, ve výsledku ale může pojistníkovi výrazně pomoci</w:t>
      </w:r>
      <w:r w:rsidR="00CF7691">
        <w:rPr>
          <w:rFonts w:asciiTheme="minorHAnsi" w:hAnsiTheme="minorHAnsi" w:cstheme="minorHAnsi"/>
          <w:noProof/>
          <w:sz w:val="22"/>
          <w:szCs w:val="22"/>
        </w:rPr>
        <w:t>, pokud je zrovna nucen řešit konkrétní pojistnou událost.</w:t>
      </w:r>
      <w:r w:rsidRPr="00FA3667">
        <w:rPr>
          <w:rFonts w:asciiTheme="minorHAnsi" w:hAnsiTheme="minorHAnsi" w:cstheme="minorHAnsi"/>
          <w:noProof/>
          <w:sz w:val="22"/>
          <w:szCs w:val="22"/>
        </w:rPr>
        <w:t xml:space="preserve"> Řidič si </w:t>
      </w:r>
      <w:r w:rsidR="00CF7691">
        <w:rPr>
          <w:rFonts w:asciiTheme="minorHAnsi" w:hAnsiTheme="minorHAnsi" w:cstheme="minorHAnsi"/>
          <w:noProof/>
          <w:sz w:val="22"/>
          <w:szCs w:val="22"/>
        </w:rPr>
        <w:t xml:space="preserve">tak </w:t>
      </w:r>
      <w:r w:rsidRPr="00FA3667">
        <w:rPr>
          <w:rFonts w:asciiTheme="minorHAnsi" w:hAnsiTheme="minorHAnsi" w:cstheme="minorHAnsi"/>
          <w:noProof/>
          <w:sz w:val="22"/>
          <w:szCs w:val="22"/>
        </w:rPr>
        <w:t xml:space="preserve">může nechat připojistit například skla, která mu hradí </w:t>
      </w:r>
      <w:r w:rsidRPr="00FA3667">
        <w:rPr>
          <w:rFonts w:asciiTheme="minorHAnsi" w:hAnsiTheme="minorHAnsi" w:cstheme="minorHAnsi"/>
          <w:sz w:val="22"/>
          <w:szCs w:val="22"/>
        </w:rPr>
        <w:t xml:space="preserve">náklady na výměnu poškozeného čelního či jiného skla vozu. </w:t>
      </w:r>
    </w:p>
    <w:p w14:paraId="4BB3095D" w14:textId="1D6D20D9" w:rsidR="008C7230" w:rsidRDefault="008C7230" w:rsidP="005B3E4A">
      <w:pPr>
        <w:pBdr>
          <w:bottom w:val="single" w:sz="4" w:space="1" w:color="auto"/>
        </w:pBdr>
        <w:jc w:val="both"/>
        <w:rPr>
          <w:rFonts w:ascii="Arial" w:hAnsi="Arial" w:cs="Arial"/>
          <w:color w:val="000000" w:themeColor="text1"/>
          <w:sz w:val="21"/>
          <w:szCs w:val="21"/>
        </w:rPr>
      </w:pPr>
    </w:p>
    <w:p w14:paraId="3BDF8A87" w14:textId="4FA881DA" w:rsidR="006620C8" w:rsidRPr="00030BBF" w:rsidRDefault="00C86EBC" w:rsidP="005B3E4A">
      <w:pPr>
        <w:spacing w:before="120"/>
        <w:jc w:val="both"/>
        <w:rPr>
          <w:rFonts w:asciiTheme="minorHAnsi" w:hAnsiTheme="minorHAnsi" w:cstheme="minorHAnsi"/>
          <w:color w:val="000000" w:themeColor="text1"/>
        </w:rPr>
      </w:pPr>
      <w:r w:rsidRPr="00030BBF">
        <w:rPr>
          <w:rFonts w:asciiTheme="minorHAnsi" w:hAnsiTheme="minorHAnsi" w:cstheme="minorHAnsi"/>
          <w:color w:val="000000" w:themeColor="text1"/>
        </w:rPr>
        <w:t>POVIndex byl poprvé spuštěn v srpnu roku 2019. Od svého počátku sleduje vývoj nákladů na povinné ručení pro řidiče bez historie, ať už se jedná o nového řidiče, nebo o řidiče, který donedávna užíval služební vozidlo. Broker Consulting POVIndex je počítán odlišnou metodikou, než jako používá ČKP. Pro vizualizaci je zvolena značka vozu Škoda Octavia 1,6 TDI, 85 kW.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p>
    <w:p w14:paraId="5D07F572" w14:textId="68EFA569" w:rsidR="007E0AC1" w:rsidRPr="00030BBF" w:rsidRDefault="005B3DDD" w:rsidP="005B3E4A">
      <w:pPr>
        <w:pStyle w:val="Zkladntext"/>
        <w:spacing w:before="120" w:line="237" w:lineRule="auto"/>
        <w:jc w:val="both"/>
        <w:rPr>
          <w:rFonts w:asciiTheme="minorHAnsi" w:hAnsiTheme="minorHAnsi" w:cstheme="minorHAnsi"/>
        </w:rPr>
      </w:pPr>
      <w:r w:rsidRPr="00030BBF">
        <w:rPr>
          <w:rFonts w:asciiTheme="minorHAnsi" w:hAnsiTheme="minorHAnsi" w:cstheme="minorHAnsi"/>
          <w:b/>
        </w:rPr>
        <w:t>Broker Consulting POVIndex</w:t>
      </w:r>
      <w:r w:rsidR="00C503A0" w:rsidRPr="00030BBF">
        <w:rPr>
          <w:rFonts w:asciiTheme="minorHAnsi" w:hAnsiTheme="minorHAnsi" w:cstheme="minorHAnsi"/>
        </w:rPr>
        <w:t xml:space="preserve"> j</w:t>
      </w:r>
      <w:r w:rsidRPr="00030BBF">
        <w:rPr>
          <w:rFonts w:asciiTheme="minorHAnsi" w:hAnsiTheme="minorHAnsi" w:cstheme="minorHAnsi"/>
        </w:rPr>
        <w:t xml:space="preserve">e založen na odlišné metodice výpočtu, než jakou používá ČKP. Jeho hodnota nevychází z průměru hodnot celé řady veličin, ale z menšího množství parametrů. POVIndex ukazuje průměrnou cenu za typické povinné 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1312ED3D" w14:textId="77777777" w:rsidR="00DE7CE1" w:rsidRDefault="00DE7CE1" w:rsidP="00AD2933">
      <w:pPr>
        <w:pBdr>
          <w:bottom w:val="single" w:sz="4" w:space="0" w:color="auto"/>
        </w:pBdr>
        <w:rPr>
          <w:rFonts w:ascii="Arial" w:hAnsi="Arial" w:cs="Arial"/>
          <w:b/>
          <w:sz w:val="18"/>
          <w:szCs w:val="16"/>
        </w:rPr>
      </w:pPr>
    </w:p>
    <w:p w14:paraId="0572A7E3" w14:textId="6C510BF2" w:rsidR="00356FFC" w:rsidRDefault="00356FFC" w:rsidP="00AD2933">
      <w:pPr>
        <w:pStyle w:val="Zkladntext"/>
        <w:spacing w:before="33" w:line="237" w:lineRule="auto"/>
        <w:rPr>
          <w:rFonts w:ascii="Arial" w:hAnsi="Arial" w:cs="Arial"/>
          <w:b/>
          <w:sz w:val="18"/>
          <w:szCs w:val="18"/>
        </w:rPr>
      </w:pPr>
    </w:p>
    <w:p w14:paraId="549F0D26" w14:textId="72161D24" w:rsidR="000E21D2" w:rsidRPr="00030BBF" w:rsidRDefault="00763554" w:rsidP="00AD2933">
      <w:pPr>
        <w:rPr>
          <w:rFonts w:asciiTheme="minorHAnsi" w:hAnsiTheme="minorHAnsi" w:cstheme="minorHAnsi"/>
        </w:rPr>
      </w:pPr>
      <w:r w:rsidRPr="00030BBF">
        <w:rPr>
          <w:rFonts w:asciiTheme="minorHAnsi" w:hAnsiTheme="minorHAnsi" w:cstheme="minorHAnsi"/>
          <w:b/>
        </w:rPr>
        <w:t>Poznámka pro média:</w:t>
      </w:r>
      <w:r w:rsidRPr="00030BBF">
        <w:rPr>
          <w:rFonts w:asciiTheme="minorHAnsi" w:hAnsiTheme="minorHAnsi" w:cstheme="minorHAnsi"/>
        </w:rPr>
        <w:t xml:space="preserve"> </w:t>
      </w:r>
      <w:r w:rsidRPr="00030BBF">
        <w:rPr>
          <w:rFonts w:asciiTheme="minorHAnsi" w:hAnsiTheme="minorHAnsi" w:cstheme="minorHAnsi"/>
          <w:color w:val="1D1D1B"/>
          <w:w w:val="105"/>
        </w:rPr>
        <w:t>Broker</w:t>
      </w:r>
      <w:r w:rsidRPr="00030BBF">
        <w:rPr>
          <w:rFonts w:asciiTheme="minorHAnsi" w:hAnsiTheme="minorHAnsi" w:cstheme="minorHAnsi"/>
          <w:color w:val="1D1D1B"/>
          <w:spacing w:val="-9"/>
          <w:w w:val="105"/>
        </w:rPr>
        <w:t xml:space="preserve"> </w:t>
      </w:r>
      <w:r w:rsidRPr="00030BBF">
        <w:rPr>
          <w:rFonts w:asciiTheme="minorHAnsi" w:hAnsiTheme="minorHAnsi" w:cstheme="minorHAnsi"/>
          <w:color w:val="1D1D1B"/>
          <w:w w:val="105"/>
        </w:rPr>
        <w:t>Consulting</w:t>
      </w:r>
      <w:r w:rsidRPr="00030BBF">
        <w:rPr>
          <w:rFonts w:asciiTheme="minorHAnsi" w:hAnsiTheme="minorHAnsi" w:cstheme="minorHAnsi"/>
          <w:color w:val="1D1D1B"/>
          <w:spacing w:val="-8"/>
          <w:w w:val="105"/>
        </w:rPr>
        <w:t xml:space="preserve"> </w:t>
      </w:r>
      <w:r w:rsidRPr="00030BBF">
        <w:rPr>
          <w:rFonts w:asciiTheme="minorHAnsi" w:hAnsiTheme="minorHAnsi" w:cstheme="minorHAnsi"/>
          <w:color w:val="1D1D1B"/>
          <w:w w:val="105"/>
        </w:rPr>
        <w:t>Indexy</w:t>
      </w:r>
      <w:r w:rsidRPr="00030BBF">
        <w:rPr>
          <w:rFonts w:asciiTheme="minorHAnsi" w:hAnsiTheme="minorHAnsi" w:cstheme="minorHAnsi"/>
          <w:color w:val="1D1D1B"/>
          <w:spacing w:val="-9"/>
          <w:w w:val="105"/>
        </w:rPr>
        <w:t xml:space="preserve"> </w:t>
      </w:r>
      <w:r w:rsidRPr="00030BBF">
        <w:rPr>
          <w:rFonts w:asciiTheme="minorHAnsi" w:hAnsiTheme="minorHAnsi" w:cstheme="minorHAnsi"/>
          <w:color w:val="1D1D1B"/>
          <w:w w:val="105"/>
        </w:rPr>
        <w:t>je</w:t>
      </w:r>
      <w:r w:rsidRPr="00030BBF">
        <w:rPr>
          <w:rFonts w:asciiTheme="minorHAnsi" w:hAnsiTheme="minorHAnsi" w:cstheme="minorHAnsi"/>
          <w:color w:val="1D1D1B"/>
          <w:spacing w:val="-8"/>
          <w:w w:val="105"/>
        </w:rPr>
        <w:t xml:space="preserve"> </w:t>
      </w:r>
      <w:r w:rsidRPr="00030BBF">
        <w:rPr>
          <w:rFonts w:asciiTheme="minorHAnsi" w:hAnsiTheme="minorHAnsi" w:cstheme="minorHAnsi"/>
          <w:color w:val="1D1D1B"/>
          <w:w w:val="105"/>
        </w:rPr>
        <w:t>možné</w:t>
      </w:r>
      <w:r w:rsidRPr="00030BBF">
        <w:rPr>
          <w:rFonts w:asciiTheme="minorHAnsi" w:hAnsiTheme="minorHAnsi" w:cstheme="minorHAnsi"/>
          <w:color w:val="1D1D1B"/>
          <w:spacing w:val="-9"/>
          <w:w w:val="105"/>
        </w:rPr>
        <w:t xml:space="preserve"> </w:t>
      </w:r>
      <w:r w:rsidRPr="00030BBF">
        <w:rPr>
          <w:rFonts w:asciiTheme="minorHAnsi" w:hAnsiTheme="minorHAnsi" w:cstheme="minorHAnsi"/>
          <w:color w:val="1D1D1B"/>
          <w:w w:val="105"/>
        </w:rPr>
        <w:t>volně</w:t>
      </w:r>
      <w:r w:rsidRPr="00030BBF">
        <w:rPr>
          <w:rFonts w:asciiTheme="minorHAnsi" w:hAnsiTheme="minorHAnsi" w:cstheme="minorHAnsi"/>
          <w:color w:val="1D1D1B"/>
          <w:spacing w:val="-8"/>
          <w:w w:val="105"/>
        </w:rPr>
        <w:t xml:space="preserve"> </w:t>
      </w:r>
      <w:r w:rsidRPr="00030BBF">
        <w:rPr>
          <w:rFonts w:asciiTheme="minorHAnsi" w:hAnsiTheme="minorHAnsi" w:cstheme="minorHAnsi"/>
          <w:color w:val="1D1D1B"/>
          <w:spacing w:val="2"/>
          <w:w w:val="105"/>
        </w:rPr>
        <w:t>publikovat</w:t>
      </w:r>
      <w:r w:rsidRPr="00030BBF">
        <w:rPr>
          <w:rFonts w:asciiTheme="minorHAnsi" w:hAnsiTheme="minorHAnsi" w:cstheme="minorHAnsi"/>
          <w:color w:val="1D1D1B"/>
          <w:spacing w:val="-9"/>
          <w:w w:val="105"/>
        </w:rPr>
        <w:t xml:space="preserve"> </w:t>
      </w:r>
      <w:r w:rsidRPr="00030BBF">
        <w:rPr>
          <w:rFonts w:asciiTheme="minorHAnsi" w:hAnsiTheme="minorHAnsi" w:cstheme="minorHAnsi"/>
          <w:color w:val="1D1D1B"/>
          <w:w w:val="105"/>
        </w:rPr>
        <w:t>pouze</w:t>
      </w:r>
      <w:r w:rsidRPr="00030BBF">
        <w:rPr>
          <w:rFonts w:asciiTheme="minorHAnsi" w:hAnsiTheme="minorHAnsi" w:cstheme="minorHAnsi"/>
          <w:color w:val="1D1D1B"/>
          <w:spacing w:val="-8"/>
          <w:w w:val="105"/>
        </w:rPr>
        <w:t xml:space="preserve"> </w:t>
      </w:r>
      <w:r w:rsidRPr="00030BBF">
        <w:rPr>
          <w:rFonts w:asciiTheme="minorHAnsi" w:hAnsiTheme="minorHAnsi" w:cstheme="minorHAnsi"/>
          <w:color w:val="1D1D1B"/>
          <w:w w:val="105"/>
        </w:rPr>
        <w:t>s</w:t>
      </w:r>
      <w:r w:rsidRPr="00030BBF">
        <w:rPr>
          <w:rFonts w:asciiTheme="minorHAnsi" w:hAnsiTheme="minorHAnsi" w:cstheme="minorHAnsi"/>
          <w:color w:val="1D1D1B"/>
          <w:spacing w:val="-9"/>
          <w:w w:val="105"/>
        </w:rPr>
        <w:t xml:space="preserve"> </w:t>
      </w:r>
      <w:r w:rsidRPr="00030BBF">
        <w:rPr>
          <w:rFonts w:asciiTheme="minorHAnsi" w:hAnsiTheme="minorHAnsi" w:cstheme="minorHAnsi"/>
          <w:color w:val="1D1D1B"/>
          <w:w w:val="105"/>
        </w:rPr>
        <w:t>označením</w:t>
      </w:r>
      <w:r w:rsidRPr="00030BBF">
        <w:rPr>
          <w:rFonts w:asciiTheme="minorHAnsi" w:hAnsiTheme="minorHAnsi" w:cstheme="minorHAnsi"/>
          <w:color w:val="1D1D1B"/>
          <w:spacing w:val="-8"/>
          <w:w w:val="105"/>
        </w:rPr>
        <w:t xml:space="preserve"> </w:t>
      </w:r>
      <w:r w:rsidRPr="00030BBF">
        <w:rPr>
          <w:rFonts w:asciiTheme="minorHAnsi" w:hAnsiTheme="minorHAnsi" w:cstheme="minorHAnsi"/>
          <w:color w:val="1D1D1B"/>
          <w:w w:val="105"/>
        </w:rPr>
        <w:t>„Broker</w:t>
      </w:r>
      <w:r w:rsidRPr="00030BBF">
        <w:rPr>
          <w:rFonts w:asciiTheme="minorHAnsi" w:hAnsiTheme="minorHAnsi" w:cstheme="minorHAnsi"/>
          <w:color w:val="1D1D1B"/>
          <w:spacing w:val="-9"/>
          <w:w w:val="105"/>
        </w:rPr>
        <w:t xml:space="preserve"> </w:t>
      </w:r>
      <w:r w:rsidRPr="00030BBF">
        <w:rPr>
          <w:rFonts w:asciiTheme="minorHAnsi" w:hAnsiTheme="minorHAnsi" w:cstheme="minorHAnsi"/>
          <w:color w:val="1D1D1B"/>
          <w:w w:val="105"/>
        </w:rPr>
        <w:t>Consulting</w:t>
      </w:r>
      <w:r w:rsidRPr="00030BBF">
        <w:rPr>
          <w:rFonts w:asciiTheme="minorHAnsi" w:hAnsiTheme="minorHAnsi" w:cstheme="minorHAnsi"/>
          <w:color w:val="1D1D1B"/>
          <w:spacing w:val="-8"/>
          <w:w w:val="105"/>
        </w:rPr>
        <w:t xml:space="preserve"> </w:t>
      </w:r>
      <w:r w:rsidRPr="00030BBF">
        <w:rPr>
          <w:rFonts w:asciiTheme="minorHAnsi" w:hAnsiTheme="minorHAnsi" w:cstheme="minorHAnsi"/>
          <w:color w:val="1D1D1B"/>
          <w:w w:val="105"/>
        </w:rPr>
        <w:t>Index“</w:t>
      </w:r>
      <w:r w:rsidRPr="00030BBF">
        <w:rPr>
          <w:rFonts w:asciiTheme="minorHAnsi" w:hAnsiTheme="minorHAnsi" w:cstheme="minorHAnsi"/>
          <w:color w:val="1D1D1B"/>
          <w:spacing w:val="-9"/>
          <w:w w:val="105"/>
        </w:rPr>
        <w:t xml:space="preserve"> </w:t>
      </w:r>
      <w:r w:rsidRPr="00030BBF">
        <w:rPr>
          <w:rFonts w:asciiTheme="minorHAnsi" w:hAnsiTheme="minorHAnsi" w:cstheme="minorHAnsi"/>
          <w:color w:val="1D1D1B"/>
          <w:spacing w:val="-3"/>
          <w:w w:val="105"/>
        </w:rPr>
        <w:t>(</w:t>
      </w:r>
      <w:r w:rsidRPr="00030BBF">
        <w:rPr>
          <w:rFonts w:asciiTheme="minorHAnsi" w:hAnsiTheme="minorHAnsi" w:cstheme="minorHAnsi"/>
          <w:i/>
          <w:color w:val="1D1D1B"/>
          <w:spacing w:val="-3"/>
          <w:w w:val="105"/>
        </w:rPr>
        <w:t>např.</w:t>
      </w:r>
      <w:r w:rsidRPr="00030BBF">
        <w:rPr>
          <w:rFonts w:asciiTheme="minorHAnsi" w:hAnsiTheme="minorHAnsi" w:cstheme="minorHAnsi"/>
          <w:i/>
          <w:color w:val="1D1D1B"/>
          <w:spacing w:val="-8"/>
          <w:w w:val="105"/>
        </w:rPr>
        <w:t xml:space="preserve"> </w:t>
      </w:r>
      <w:r w:rsidRPr="00030BBF">
        <w:rPr>
          <w:rFonts w:asciiTheme="minorHAnsi" w:hAnsiTheme="minorHAnsi" w:cstheme="minorHAnsi"/>
          <w:i/>
          <w:color w:val="1D1D1B"/>
          <w:w w:val="105"/>
        </w:rPr>
        <w:t>Broker</w:t>
      </w:r>
      <w:r w:rsidRPr="00030BBF">
        <w:rPr>
          <w:rFonts w:asciiTheme="minorHAnsi" w:hAnsiTheme="minorHAnsi" w:cstheme="minorHAnsi"/>
          <w:i/>
          <w:color w:val="1D1D1B"/>
          <w:spacing w:val="-9"/>
          <w:w w:val="105"/>
        </w:rPr>
        <w:t xml:space="preserve"> </w:t>
      </w:r>
      <w:r w:rsidRPr="00030BBF">
        <w:rPr>
          <w:rFonts w:asciiTheme="minorHAnsi" w:hAnsiTheme="minorHAnsi" w:cstheme="minorHAnsi"/>
          <w:i/>
          <w:color w:val="1D1D1B"/>
          <w:w w:val="105"/>
        </w:rPr>
        <w:t>Consulting</w:t>
      </w:r>
      <w:r w:rsidRPr="00030BBF">
        <w:rPr>
          <w:rFonts w:asciiTheme="minorHAnsi" w:hAnsiTheme="minorHAnsi" w:cstheme="minorHAnsi"/>
          <w:i/>
          <w:color w:val="1D1D1B"/>
          <w:spacing w:val="-8"/>
          <w:w w:val="105"/>
        </w:rPr>
        <w:t xml:space="preserve"> </w:t>
      </w:r>
      <w:r w:rsidRPr="00030BBF">
        <w:rPr>
          <w:rFonts w:asciiTheme="minorHAnsi" w:hAnsiTheme="minorHAnsi" w:cstheme="minorHAnsi"/>
          <w:i/>
          <w:color w:val="1D1D1B"/>
          <w:w w:val="105"/>
        </w:rPr>
        <w:t xml:space="preserve">Index hypotečních úvěrů). Více informací najdete též na webu </w:t>
      </w:r>
      <w:r w:rsidRPr="00030BBF">
        <w:rPr>
          <w:rStyle w:val="Hypertextovodkaz"/>
          <w:rFonts w:asciiTheme="minorHAnsi" w:hAnsiTheme="minorHAnsi" w:cstheme="minorHAnsi"/>
          <w:i/>
          <w:w w:val="105"/>
        </w:rPr>
        <w:t>https://www.bcas.cz/onas/pro-media/</w:t>
      </w:r>
      <w:r w:rsidRPr="00030BBF">
        <w:rPr>
          <w:rFonts w:asciiTheme="minorHAnsi" w:hAnsiTheme="minorHAnsi" w:cstheme="minorHAnsi"/>
          <w:i/>
          <w:color w:val="1D1D1B"/>
          <w:w w:val="105"/>
        </w:rPr>
        <w:t xml:space="preserve">. </w:t>
      </w:r>
    </w:p>
    <w:p w14:paraId="43CFEAAA" w14:textId="77777777" w:rsidR="000E21D2" w:rsidRPr="00030BBF" w:rsidRDefault="000E21D2" w:rsidP="00DE7CE1">
      <w:pPr>
        <w:pStyle w:val="Bezmezer"/>
        <w:rPr>
          <w:rFonts w:eastAsia="F015TEELig" w:cstheme="minorHAnsi"/>
          <w:b/>
        </w:rPr>
      </w:pPr>
    </w:p>
    <w:p w14:paraId="7966D3DF" w14:textId="74C850C7" w:rsidR="00DE7CE1" w:rsidRPr="00030BBF" w:rsidRDefault="00866220" w:rsidP="00DE7CE1">
      <w:pPr>
        <w:pStyle w:val="Bezmezer"/>
        <w:rPr>
          <w:rFonts w:eastAsia="F015TEELig" w:cstheme="minorHAnsi"/>
          <w:b/>
        </w:rPr>
      </w:pPr>
      <w:r w:rsidRPr="00030BBF">
        <w:rPr>
          <w:rFonts w:eastAsia="F015TEELig" w:cstheme="minorHAnsi"/>
          <w:b/>
        </w:rPr>
        <w:t>Kontakt pro média:</w:t>
      </w:r>
    </w:p>
    <w:p w14:paraId="2ACFC1DB" w14:textId="7D8BE6BA" w:rsidR="00DE7CE1" w:rsidRPr="00030BBF" w:rsidRDefault="00236B96" w:rsidP="00DE7CE1">
      <w:pPr>
        <w:pStyle w:val="Bezmezer"/>
        <w:rPr>
          <w:rFonts w:eastAsia="F015TEELig" w:cstheme="minorHAnsi"/>
        </w:rPr>
      </w:pPr>
      <w:r w:rsidRPr="00030BBF">
        <w:rPr>
          <w:rFonts w:eastAsia="F015TEELig" w:cstheme="minorHAnsi"/>
        </w:rPr>
        <w:t>Michaela Sahulová</w:t>
      </w:r>
    </w:p>
    <w:p w14:paraId="3373094C" w14:textId="6E64C468" w:rsidR="00866220" w:rsidRPr="00030BBF" w:rsidRDefault="00866220" w:rsidP="00DE7CE1">
      <w:pPr>
        <w:pStyle w:val="Bezmezer"/>
        <w:rPr>
          <w:rFonts w:eastAsia="F015TEELig" w:cstheme="minorHAnsi"/>
        </w:rPr>
      </w:pPr>
      <w:r w:rsidRPr="00030BBF">
        <w:rPr>
          <w:rFonts w:eastAsia="F015TEELig" w:cstheme="minorHAnsi"/>
        </w:rPr>
        <w:t>Specialistka PR a externí komunikace</w:t>
      </w:r>
    </w:p>
    <w:p w14:paraId="6FC0F9F5" w14:textId="6D2D4AC2" w:rsidR="004C7BB5" w:rsidRPr="005B3E4A" w:rsidRDefault="00236B96" w:rsidP="00A1017F">
      <w:pPr>
        <w:pStyle w:val="Bezmezer"/>
        <w:rPr>
          <w:rFonts w:eastAsia="F015TEELig" w:cstheme="minorHAnsi"/>
        </w:rPr>
      </w:pPr>
      <w:r w:rsidRPr="00030BBF">
        <w:rPr>
          <w:rFonts w:eastAsia="F015TEELig" w:cstheme="minorHAnsi"/>
        </w:rPr>
        <w:t>Mobil: +420 731 538</w:t>
      </w:r>
      <w:r w:rsidR="005B3E4A">
        <w:rPr>
          <w:rFonts w:eastAsia="F015TEELig" w:cstheme="minorHAnsi"/>
        </w:rPr>
        <w:t> </w:t>
      </w:r>
      <w:r w:rsidRPr="00030BBF">
        <w:rPr>
          <w:rFonts w:eastAsia="F015TEELig" w:cstheme="minorHAnsi"/>
        </w:rPr>
        <w:t>373</w:t>
      </w:r>
      <w:r w:rsidR="005B3E4A">
        <w:rPr>
          <w:rFonts w:eastAsia="F015TEELig" w:cstheme="minorHAnsi"/>
        </w:rPr>
        <w:t>, e</w:t>
      </w:r>
      <w:r w:rsidR="00866220" w:rsidRPr="00030BBF">
        <w:rPr>
          <w:rFonts w:eastAsia="F015TEELig" w:cstheme="minorHAnsi"/>
        </w:rPr>
        <w:t>-mail:</w:t>
      </w:r>
      <w:r w:rsidR="00866220" w:rsidRPr="00030BBF">
        <w:rPr>
          <w:rFonts w:eastAsia="Calibri" w:cstheme="minorHAnsi"/>
          <w:noProof/>
        </w:rPr>
        <w:t xml:space="preserve"> </w:t>
      </w:r>
      <w:hyperlink r:id="rId17" w:history="1">
        <w:r w:rsidR="005B3DDD" w:rsidRPr="00030BBF">
          <w:rPr>
            <w:rStyle w:val="Hypertextovodkaz"/>
            <w:rFonts w:eastAsia="Calibri" w:cstheme="minorHAnsi"/>
            <w:noProof/>
          </w:rPr>
          <w:t>michaela.sahulova@bcas.cz</w:t>
        </w:r>
      </w:hyperlink>
      <w:r w:rsidR="00866220" w:rsidRPr="00030BBF">
        <w:rPr>
          <w:rFonts w:eastAsia="Calibri" w:cstheme="minorHAnsi"/>
          <w:noProof/>
        </w:rPr>
        <w:t xml:space="preserve"> </w:t>
      </w:r>
    </w:p>
    <w:sectPr w:rsidR="004C7BB5" w:rsidRPr="005B3E4A" w:rsidSect="006B54C7">
      <w:headerReference w:type="default" r:id="rId18"/>
      <w:footerReference w:type="default" r:id="rId19"/>
      <w:headerReference w:type="first" r:id="rId20"/>
      <w:footerReference w:type="first" r:id="rId21"/>
      <w:type w:val="continuous"/>
      <w:pgSz w:w="11910" w:h="16840"/>
      <w:pgMar w:top="1985" w:right="711" w:bottom="2410" w:left="720"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DFC32" w14:textId="77777777" w:rsidR="008F08DD" w:rsidRDefault="008F08DD">
      <w:r>
        <w:separator/>
      </w:r>
    </w:p>
  </w:endnote>
  <w:endnote w:type="continuationSeparator" w:id="0">
    <w:p w14:paraId="57011DF0" w14:textId="77777777" w:rsidR="008F08DD" w:rsidRDefault="008F0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367749"/>
      <w:docPartObj>
        <w:docPartGallery w:val="Page Numbers (Bottom of Page)"/>
        <w:docPartUnique/>
      </w:docPartObj>
    </w:sdtPr>
    <w:sdtEndPr/>
    <w:sdtContent>
      <w:p w14:paraId="3298633F" w14:textId="1FBB2B74" w:rsidR="006B54C7" w:rsidRPr="006B54C7" w:rsidRDefault="006B54C7">
        <w:pPr>
          <w:pStyle w:val="Zpat"/>
          <w:jc w:val="center"/>
          <w:rPr>
            <w:rFonts w:asciiTheme="minorHAnsi" w:hAnsiTheme="minorHAnsi" w:cstheme="minorHAnsi"/>
            <w:sz w:val="20"/>
            <w:szCs w:val="20"/>
          </w:rPr>
        </w:pPr>
        <w:r w:rsidRPr="006B54C7">
          <w:rPr>
            <w:rFonts w:asciiTheme="minorHAnsi" w:hAnsiTheme="minorHAnsi" w:cstheme="minorHAnsi"/>
            <w:sz w:val="20"/>
            <w:szCs w:val="20"/>
          </w:rPr>
          <w:fldChar w:fldCharType="begin"/>
        </w:r>
        <w:r w:rsidRPr="006B54C7">
          <w:rPr>
            <w:rFonts w:asciiTheme="minorHAnsi" w:hAnsiTheme="minorHAnsi" w:cstheme="minorHAnsi"/>
            <w:sz w:val="20"/>
            <w:szCs w:val="20"/>
          </w:rPr>
          <w:instrText>PAGE   \* MERGEFORMAT</w:instrText>
        </w:r>
        <w:r w:rsidRPr="006B54C7">
          <w:rPr>
            <w:rFonts w:asciiTheme="minorHAnsi" w:hAnsiTheme="minorHAnsi" w:cstheme="minorHAnsi"/>
            <w:sz w:val="20"/>
            <w:szCs w:val="20"/>
          </w:rPr>
          <w:fldChar w:fldCharType="separate"/>
        </w:r>
        <w:r w:rsidR="009F7C57">
          <w:rPr>
            <w:rFonts w:asciiTheme="minorHAnsi" w:hAnsiTheme="minorHAnsi" w:cstheme="minorHAnsi"/>
            <w:noProof/>
            <w:sz w:val="20"/>
            <w:szCs w:val="20"/>
          </w:rPr>
          <w:t>3</w:t>
        </w:r>
        <w:r w:rsidRPr="006B54C7">
          <w:rPr>
            <w:rFonts w:asciiTheme="minorHAnsi" w:hAnsiTheme="minorHAnsi" w:cstheme="minorHAnsi"/>
            <w:sz w:val="20"/>
            <w:szCs w:val="20"/>
          </w:rPr>
          <w:fldChar w:fldCharType="end"/>
        </w:r>
        <w:r w:rsidRPr="006B54C7">
          <w:rPr>
            <w:rFonts w:asciiTheme="minorHAnsi" w:hAnsiTheme="minorHAnsi" w:cstheme="minorHAnsi"/>
            <w:sz w:val="20"/>
            <w:szCs w:val="20"/>
          </w:rPr>
          <w:t>/3</w:t>
        </w:r>
      </w:p>
      <w:p w14:paraId="5AF2E761" w14:textId="77777777" w:rsidR="006B54C7" w:rsidRDefault="006B54C7">
        <w:pPr>
          <w:pStyle w:val="Zpat"/>
          <w:jc w:val="center"/>
        </w:pPr>
      </w:p>
      <w:p w14:paraId="21AECC00" w14:textId="52E0DABD" w:rsidR="006B54C7" w:rsidRDefault="008F08DD">
        <w:pPr>
          <w:pStyle w:val="Zpat"/>
          <w:jc w:val="center"/>
        </w:pPr>
      </w:p>
    </w:sdtContent>
  </w:sdt>
  <w:p w14:paraId="43F5299E" w14:textId="77777777" w:rsidR="00D31127" w:rsidRDefault="00D31127">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14BEE" w14:textId="77777777" w:rsidR="008F08DD" w:rsidRDefault="008F08DD">
      <w:r>
        <w:separator/>
      </w:r>
    </w:p>
  </w:footnote>
  <w:footnote w:type="continuationSeparator" w:id="0">
    <w:p w14:paraId="540317B0" w14:textId="77777777" w:rsidR="008F08DD" w:rsidRDefault="008F08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C8584A" w:rsidRDefault="00B65A3B" w:rsidP="00B65A3B">
    <w:pPr>
      <w:pStyle w:val="Nadpis2"/>
      <w:ind w:left="1440" w:firstLine="720"/>
      <w:rPr>
        <w:rFonts w:asciiTheme="minorHAnsi" w:hAnsiTheme="minorHAnsi" w:cstheme="minorHAnsi"/>
      </w:rPr>
    </w:pPr>
    <w:r w:rsidRPr="00C8584A">
      <w:rPr>
        <w:rFonts w:asciiTheme="minorHAnsi" w:hAnsiTheme="minorHAnsi" w:cstheme="minorHAnsi"/>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C8584A">
      <w:rPr>
        <w:rFonts w:asciiTheme="minorHAnsi" w:hAnsiTheme="minorHAnsi" w:cstheme="minorHAnsi"/>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C8584A">
      <w:rPr>
        <w:rFonts w:asciiTheme="minorHAnsi" w:hAnsiTheme="minorHAnsi" w:cstheme="minorHAnsi"/>
        <w:color w:val="1D1D1B"/>
      </w:rPr>
      <w:t>BROKER CONSULTING</w:t>
    </w:r>
  </w:p>
  <w:p w14:paraId="28C96E50" w14:textId="013FC64A" w:rsidR="00B65A3B" w:rsidRPr="00C8584A" w:rsidRDefault="00AF0BE0" w:rsidP="00B65A3B">
    <w:pPr>
      <w:spacing w:before="85"/>
      <w:ind w:left="1440" w:firstLine="720"/>
      <w:rPr>
        <w:rFonts w:asciiTheme="minorHAnsi" w:hAnsiTheme="minorHAnsi" w:cstheme="minorHAnsi"/>
        <w:sz w:val="28"/>
        <w:szCs w:val="28"/>
      </w:rPr>
    </w:pPr>
    <w:r w:rsidRPr="00C8584A">
      <w:rPr>
        <w:rFonts w:asciiTheme="minorHAnsi" w:hAnsiTheme="minorHAnsi" w:cstheme="minorHAnsi"/>
        <w:color w:val="E52713"/>
        <w:sz w:val="28"/>
        <w:szCs w:val="28"/>
      </w:rPr>
      <w:t>POV</w:t>
    </w:r>
    <w:r w:rsidR="00B65A3B" w:rsidRPr="00C8584A">
      <w:rPr>
        <w:rFonts w:asciiTheme="minorHAnsi" w:hAnsiTheme="minorHAnsi" w:cstheme="minorHAnsi"/>
        <w:color w:val="E52713"/>
        <w:sz w:val="28"/>
        <w:szCs w:val="28"/>
      </w:rPr>
      <w:t xml:space="preserve">INDEX </w:t>
    </w:r>
  </w:p>
  <w:p w14:paraId="5006E230" w14:textId="77777777" w:rsidR="00C8584A" w:rsidRDefault="00C8584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3"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3"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4"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
  </w:num>
  <w:num w:numId="3">
    <w:abstractNumId w:val="16"/>
  </w:num>
  <w:num w:numId="4">
    <w:abstractNumId w:val="5"/>
  </w:num>
  <w:num w:numId="5">
    <w:abstractNumId w:val="0"/>
  </w:num>
  <w:num w:numId="6">
    <w:abstractNumId w:val="17"/>
  </w:num>
  <w:num w:numId="7">
    <w:abstractNumId w:val="11"/>
  </w:num>
  <w:num w:numId="8">
    <w:abstractNumId w:val="10"/>
  </w:num>
  <w:num w:numId="9">
    <w:abstractNumId w:val="7"/>
  </w:num>
  <w:num w:numId="10">
    <w:abstractNumId w:val="9"/>
  </w:num>
  <w:num w:numId="11">
    <w:abstractNumId w:val="6"/>
  </w:num>
  <w:num w:numId="12">
    <w:abstractNumId w:val="3"/>
  </w:num>
  <w:num w:numId="13">
    <w:abstractNumId w:val="14"/>
  </w:num>
  <w:num w:numId="14">
    <w:abstractNumId w:val="19"/>
  </w:num>
  <w:num w:numId="15">
    <w:abstractNumId w:val="1"/>
  </w:num>
  <w:num w:numId="16">
    <w:abstractNumId w:val="13"/>
  </w:num>
  <w:num w:numId="17">
    <w:abstractNumId w:val="4"/>
  </w:num>
  <w:num w:numId="18">
    <w:abstractNumId w:val="8"/>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0D4"/>
    <w:rsid w:val="000052D9"/>
    <w:rsid w:val="00005EF0"/>
    <w:rsid w:val="00005FCB"/>
    <w:rsid w:val="00010812"/>
    <w:rsid w:val="000118E9"/>
    <w:rsid w:val="00014A3B"/>
    <w:rsid w:val="000153FB"/>
    <w:rsid w:val="00015694"/>
    <w:rsid w:val="0002531C"/>
    <w:rsid w:val="00025983"/>
    <w:rsid w:val="000262FD"/>
    <w:rsid w:val="00026F23"/>
    <w:rsid w:val="00030BBF"/>
    <w:rsid w:val="00031C6E"/>
    <w:rsid w:val="00032AD6"/>
    <w:rsid w:val="00032D94"/>
    <w:rsid w:val="000374D7"/>
    <w:rsid w:val="0004010D"/>
    <w:rsid w:val="00041008"/>
    <w:rsid w:val="0004360D"/>
    <w:rsid w:val="000504BA"/>
    <w:rsid w:val="0005423A"/>
    <w:rsid w:val="00055470"/>
    <w:rsid w:val="00056BB7"/>
    <w:rsid w:val="00062E18"/>
    <w:rsid w:val="00066A72"/>
    <w:rsid w:val="00067BA6"/>
    <w:rsid w:val="000705A5"/>
    <w:rsid w:val="00070D3C"/>
    <w:rsid w:val="0007198D"/>
    <w:rsid w:val="0007340D"/>
    <w:rsid w:val="00073462"/>
    <w:rsid w:val="00076845"/>
    <w:rsid w:val="00076C44"/>
    <w:rsid w:val="00077CC7"/>
    <w:rsid w:val="000866C0"/>
    <w:rsid w:val="00087D87"/>
    <w:rsid w:val="00090F2A"/>
    <w:rsid w:val="00091509"/>
    <w:rsid w:val="00094F77"/>
    <w:rsid w:val="00096AE4"/>
    <w:rsid w:val="000A06EA"/>
    <w:rsid w:val="000A170E"/>
    <w:rsid w:val="000A51D0"/>
    <w:rsid w:val="000A6FB0"/>
    <w:rsid w:val="000C1AB4"/>
    <w:rsid w:val="000C32B0"/>
    <w:rsid w:val="000C351D"/>
    <w:rsid w:val="000C38CB"/>
    <w:rsid w:val="000C3C4C"/>
    <w:rsid w:val="000C53D6"/>
    <w:rsid w:val="000C7119"/>
    <w:rsid w:val="000C74BD"/>
    <w:rsid w:val="000D11FB"/>
    <w:rsid w:val="000D133F"/>
    <w:rsid w:val="000D2044"/>
    <w:rsid w:val="000D2DDE"/>
    <w:rsid w:val="000D333C"/>
    <w:rsid w:val="000D6870"/>
    <w:rsid w:val="000E21D2"/>
    <w:rsid w:val="000E286C"/>
    <w:rsid w:val="000F1935"/>
    <w:rsid w:val="000F47AE"/>
    <w:rsid w:val="000F56EF"/>
    <w:rsid w:val="000F6249"/>
    <w:rsid w:val="000F6368"/>
    <w:rsid w:val="00100869"/>
    <w:rsid w:val="0010426A"/>
    <w:rsid w:val="00104FCB"/>
    <w:rsid w:val="00106651"/>
    <w:rsid w:val="00107E00"/>
    <w:rsid w:val="00112F65"/>
    <w:rsid w:val="00114392"/>
    <w:rsid w:val="00114D2B"/>
    <w:rsid w:val="00114D66"/>
    <w:rsid w:val="00114E09"/>
    <w:rsid w:val="00115CF8"/>
    <w:rsid w:val="00116173"/>
    <w:rsid w:val="00116A29"/>
    <w:rsid w:val="00117988"/>
    <w:rsid w:val="0012132F"/>
    <w:rsid w:val="0012713E"/>
    <w:rsid w:val="0013044E"/>
    <w:rsid w:val="00131F7B"/>
    <w:rsid w:val="0013512D"/>
    <w:rsid w:val="00136D21"/>
    <w:rsid w:val="00137003"/>
    <w:rsid w:val="00137E3C"/>
    <w:rsid w:val="00141303"/>
    <w:rsid w:val="001434CE"/>
    <w:rsid w:val="0014388A"/>
    <w:rsid w:val="001449CB"/>
    <w:rsid w:val="00146956"/>
    <w:rsid w:val="00150500"/>
    <w:rsid w:val="00152185"/>
    <w:rsid w:val="00152EDC"/>
    <w:rsid w:val="00153161"/>
    <w:rsid w:val="001550BD"/>
    <w:rsid w:val="00155667"/>
    <w:rsid w:val="00160060"/>
    <w:rsid w:val="001603AF"/>
    <w:rsid w:val="00164219"/>
    <w:rsid w:val="001722EA"/>
    <w:rsid w:val="00173C9F"/>
    <w:rsid w:val="00174394"/>
    <w:rsid w:val="0017797E"/>
    <w:rsid w:val="00177E6B"/>
    <w:rsid w:val="0018139F"/>
    <w:rsid w:val="00181E9B"/>
    <w:rsid w:val="001844F8"/>
    <w:rsid w:val="00186E95"/>
    <w:rsid w:val="00190C04"/>
    <w:rsid w:val="00193B5D"/>
    <w:rsid w:val="00194628"/>
    <w:rsid w:val="00194A47"/>
    <w:rsid w:val="00197408"/>
    <w:rsid w:val="00197AF4"/>
    <w:rsid w:val="00197DE5"/>
    <w:rsid w:val="001A210B"/>
    <w:rsid w:val="001A4DDB"/>
    <w:rsid w:val="001A54DD"/>
    <w:rsid w:val="001B195D"/>
    <w:rsid w:val="001B1C05"/>
    <w:rsid w:val="001B4EE4"/>
    <w:rsid w:val="001B5A35"/>
    <w:rsid w:val="001B5D34"/>
    <w:rsid w:val="001B79AC"/>
    <w:rsid w:val="001C4A67"/>
    <w:rsid w:val="001D3C90"/>
    <w:rsid w:val="001E265F"/>
    <w:rsid w:val="001E2B55"/>
    <w:rsid w:val="001E68DE"/>
    <w:rsid w:val="00200F89"/>
    <w:rsid w:val="00202BE8"/>
    <w:rsid w:val="002108A4"/>
    <w:rsid w:val="00211C5C"/>
    <w:rsid w:val="00214949"/>
    <w:rsid w:val="00214E98"/>
    <w:rsid w:val="00215EF1"/>
    <w:rsid w:val="00215FFE"/>
    <w:rsid w:val="002174D5"/>
    <w:rsid w:val="0022642E"/>
    <w:rsid w:val="002333DA"/>
    <w:rsid w:val="0023472C"/>
    <w:rsid w:val="00235828"/>
    <w:rsid w:val="00236B96"/>
    <w:rsid w:val="00237068"/>
    <w:rsid w:val="00237D4E"/>
    <w:rsid w:val="00240BAE"/>
    <w:rsid w:val="00241313"/>
    <w:rsid w:val="00242251"/>
    <w:rsid w:val="002506AD"/>
    <w:rsid w:val="0025264B"/>
    <w:rsid w:val="0025408A"/>
    <w:rsid w:val="002555B1"/>
    <w:rsid w:val="00255E96"/>
    <w:rsid w:val="00255FAB"/>
    <w:rsid w:val="002609B2"/>
    <w:rsid w:val="00261C33"/>
    <w:rsid w:val="00261EE7"/>
    <w:rsid w:val="002636B1"/>
    <w:rsid w:val="002665EC"/>
    <w:rsid w:val="00267A14"/>
    <w:rsid w:val="00267AB1"/>
    <w:rsid w:val="00267F28"/>
    <w:rsid w:val="00270DB3"/>
    <w:rsid w:val="00275325"/>
    <w:rsid w:val="0028080D"/>
    <w:rsid w:val="002812A1"/>
    <w:rsid w:val="0028211A"/>
    <w:rsid w:val="002912BF"/>
    <w:rsid w:val="002928FF"/>
    <w:rsid w:val="0029552F"/>
    <w:rsid w:val="00295CB7"/>
    <w:rsid w:val="00295DB6"/>
    <w:rsid w:val="0029614B"/>
    <w:rsid w:val="002A2FB9"/>
    <w:rsid w:val="002A7348"/>
    <w:rsid w:val="002A7AE9"/>
    <w:rsid w:val="002B053B"/>
    <w:rsid w:val="002B3EE0"/>
    <w:rsid w:val="002B5B4B"/>
    <w:rsid w:val="002B6A48"/>
    <w:rsid w:val="002C635D"/>
    <w:rsid w:val="002D5492"/>
    <w:rsid w:val="002E2785"/>
    <w:rsid w:val="002E27C5"/>
    <w:rsid w:val="002E2F8E"/>
    <w:rsid w:val="002F0335"/>
    <w:rsid w:val="002F0C79"/>
    <w:rsid w:val="002F5A42"/>
    <w:rsid w:val="002F5A56"/>
    <w:rsid w:val="002F6814"/>
    <w:rsid w:val="002F68D1"/>
    <w:rsid w:val="00302AE6"/>
    <w:rsid w:val="00303223"/>
    <w:rsid w:val="00303C85"/>
    <w:rsid w:val="0030477F"/>
    <w:rsid w:val="00305EA9"/>
    <w:rsid w:val="00307CEB"/>
    <w:rsid w:val="00307D0F"/>
    <w:rsid w:val="00312311"/>
    <w:rsid w:val="003128F8"/>
    <w:rsid w:val="003203FF"/>
    <w:rsid w:val="0032274C"/>
    <w:rsid w:val="00322BE1"/>
    <w:rsid w:val="00325CD8"/>
    <w:rsid w:val="00326268"/>
    <w:rsid w:val="00330918"/>
    <w:rsid w:val="0033104C"/>
    <w:rsid w:val="003404F4"/>
    <w:rsid w:val="00341A59"/>
    <w:rsid w:val="003428A4"/>
    <w:rsid w:val="003473B3"/>
    <w:rsid w:val="00347557"/>
    <w:rsid w:val="003504FD"/>
    <w:rsid w:val="00352433"/>
    <w:rsid w:val="0035286E"/>
    <w:rsid w:val="00352D61"/>
    <w:rsid w:val="00354DBF"/>
    <w:rsid w:val="00356FFC"/>
    <w:rsid w:val="00363124"/>
    <w:rsid w:val="00375451"/>
    <w:rsid w:val="00375CF7"/>
    <w:rsid w:val="00381F5F"/>
    <w:rsid w:val="003830B5"/>
    <w:rsid w:val="00390304"/>
    <w:rsid w:val="0039102F"/>
    <w:rsid w:val="0039395A"/>
    <w:rsid w:val="00395524"/>
    <w:rsid w:val="00397D4B"/>
    <w:rsid w:val="003A4180"/>
    <w:rsid w:val="003A7C59"/>
    <w:rsid w:val="003A7C9A"/>
    <w:rsid w:val="003B08AC"/>
    <w:rsid w:val="003B4B9E"/>
    <w:rsid w:val="003B54D9"/>
    <w:rsid w:val="003B7BFE"/>
    <w:rsid w:val="003C4D4B"/>
    <w:rsid w:val="003D03A6"/>
    <w:rsid w:val="003D07A2"/>
    <w:rsid w:val="003D2590"/>
    <w:rsid w:val="003D2CAC"/>
    <w:rsid w:val="003D386F"/>
    <w:rsid w:val="003D43DB"/>
    <w:rsid w:val="003D4C73"/>
    <w:rsid w:val="003D556B"/>
    <w:rsid w:val="003D653E"/>
    <w:rsid w:val="003E2ADC"/>
    <w:rsid w:val="003F38E5"/>
    <w:rsid w:val="003F73C3"/>
    <w:rsid w:val="00401210"/>
    <w:rsid w:val="00404CDA"/>
    <w:rsid w:val="00410BF5"/>
    <w:rsid w:val="0041222E"/>
    <w:rsid w:val="0041224F"/>
    <w:rsid w:val="004130A2"/>
    <w:rsid w:val="0041452A"/>
    <w:rsid w:val="00415BA7"/>
    <w:rsid w:val="00416F40"/>
    <w:rsid w:val="00417E36"/>
    <w:rsid w:val="00422B4E"/>
    <w:rsid w:val="0042312B"/>
    <w:rsid w:val="00423F48"/>
    <w:rsid w:val="0042625B"/>
    <w:rsid w:val="0043207C"/>
    <w:rsid w:val="0043263D"/>
    <w:rsid w:val="004336FA"/>
    <w:rsid w:val="004349B6"/>
    <w:rsid w:val="00436FD5"/>
    <w:rsid w:val="00437639"/>
    <w:rsid w:val="004413A6"/>
    <w:rsid w:val="00444BB9"/>
    <w:rsid w:val="00445D0A"/>
    <w:rsid w:val="00447E56"/>
    <w:rsid w:val="00453482"/>
    <w:rsid w:val="00453CFE"/>
    <w:rsid w:val="00457E45"/>
    <w:rsid w:val="00463570"/>
    <w:rsid w:val="00467207"/>
    <w:rsid w:val="0047109D"/>
    <w:rsid w:val="00476C23"/>
    <w:rsid w:val="004809C7"/>
    <w:rsid w:val="00483A48"/>
    <w:rsid w:val="0048779A"/>
    <w:rsid w:val="00493430"/>
    <w:rsid w:val="00495519"/>
    <w:rsid w:val="00496EFA"/>
    <w:rsid w:val="004A245D"/>
    <w:rsid w:val="004A2E7A"/>
    <w:rsid w:val="004A3A91"/>
    <w:rsid w:val="004A557B"/>
    <w:rsid w:val="004B4992"/>
    <w:rsid w:val="004B6687"/>
    <w:rsid w:val="004B73DC"/>
    <w:rsid w:val="004C3C0D"/>
    <w:rsid w:val="004C4033"/>
    <w:rsid w:val="004C5C61"/>
    <w:rsid w:val="004C6594"/>
    <w:rsid w:val="004C7507"/>
    <w:rsid w:val="004C798D"/>
    <w:rsid w:val="004C7BB5"/>
    <w:rsid w:val="004D4111"/>
    <w:rsid w:val="004D52BD"/>
    <w:rsid w:val="004E1108"/>
    <w:rsid w:val="004E207F"/>
    <w:rsid w:val="004E3877"/>
    <w:rsid w:val="004E4203"/>
    <w:rsid w:val="004E42A8"/>
    <w:rsid w:val="004F0D7B"/>
    <w:rsid w:val="004F0DC0"/>
    <w:rsid w:val="004F2548"/>
    <w:rsid w:val="004F43C7"/>
    <w:rsid w:val="004F5CC5"/>
    <w:rsid w:val="004F63FD"/>
    <w:rsid w:val="0050130C"/>
    <w:rsid w:val="005039B0"/>
    <w:rsid w:val="005058FE"/>
    <w:rsid w:val="00507696"/>
    <w:rsid w:val="005154F9"/>
    <w:rsid w:val="00520EA0"/>
    <w:rsid w:val="00523BD9"/>
    <w:rsid w:val="0052748B"/>
    <w:rsid w:val="005336E7"/>
    <w:rsid w:val="00543BFB"/>
    <w:rsid w:val="00543F98"/>
    <w:rsid w:val="00544F68"/>
    <w:rsid w:val="00547816"/>
    <w:rsid w:val="00552CC5"/>
    <w:rsid w:val="005546DD"/>
    <w:rsid w:val="005613E9"/>
    <w:rsid w:val="00561757"/>
    <w:rsid w:val="00562CA8"/>
    <w:rsid w:val="00562DBA"/>
    <w:rsid w:val="00567402"/>
    <w:rsid w:val="005733BD"/>
    <w:rsid w:val="0057359A"/>
    <w:rsid w:val="00576552"/>
    <w:rsid w:val="005773EE"/>
    <w:rsid w:val="00580B4C"/>
    <w:rsid w:val="00580D50"/>
    <w:rsid w:val="005837F8"/>
    <w:rsid w:val="005853C3"/>
    <w:rsid w:val="00587549"/>
    <w:rsid w:val="00587B4C"/>
    <w:rsid w:val="0059081F"/>
    <w:rsid w:val="00592002"/>
    <w:rsid w:val="00592071"/>
    <w:rsid w:val="00595E44"/>
    <w:rsid w:val="00596E22"/>
    <w:rsid w:val="005973B7"/>
    <w:rsid w:val="00597E85"/>
    <w:rsid w:val="005A61D5"/>
    <w:rsid w:val="005A6E1C"/>
    <w:rsid w:val="005A75AE"/>
    <w:rsid w:val="005B13F7"/>
    <w:rsid w:val="005B32C5"/>
    <w:rsid w:val="005B35D6"/>
    <w:rsid w:val="005B360B"/>
    <w:rsid w:val="005B3DDD"/>
    <w:rsid w:val="005B3E4A"/>
    <w:rsid w:val="005C3043"/>
    <w:rsid w:val="005D11F0"/>
    <w:rsid w:val="005D3281"/>
    <w:rsid w:val="005D4C94"/>
    <w:rsid w:val="005D5B42"/>
    <w:rsid w:val="005D74FB"/>
    <w:rsid w:val="005D7DFF"/>
    <w:rsid w:val="005E1F28"/>
    <w:rsid w:val="005E443E"/>
    <w:rsid w:val="005E4C96"/>
    <w:rsid w:val="005E60F6"/>
    <w:rsid w:val="005F31C1"/>
    <w:rsid w:val="00601F8F"/>
    <w:rsid w:val="006033BD"/>
    <w:rsid w:val="00605FAF"/>
    <w:rsid w:val="00606B19"/>
    <w:rsid w:val="00606FBC"/>
    <w:rsid w:val="00612B3B"/>
    <w:rsid w:val="006156DC"/>
    <w:rsid w:val="00623B26"/>
    <w:rsid w:val="00624C21"/>
    <w:rsid w:val="00625503"/>
    <w:rsid w:val="00630C55"/>
    <w:rsid w:val="00640494"/>
    <w:rsid w:val="00646D74"/>
    <w:rsid w:val="00650902"/>
    <w:rsid w:val="0065153C"/>
    <w:rsid w:val="00651D03"/>
    <w:rsid w:val="0065506F"/>
    <w:rsid w:val="006618CF"/>
    <w:rsid w:val="006620C8"/>
    <w:rsid w:val="006652BA"/>
    <w:rsid w:val="00667000"/>
    <w:rsid w:val="006676D9"/>
    <w:rsid w:val="00673898"/>
    <w:rsid w:val="00674094"/>
    <w:rsid w:val="0067482F"/>
    <w:rsid w:val="00675503"/>
    <w:rsid w:val="00682B2C"/>
    <w:rsid w:val="006849F6"/>
    <w:rsid w:val="00684B75"/>
    <w:rsid w:val="00684BC2"/>
    <w:rsid w:val="00684D30"/>
    <w:rsid w:val="006856FF"/>
    <w:rsid w:val="006863D8"/>
    <w:rsid w:val="00690AD8"/>
    <w:rsid w:val="00695734"/>
    <w:rsid w:val="00695EEC"/>
    <w:rsid w:val="006A20B3"/>
    <w:rsid w:val="006B0FE8"/>
    <w:rsid w:val="006B1609"/>
    <w:rsid w:val="006B3946"/>
    <w:rsid w:val="006B54C7"/>
    <w:rsid w:val="006B7FBE"/>
    <w:rsid w:val="006C2E50"/>
    <w:rsid w:val="006C53A7"/>
    <w:rsid w:val="006C6246"/>
    <w:rsid w:val="006C7AE7"/>
    <w:rsid w:val="006D5A9A"/>
    <w:rsid w:val="006E1F02"/>
    <w:rsid w:val="006E3397"/>
    <w:rsid w:val="006F11BD"/>
    <w:rsid w:val="006F3882"/>
    <w:rsid w:val="006F4BEB"/>
    <w:rsid w:val="006F6676"/>
    <w:rsid w:val="007001E0"/>
    <w:rsid w:val="007123C2"/>
    <w:rsid w:val="007136E6"/>
    <w:rsid w:val="00720E37"/>
    <w:rsid w:val="0072349E"/>
    <w:rsid w:val="00724536"/>
    <w:rsid w:val="007253E3"/>
    <w:rsid w:val="007255CD"/>
    <w:rsid w:val="007318BA"/>
    <w:rsid w:val="007334EA"/>
    <w:rsid w:val="00735F36"/>
    <w:rsid w:val="00737025"/>
    <w:rsid w:val="00737A54"/>
    <w:rsid w:val="00737FB2"/>
    <w:rsid w:val="00741E4A"/>
    <w:rsid w:val="007437EE"/>
    <w:rsid w:val="00744F5A"/>
    <w:rsid w:val="00746E66"/>
    <w:rsid w:val="00747F40"/>
    <w:rsid w:val="0075063F"/>
    <w:rsid w:val="007605C8"/>
    <w:rsid w:val="00763554"/>
    <w:rsid w:val="00764614"/>
    <w:rsid w:val="0076526B"/>
    <w:rsid w:val="007652AE"/>
    <w:rsid w:val="007677BE"/>
    <w:rsid w:val="007707AA"/>
    <w:rsid w:val="0077224E"/>
    <w:rsid w:val="00781039"/>
    <w:rsid w:val="00790246"/>
    <w:rsid w:val="00793C25"/>
    <w:rsid w:val="007A1136"/>
    <w:rsid w:val="007A5C4C"/>
    <w:rsid w:val="007B0579"/>
    <w:rsid w:val="007B6AD8"/>
    <w:rsid w:val="007B6D97"/>
    <w:rsid w:val="007B7906"/>
    <w:rsid w:val="007D14DF"/>
    <w:rsid w:val="007D22BA"/>
    <w:rsid w:val="007D3AB9"/>
    <w:rsid w:val="007D3C35"/>
    <w:rsid w:val="007D441F"/>
    <w:rsid w:val="007D4868"/>
    <w:rsid w:val="007D4A60"/>
    <w:rsid w:val="007D7BA6"/>
    <w:rsid w:val="007E0AC1"/>
    <w:rsid w:val="007E30B0"/>
    <w:rsid w:val="007E37C0"/>
    <w:rsid w:val="007E5598"/>
    <w:rsid w:val="007E6279"/>
    <w:rsid w:val="007F2249"/>
    <w:rsid w:val="007F28B9"/>
    <w:rsid w:val="007F6C2A"/>
    <w:rsid w:val="008001D1"/>
    <w:rsid w:val="008020D3"/>
    <w:rsid w:val="008043AE"/>
    <w:rsid w:val="00804869"/>
    <w:rsid w:val="00804908"/>
    <w:rsid w:val="0080704C"/>
    <w:rsid w:val="00807BBD"/>
    <w:rsid w:val="008120DB"/>
    <w:rsid w:val="00813665"/>
    <w:rsid w:val="00814698"/>
    <w:rsid w:val="0081479B"/>
    <w:rsid w:val="00815ECC"/>
    <w:rsid w:val="00823D56"/>
    <w:rsid w:val="0083062A"/>
    <w:rsid w:val="00831D49"/>
    <w:rsid w:val="0083210B"/>
    <w:rsid w:val="008355CE"/>
    <w:rsid w:val="00835736"/>
    <w:rsid w:val="00836DF0"/>
    <w:rsid w:val="00837AF9"/>
    <w:rsid w:val="00850F9B"/>
    <w:rsid w:val="00854470"/>
    <w:rsid w:val="00861B39"/>
    <w:rsid w:val="00864D3B"/>
    <w:rsid w:val="00866220"/>
    <w:rsid w:val="008672D5"/>
    <w:rsid w:val="00870A8D"/>
    <w:rsid w:val="00871D8A"/>
    <w:rsid w:val="00873067"/>
    <w:rsid w:val="0087448C"/>
    <w:rsid w:val="00874C32"/>
    <w:rsid w:val="00874E79"/>
    <w:rsid w:val="00876E01"/>
    <w:rsid w:val="00880D87"/>
    <w:rsid w:val="00881B29"/>
    <w:rsid w:val="00882EAC"/>
    <w:rsid w:val="0088428C"/>
    <w:rsid w:val="00884340"/>
    <w:rsid w:val="00886394"/>
    <w:rsid w:val="00887004"/>
    <w:rsid w:val="00892BA9"/>
    <w:rsid w:val="008968E9"/>
    <w:rsid w:val="008A04D3"/>
    <w:rsid w:val="008A3D7F"/>
    <w:rsid w:val="008A4334"/>
    <w:rsid w:val="008B3C30"/>
    <w:rsid w:val="008B5577"/>
    <w:rsid w:val="008C2161"/>
    <w:rsid w:val="008C3AC7"/>
    <w:rsid w:val="008C47FA"/>
    <w:rsid w:val="008C5342"/>
    <w:rsid w:val="008C692E"/>
    <w:rsid w:val="008C7230"/>
    <w:rsid w:val="008C7A52"/>
    <w:rsid w:val="008D26B6"/>
    <w:rsid w:val="008D26CF"/>
    <w:rsid w:val="008D368D"/>
    <w:rsid w:val="008D4344"/>
    <w:rsid w:val="008E0C1C"/>
    <w:rsid w:val="008E45B5"/>
    <w:rsid w:val="008E4A71"/>
    <w:rsid w:val="008E5FF5"/>
    <w:rsid w:val="008F08DD"/>
    <w:rsid w:val="008F30F4"/>
    <w:rsid w:val="008F7F4E"/>
    <w:rsid w:val="00904B90"/>
    <w:rsid w:val="00906147"/>
    <w:rsid w:val="009111C1"/>
    <w:rsid w:val="009130AC"/>
    <w:rsid w:val="0091561E"/>
    <w:rsid w:val="00915ADA"/>
    <w:rsid w:val="00917467"/>
    <w:rsid w:val="00922831"/>
    <w:rsid w:val="00922872"/>
    <w:rsid w:val="00924030"/>
    <w:rsid w:val="0093538A"/>
    <w:rsid w:val="009362DC"/>
    <w:rsid w:val="00937D6D"/>
    <w:rsid w:val="00937EF5"/>
    <w:rsid w:val="00940EA3"/>
    <w:rsid w:val="00947E0F"/>
    <w:rsid w:val="00950337"/>
    <w:rsid w:val="009509CC"/>
    <w:rsid w:val="0095216F"/>
    <w:rsid w:val="0095680F"/>
    <w:rsid w:val="00956A25"/>
    <w:rsid w:val="00960235"/>
    <w:rsid w:val="009612EF"/>
    <w:rsid w:val="00962D05"/>
    <w:rsid w:val="00963043"/>
    <w:rsid w:val="009634C8"/>
    <w:rsid w:val="0096488C"/>
    <w:rsid w:val="00965007"/>
    <w:rsid w:val="0096518D"/>
    <w:rsid w:val="0096547A"/>
    <w:rsid w:val="00967EDE"/>
    <w:rsid w:val="009706CE"/>
    <w:rsid w:val="00974A2D"/>
    <w:rsid w:val="0097633B"/>
    <w:rsid w:val="00976A70"/>
    <w:rsid w:val="00977B31"/>
    <w:rsid w:val="00982774"/>
    <w:rsid w:val="00982991"/>
    <w:rsid w:val="00983C40"/>
    <w:rsid w:val="00984D4F"/>
    <w:rsid w:val="00986C46"/>
    <w:rsid w:val="009911D2"/>
    <w:rsid w:val="009A1543"/>
    <w:rsid w:val="009A315A"/>
    <w:rsid w:val="009A6BB3"/>
    <w:rsid w:val="009B4FF9"/>
    <w:rsid w:val="009C0793"/>
    <w:rsid w:val="009C0ECA"/>
    <w:rsid w:val="009C138D"/>
    <w:rsid w:val="009C1B84"/>
    <w:rsid w:val="009C535B"/>
    <w:rsid w:val="009C5C65"/>
    <w:rsid w:val="009C7478"/>
    <w:rsid w:val="009D23D9"/>
    <w:rsid w:val="009D2988"/>
    <w:rsid w:val="009D3BDF"/>
    <w:rsid w:val="009D556F"/>
    <w:rsid w:val="009D66DF"/>
    <w:rsid w:val="009D6FFC"/>
    <w:rsid w:val="009E3060"/>
    <w:rsid w:val="009E317D"/>
    <w:rsid w:val="009E6ADA"/>
    <w:rsid w:val="009F0FAC"/>
    <w:rsid w:val="009F2CB2"/>
    <w:rsid w:val="009F42D5"/>
    <w:rsid w:val="009F59EE"/>
    <w:rsid w:val="009F7C57"/>
    <w:rsid w:val="00A00614"/>
    <w:rsid w:val="00A0626C"/>
    <w:rsid w:val="00A06687"/>
    <w:rsid w:val="00A07B57"/>
    <w:rsid w:val="00A1017F"/>
    <w:rsid w:val="00A11002"/>
    <w:rsid w:val="00A12D97"/>
    <w:rsid w:val="00A145E2"/>
    <w:rsid w:val="00A15C5F"/>
    <w:rsid w:val="00A1706A"/>
    <w:rsid w:val="00A2129E"/>
    <w:rsid w:val="00A22380"/>
    <w:rsid w:val="00A267CE"/>
    <w:rsid w:val="00A3119E"/>
    <w:rsid w:val="00A3163A"/>
    <w:rsid w:val="00A34404"/>
    <w:rsid w:val="00A345F7"/>
    <w:rsid w:val="00A351F4"/>
    <w:rsid w:val="00A35204"/>
    <w:rsid w:val="00A35900"/>
    <w:rsid w:val="00A36D79"/>
    <w:rsid w:val="00A401A3"/>
    <w:rsid w:val="00A4441D"/>
    <w:rsid w:val="00A51DB8"/>
    <w:rsid w:val="00A526C9"/>
    <w:rsid w:val="00A52E40"/>
    <w:rsid w:val="00A553F8"/>
    <w:rsid w:val="00A644DF"/>
    <w:rsid w:val="00A661EE"/>
    <w:rsid w:val="00A672EA"/>
    <w:rsid w:val="00A67865"/>
    <w:rsid w:val="00A706DB"/>
    <w:rsid w:val="00A75581"/>
    <w:rsid w:val="00A80A8B"/>
    <w:rsid w:val="00A85069"/>
    <w:rsid w:val="00A86EF2"/>
    <w:rsid w:val="00A902B4"/>
    <w:rsid w:val="00A93669"/>
    <w:rsid w:val="00A969E4"/>
    <w:rsid w:val="00AA0C1B"/>
    <w:rsid w:val="00AA13C3"/>
    <w:rsid w:val="00AA1EF9"/>
    <w:rsid w:val="00AA3C5C"/>
    <w:rsid w:val="00AC0B97"/>
    <w:rsid w:val="00AC0F4F"/>
    <w:rsid w:val="00AC14FC"/>
    <w:rsid w:val="00AC1B87"/>
    <w:rsid w:val="00AC1E03"/>
    <w:rsid w:val="00AC3155"/>
    <w:rsid w:val="00AC4CEE"/>
    <w:rsid w:val="00AD0B09"/>
    <w:rsid w:val="00AD2933"/>
    <w:rsid w:val="00AD3089"/>
    <w:rsid w:val="00AE4CC4"/>
    <w:rsid w:val="00AE662F"/>
    <w:rsid w:val="00AE7AFA"/>
    <w:rsid w:val="00AF080F"/>
    <w:rsid w:val="00AF0BE0"/>
    <w:rsid w:val="00AF2D1B"/>
    <w:rsid w:val="00AF5FA6"/>
    <w:rsid w:val="00B00B35"/>
    <w:rsid w:val="00B012F6"/>
    <w:rsid w:val="00B03608"/>
    <w:rsid w:val="00B04D58"/>
    <w:rsid w:val="00B0598D"/>
    <w:rsid w:val="00B05BB0"/>
    <w:rsid w:val="00B066DB"/>
    <w:rsid w:val="00B07063"/>
    <w:rsid w:val="00B0741A"/>
    <w:rsid w:val="00B10D00"/>
    <w:rsid w:val="00B13DF1"/>
    <w:rsid w:val="00B14797"/>
    <w:rsid w:val="00B1561F"/>
    <w:rsid w:val="00B15FD4"/>
    <w:rsid w:val="00B177AF"/>
    <w:rsid w:val="00B17AD8"/>
    <w:rsid w:val="00B21A92"/>
    <w:rsid w:val="00B21D7F"/>
    <w:rsid w:val="00B244B9"/>
    <w:rsid w:val="00B24AB2"/>
    <w:rsid w:val="00B26C1E"/>
    <w:rsid w:val="00B278D2"/>
    <w:rsid w:val="00B30195"/>
    <w:rsid w:val="00B3074F"/>
    <w:rsid w:val="00B3103A"/>
    <w:rsid w:val="00B3354F"/>
    <w:rsid w:val="00B34562"/>
    <w:rsid w:val="00B41012"/>
    <w:rsid w:val="00B45ED0"/>
    <w:rsid w:val="00B45F71"/>
    <w:rsid w:val="00B46015"/>
    <w:rsid w:val="00B475E1"/>
    <w:rsid w:val="00B5230B"/>
    <w:rsid w:val="00B52B36"/>
    <w:rsid w:val="00B564A6"/>
    <w:rsid w:val="00B6512E"/>
    <w:rsid w:val="00B65A3B"/>
    <w:rsid w:val="00B676E6"/>
    <w:rsid w:val="00B67D59"/>
    <w:rsid w:val="00B708C9"/>
    <w:rsid w:val="00B70A80"/>
    <w:rsid w:val="00B7116F"/>
    <w:rsid w:val="00B712F8"/>
    <w:rsid w:val="00B714D3"/>
    <w:rsid w:val="00B7285B"/>
    <w:rsid w:val="00B74D65"/>
    <w:rsid w:val="00B76DDA"/>
    <w:rsid w:val="00B777C3"/>
    <w:rsid w:val="00B80003"/>
    <w:rsid w:val="00B81F38"/>
    <w:rsid w:val="00B82BA4"/>
    <w:rsid w:val="00B84690"/>
    <w:rsid w:val="00B86D21"/>
    <w:rsid w:val="00B92DE5"/>
    <w:rsid w:val="00B95EBA"/>
    <w:rsid w:val="00BA29AE"/>
    <w:rsid w:val="00BA6059"/>
    <w:rsid w:val="00BA6DBC"/>
    <w:rsid w:val="00BA6DD7"/>
    <w:rsid w:val="00BA7E4C"/>
    <w:rsid w:val="00BB0801"/>
    <w:rsid w:val="00BB5F03"/>
    <w:rsid w:val="00BC10FE"/>
    <w:rsid w:val="00BC1BA1"/>
    <w:rsid w:val="00BC30D1"/>
    <w:rsid w:val="00BC43C3"/>
    <w:rsid w:val="00BD0305"/>
    <w:rsid w:val="00BD18EA"/>
    <w:rsid w:val="00BD25BD"/>
    <w:rsid w:val="00BD26AB"/>
    <w:rsid w:val="00BD4FB4"/>
    <w:rsid w:val="00BD56CC"/>
    <w:rsid w:val="00BD6A7F"/>
    <w:rsid w:val="00BD7095"/>
    <w:rsid w:val="00BE127F"/>
    <w:rsid w:val="00BE34DD"/>
    <w:rsid w:val="00BF02EE"/>
    <w:rsid w:val="00BF0F80"/>
    <w:rsid w:val="00BF1CB0"/>
    <w:rsid w:val="00BF4FA6"/>
    <w:rsid w:val="00BF5DE1"/>
    <w:rsid w:val="00C00860"/>
    <w:rsid w:val="00C0488B"/>
    <w:rsid w:val="00C05509"/>
    <w:rsid w:val="00C12B80"/>
    <w:rsid w:val="00C1553C"/>
    <w:rsid w:val="00C16A07"/>
    <w:rsid w:val="00C2196C"/>
    <w:rsid w:val="00C25A49"/>
    <w:rsid w:val="00C30103"/>
    <w:rsid w:val="00C306CA"/>
    <w:rsid w:val="00C35BFC"/>
    <w:rsid w:val="00C36244"/>
    <w:rsid w:val="00C36818"/>
    <w:rsid w:val="00C36AC8"/>
    <w:rsid w:val="00C36E73"/>
    <w:rsid w:val="00C40157"/>
    <w:rsid w:val="00C42096"/>
    <w:rsid w:val="00C45232"/>
    <w:rsid w:val="00C503A0"/>
    <w:rsid w:val="00C505D4"/>
    <w:rsid w:val="00C50A39"/>
    <w:rsid w:val="00C51E90"/>
    <w:rsid w:val="00C55E4E"/>
    <w:rsid w:val="00C5726E"/>
    <w:rsid w:val="00C6048F"/>
    <w:rsid w:val="00C607F2"/>
    <w:rsid w:val="00C61777"/>
    <w:rsid w:val="00C639A8"/>
    <w:rsid w:val="00C63DF0"/>
    <w:rsid w:val="00C63E32"/>
    <w:rsid w:val="00C64B40"/>
    <w:rsid w:val="00C650DB"/>
    <w:rsid w:val="00C72C9B"/>
    <w:rsid w:val="00C73FC6"/>
    <w:rsid w:val="00C7462C"/>
    <w:rsid w:val="00C85300"/>
    <w:rsid w:val="00C8584A"/>
    <w:rsid w:val="00C85AB7"/>
    <w:rsid w:val="00C86EBC"/>
    <w:rsid w:val="00C91F7F"/>
    <w:rsid w:val="00CA3FE4"/>
    <w:rsid w:val="00CA5FC8"/>
    <w:rsid w:val="00CB1985"/>
    <w:rsid w:val="00CB40F4"/>
    <w:rsid w:val="00CB7416"/>
    <w:rsid w:val="00CC04E3"/>
    <w:rsid w:val="00CC32D9"/>
    <w:rsid w:val="00CC45E5"/>
    <w:rsid w:val="00CC5BEB"/>
    <w:rsid w:val="00CC7C89"/>
    <w:rsid w:val="00CD1C31"/>
    <w:rsid w:val="00CD2522"/>
    <w:rsid w:val="00CD3324"/>
    <w:rsid w:val="00CD3C1E"/>
    <w:rsid w:val="00CD4B4B"/>
    <w:rsid w:val="00CD6EEC"/>
    <w:rsid w:val="00CE2578"/>
    <w:rsid w:val="00CE3577"/>
    <w:rsid w:val="00CF10DA"/>
    <w:rsid w:val="00CF2718"/>
    <w:rsid w:val="00CF3762"/>
    <w:rsid w:val="00CF7691"/>
    <w:rsid w:val="00D01461"/>
    <w:rsid w:val="00D01832"/>
    <w:rsid w:val="00D047B7"/>
    <w:rsid w:val="00D11870"/>
    <w:rsid w:val="00D132FF"/>
    <w:rsid w:val="00D15557"/>
    <w:rsid w:val="00D15686"/>
    <w:rsid w:val="00D16F9E"/>
    <w:rsid w:val="00D21B27"/>
    <w:rsid w:val="00D223BF"/>
    <w:rsid w:val="00D2253B"/>
    <w:rsid w:val="00D22A67"/>
    <w:rsid w:val="00D245D2"/>
    <w:rsid w:val="00D25B0B"/>
    <w:rsid w:val="00D31127"/>
    <w:rsid w:val="00D31FA8"/>
    <w:rsid w:val="00D3396D"/>
    <w:rsid w:val="00D3397B"/>
    <w:rsid w:val="00D3569B"/>
    <w:rsid w:val="00D35A90"/>
    <w:rsid w:val="00D36065"/>
    <w:rsid w:val="00D40D11"/>
    <w:rsid w:val="00D423AD"/>
    <w:rsid w:val="00D46528"/>
    <w:rsid w:val="00D46E13"/>
    <w:rsid w:val="00D4733D"/>
    <w:rsid w:val="00D53085"/>
    <w:rsid w:val="00D57146"/>
    <w:rsid w:val="00D618AD"/>
    <w:rsid w:val="00D63DD3"/>
    <w:rsid w:val="00D6464D"/>
    <w:rsid w:val="00D72895"/>
    <w:rsid w:val="00D777C9"/>
    <w:rsid w:val="00D80B6D"/>
    <w:rsid w:val="00D82E2D"/>
    <w:rsid w:val="00D8513A"/>
    <w:rsid w:val="00D87CCE"/>
    <w:rsid w:val="00D9306C"/>
    <w:rsid w:val="00DA1662"/>
    <w:rsid w:val="00DA327C"/>
    <w:rsid w:val="00DA576C"/>
    <w:rsid w:val="00DA6D6A"/>
    <w:rsid w:val="00DA7689"/>
    <w:rsid w:val="00DA78FC"/>
    <w:rsid w:val="00DB365A"/>
    <w:rsid w:val="00DB4335"/>
    <w:rsid w:val="00DB7664"/>
    <w:rsid w:val="00DC1FA8"/>
    <w:rsid w:val="00DC2A4B"/>
    <w:rsid w:val="00DC6476"/>
    <w:rsid w:val="00DC6AB6"/>
    <w:rsid w:val="00DD1EC1"/>
    <w:rsid w:val="00DE36DE"/>
    <w:rsid w:val="00DE448F"/>
    <w:rsid w:val="00DE75F4"/>
    <w:rsid w:val="00DE7686"/>
    <w:rsid w:val="00DE7CE1"/>
    <w:rsid w:val="00DF006F"/>
    <w:rsid w:val="00DF1F56"/>
    <w:rsid w:val="00DF296C"/>
    <w:rsid w:val="00DF2A53"/>
    <w:rsid w:val="00DF388B"/>
    <w:rsid w:val="00E02125"/>
    <w:rsid w:val="00E04F7B"/>
    <w:rsid w:val="00E11435"/>
    <w:rsid w:val="00E121F2"/>
    <w:rsid w:val="00E166F1"/>
    <w:rsid w:val="00E16FE8"/>
    <w:rsid w:val="00E17539"/>
    <w:rsid w:val="00E24FED"/>
    <w:rsid w:val="00E25085"/>
    <w:rsid w:val="00E343B0"/>
    <w:rsid w:val="00E364A9"/>
    <w:rsid w:val="00E36E36"/>
    <w:rsid w:val="00E400AA"/>
    <w:rsid w:val="00E40BF0"/>
    <w:rsid w:val="00E42149"/>
    <w:rsid w:val="00E4768E"/>
    <w:rsid w:val="00E47BA7"/>
    <w:rsid w:val="00E515C8"/>
    <w:rsid w:val="00E57D1A"/>
    <w:rsid w:val="00E608E3"/>
    <w:rsid w:val="00E60E78"/>
    <w:rsid w:val="00E63C9B"/>
    <w:rsid w:val="00E669EF"/>
    <w:rsid w:val="00E67800"/>
    <w:rsid w:val="00E71B7C"/>
    <w:rsid w:val="00E71C1E"/>
    <w:rsid w:val="00E71D31"/>
    <w:rsid w:val="00E72BA8"/>
    <w:rsid w:val="00E74BB2"/>
    <w:rsid w:val="00E804FF"/>
    <w:rsid w:val="00E81785"/>
    <w:rsid w:val="00E83CCD"/>
    <w:rsid w:val="00E847E6"/>
    <w:rsid w:val="00E856C2"/>
    <w:rsid w:val="00E90FB8"/>
    <w:rsid w:val="00E938B3"/>
    <w:rsid w:val="00E945C4"/>
    <w:rsid w:val="00E9495C"/>
    <w:rsid w:val="00EA29EC"/>
    <w:rsid w:val="00EA3C99"/>
    <w:rsid w:val="00EA47AD"/>
    <w:rsid w:val="00EA64D4"/>
    <w:rsid w:val="00EB06C5"/>
    <w:rsid w:val="00EB1535"/>
    <w:rsid w:val="00EB26B3"/>
    <w:rsid w:val="00EB4375"/>
    <w:rsid w:val="00EB5B94"/>
    <w:rsid w:val="00EB657F"/>
    <w:rsid w:val="00EC046B"/>
    <w:rsid w:val="00EC75DD"/>
    <w:rsid w:val="00ED4C36"/>
    <w:rsid w:val="00EE520F"/>
    <w:rsid w:val="00EE6C6D"/>
    <w:rsid w:val="00EF1568"/>
    <w:rsid w:val="00EF5EE0"/>
    <w:rsid w:val="00EF62F8"/>
    <w:rsid w:val="00F0275F"/>
    <w:rsid w:val="00F040CA"/>
    <w:rsid w:val="00F04FF5"/>
    <w:rsid w:val="00F06420"/>
    <w:rsid w:val="00F06844"/>
    <w:rsid w:val="00F0734C"/>
    <w:rsid w:val="00F10899"/>
    <w:rsid w:val="00F16128"/>
    <w:rsid w:val="00F161D2"/>
    <w:rsid w:val="00F20841"/>
    <w:rsid w:val="00F2446D"/>
    <w:rsid w:val="00F257ED"/>
    <w:rsid w:val="00F27366"/>
    <w:rsid w:val="00F30542"/>
    <w:rsid w:val="00F30BB8"/>
    <w:rsid w:val="00F33E63"/>
    <w:rsid w:val="00F366A6"/>
    <w:rsid w:val="00F37E08"/>
    <w:rsid w:val="00F428EF"/>
    <w:rsid w:val="00F44539"/>
    <w:rsid w:val="00F44AEB"/>
    <w:rsid w:val="00F45620"/>
    <w:rsid w:val="00F4632A"/>
    <w:rsid w:val="00F52462"/>
    <w:rsid w:val="00F542F8"/>
    <w:rsid w:val="00F61061"/>
    <w:rsid w:val="00F63E7A"/>
    <w:rsid w:val="00F64A9E"/>
    <w:rsid w:val="00F6505F"/>
    <w:rsid w:val="00F655E3"/>
    <w:rsid w:val="00F65A7D"/>
    <w:rsid w:val="00F739AD"/>
    <w:rsid w:val="00F76B0E"/>
    <w:rsid w:val="00F7782E"/>
    <w:rsid w:val="00F77BD8"/>
    <w:rsid w:val="00F8482C"/>
    <w:rsid w:val="00F84DCA"/>
    <w:rsid w:val="00F93799"/>
    <w:rsid w:val="00F95B39"/>
    <w:rsid w:val="00F968E3"/>
    <w:rsid w:val="00F97A8C"/>
    <w:rsid w:val="00FA0F28"/>
    <w:rsid w:val="00FA1AF3"/>
    <w:rsid w:val="00FA6E14"/>
    <w:rsid w:val="00FB551F"/>
    <w:rsid w:val="00FB6C4F"/>
    <w:rsid w:val="00FB7593"/>
    <w:rsid w:val="00FC1254"/>
    <w:rsid w:val="00FC33AA"/>
    <w:rsid w:val="00FD08A6"/>
    <w:rsid w:val="00FD37BD"/>
    <w:rsid w:val="00FD5578"/>
    <w:rsid w:val="00FE189D"/>
    <w:rsid w:val="00FE28BC"/>
    <w:rsid w:val="00FE3A27"/>
    <w:rsid w:val="00FE6DB7"/>
    <w:rsid w:val="00FE7E9A"/>
    <w:rsid w:val="00FF3A4B"/>
    <w:rsid w:val="00FF4E85"/>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55357261">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812987891">
      <w:bodyDiv w:val="1"/>
      <w:marLeft w:val="0"/>
      <w:marRight w:val="0"/>
      <w:marTop w:val="0"/>
      <w:marBottom w:val="0"/>
      <w:divBdr>
        <w:top w:val="none" w:sz="0" w:space="0" w:color="auto"/>
        <w:left w:val="none" w:sz="0" w:space="0" w:color="auto"/>
        <w:bottom w:val="none" w:sz="0" w:space="0" w:color="auto"/>
        <w:right w:val="none" w:sz="0" w:space="0" w:color="auto"/>
      </w:divBdr>
    </w:div>
    <w:div w:id="852458738">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231828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hyperlink" Target="mailto:michaela.sahulova@bcas.cz"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theme" Target="theme/theme1.xml"/><Relationship Id="rId10" Type="http://schemas.openxmlformats.org/officeDocument/2006/relationships/hyperlink" Target="http://www.okpointy.cz"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2A39D-6DE4-4743-94F8-162920918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1036</Words>
  <Characters>6116</Characters>
  <Application>Microsoft Office Word</Application>
  <DocSecurity>0</DocSecurity>
  <Lines>50</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Radek Polák</cp:lastModifiedBy>
  <cp:revision>2</cp:revision>
  <dcterms:created xsi:type="dcterms:W3CDTF">2023-03-21T10:22:00Z</dcterms:created>
  <dcterms:modified xsi:type="dcterms:W3CDTF">2023-03-21T10:22:00Z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