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A92255" w:rsidRDefault="00D80B6D">
          <w:pPr>
            <w:rPr>
              <w:rFonts w:asciiTheme="minorHAnsi" w:hAnsiTheme="minorHAnsi" w:cstheme="minorHAnsi"/>
              <w:highlight w:val="yellow"/>
            </w:rPr>
          </w:pPr>
        </w:p>
        <w:p w14:paraId="7ED014A1" w14:textId="77777777" w:rsidR="00D80B6D" w:rsidRPr="00A92255" w:rsidRDefault="00D80B6D" w:rsidP="00D80B6D">
          <w:pPr>
            <w:pStyle w:val="Nadpis3"/>
            <w:spacing w:before="10"/>
            <w:rPr>
              <w:rFonts w:asciiTheme="minorHAnsi" w:hAnsiTheme="minorHAnsi" w:cstheme="minorHAnsi"/>
              <w:color w:val="1D1D1B"/>
              <w:highlight w:val="yellow"/>
            </w:rPr>
          </w:pPr>
        </w:p>
        <w:p w14:paraId="0FB45B67" w14:textId="146178C2" w:rsidR="00D80B6D" w:rsidRDefault="00D80B6D" w:rsidP="00D80B6D">
          <w:pPr>
            <w:spacing w:before="230"/>
            <w:ind w:left="165"/>
            <w:jc w:val="center"/>
            <w:rPr>
              <w:rFonts w:asciiTheme="minorHAnsi" w:hAnsiTheme="minorHAnsi" w:cstheme="minorHAnsi"/>
              <w:color w:val="1D1D1B"/>
              <w:sz w:val="24"/>
            </w:rPr>
          </w:pPr>
          <w:r w:rsidRPr="00A92255">
            <w:rPr>
              <w:rFonts w:asciiTheme="minorHAnsi" w:hAnsiTheme="minorHAnsi" w:cstheme="minorHAnsi"/>
              <w:color w:val="1D1D1B"/>
              <w:sz w:val="24"/>
            </w:rPr>
            <w:t xml:space="preserve">INDEX HYPOTEČNÍCH ÚVĚRŮ </w:t>
          </w:r>
          <w:r w:rsidRPr="00A92255">
            <w:rPr>
              <w:rFonts w:asciiTheme="minorHAnsi" w:hAnsiTheme="minorHAnsi" w:cstheme="minorHAnsi"/>
              <w:color w:val="CD1719"/>
              <w:sz w:val="24"/>
            </w:rPr>
            <w:t xml:space="preserve">| </w:t>
          </w:r>
          <w:r w:rsidRPr="00A92255">
            <w:rPr>
              <w:rFonts w:asciiTheme="minorHAnsi" w:hAnsiTheme="minorHAnsi" w:cstheme="minorHAnsi"/>
              <w:color w:val="1D1D1B"/>
              <w:sz w:val="24"/>
            </w:rPr>
            <w:t xml:space="preserve">FIXINDEX </w:t>
          </w:r>
        </w:p>
        <w:p w14:paraId="32900BCE" w14:textId="77026CE5" w:rsidR="00D80B6D" w:rsidRDefault="006849D3" w:rsidP="006849D3">
          <w:pPr>
            <w:spacing w:before="240" w:line="288" w:lineRule="exact"/>
            <w:ind w:left="162"/>
            <w:jc w:val="center"/>
            <w:rPr>
              <w:rFonts w:asciiTheme="minorHAnsi" w:hAnsiTheme="minorHAnsi" w:cstheme="minorHAnsi"/>
              <w:color w:val="1D1D1B"/>
              <w:sz w:val="24"/>
            </w:rPr>
          </w:pPr>
          <w:r w:rsidRPr="00A92255">
            <w:rPr>
              <w:rFonts w:asciiTheme="minorHAnsi" w:hAnsiTheme="minorHAnsi" w:cstheme="minorHAnsi"/>
              <w:color w:val="1D1D1B"/>
              <w:sz w:val="24"/>
            </w:rPr>
            <w:t>INDEX PODÍLOVÝCH FONDŮ</w:t>
          </w:r>
        </w:p>
        <w:p w14:paraId="336822E5" w14:textId="77777777" w:rsidR="006849D3" w:rsidRPr="00A92255" w:rsidRDefault="006849D3" w:rsidP="006849D3">
          <w:pPr>
            <w:spacing w:before="240" w:line="288" w:lineRule="exact"/>
            <w:ind w:left="162"/>
            <w:jc w:val="center"/>
            <w:rPr>
              <w:rFonts w:asciiTheme="minorHAnsi" w:hAnsiTheme="minorHAnsi" w:cstheme="minorHAnsi"/>
              <w:b/>
              <w:color w:val="1D1D1B"/>
              <w:sz w:val="24"/>
            </w:rPr>
          </w:pPr>
          <w:r>
            <w:rPr>
              <w:rFonts w:asciiTheme="minorHAnsi" w:hAnsiTheme="minorHAnsi" w:cstheme="minorHAnsi"/>
              <w:b/>
              <w:color w:val="1D1D1B"/>
              <w:sz w:val="24"/>
            </w:rPr>
            <w:t>REAL</w:t>
          </w:r>
          <w:r w:rsidRPr="00A92255">
            <w:rPr>
              <w:rFonts w:asciiTheme="minorHAnsi" w:hAnsiTheme="minorHAnsi" w:cstheme="minorHAnsi"/>
              <w:b/>
              <w:color w:val="1D1D1B"/>
              <w:sz w:val="24"/>
            </w:rPr>
            <w:t>INDEX</w:t>
          </w:r>
        </w:p>
        <w:p w14:paraId="7907983C" w14:textId="4BEA5BFF" w:rsidR="006849D3" w:rsidRPr="00A92255" w:rsidRDefault="006849D3" w:rsidP="006849D3">
          <w:pPr>
            <w:spacing w:before="230"/>
            <w:ind w:left="165"/>
            <w:jc w:val="center"/>
            <w:rPr>
              <w:rFonts w:asciiTheme="minorHAnsi" w:hAnsiTheme="minorHAnsi" w:cstheme="minorHAnsi"/>
              <w:color w:val="1D1D1B"/>
              <w:sz w:val="24"/>
            </w:rPr>
          </w:pPr>
          <w:r w:rsidRPr="00A92255">
            <w:rPr>
              <w:rFonts w:asciiTheme="minorHAnsi" w:hAnsiTheme="minorHAnsi" w:cstheme="minorHAnsi"/>
              <w:color w:val="1D1D1B"/>
              <w:sz w:val="24"/>
            </w:rPr>
            <w:t xml:space="preserve">POVINDEX </w:t>
          </w:r>
        </w:p>
        <w:p w14:paraId="5B21B8A6" w14:textId="77777777" w:rsidR="00D80B6D" w:rsidRPr="00A92255" w:rsidRDefault="00D80B6D" w:rsidP="00D80B6D">
          <w:pPr>
            <w:spacing w:before="230"/>
            <w:ind w:left="165"/>
            <w:jc w:val="center"/>
            <w:rPr>
              <w:rFonts w:asciiTheme="minorHAnsi" w:hAnsiTheme="minorHAnsi" w:cstheme="minorHAnsi"/>
              <w:color w:val="CD1719"/>
              <w:sz w:val="24"/>
            </w:rPr>
          </w:pPr>
          <w:r w:rsidRPr="00A92255">
            <w:rPr>
              <w:rFonts w:asciiTheme="minorHAnsi" w:hAnsiTheme="minorHAnsi" w:cstheme="minorHAnsi"/>
              <w:color w:val="1D1D1B"/>
              <w:sz w:val="24"/>
            </w:rPr>
            <w:t xml:space="preserve">INDEX SPOTŘEBITELSKÝCH ÚVĚRŮ </w:t>
          </w:r>
          <w:r w:rsidRPr="00A92255">
            <w:rPr>
              <w:rFonts w:asciiTheme="minorHAnsi" w:hAnsiTheme="minorHAnsi" w:cstheme="minorHAnsi"/>
              <w:color w:val="CD1719"/>
              <w:sz w:val="24"/>
            </w:rPr>
            <w:t xml:space="preserve"> </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A92255" w:rsidRDefault="0068617E" w:rsidP="00D80B6D">
          <w:pPr>
            <w:pStyle w:val="Zkladntext"/>
            <w:jc w:val="both"/>
            <w:rPr>
              <w:rFonts w:asciiTheme="minorHAnsi" w:hAnsiTheme="minorHAnsi" w:cstheme="minorHAnsi"/>
              <w:b/>
              <w:highlight w:val="yellow"/>
            </w:rPr>
          </w:pPr>
        </w:p>
        <w:p w14:paraId="11132A3F" w14:textId="53DE594E" w:rsidR="00D80B6D" w:rsidRPr="00A92255" w:rsidRDefault="00D80B6D" w:rsidP="00D80B6D">
          <w:pPr>
            <w:pStyle w:val="Zkladntext"/>
            <w:jc w:val="both"/>
            <w:rPr>
              <w:rFonts w:asciiTheme="minorHAnsi" w:hAnsiTheme="minorHAnsi" w:cstheme="minorHAnsi"/>
              <w:b/>
            </w:rPr>
          </w:pPr>
          <w:r w:rsidRPr="00A92255">
            <w:rPr>
              <w:rFonts w:asciiTheme="minorHAnsi" w:hAnsiTheme="minorHAnsi" w:cstheme="minorHAnsi"/>
              <w:b/>
            </w:rPr>
            <w:t>O společnosti Broker Consulting</w:t>
          </w:r>
        </w:p>
        <w:p w14:paraId="27485CC6" w14:textId="77777777" w:rsidR="00D80B6D" w:rsidRPr="00FC2522" w:rsidRDefault="00D80B6D" w:rsidP="00D80B6D">
          <w:pPr>
            <w:jc w:val="both"/>
            <w:rPr>
              <w:rFonts w:ascii="Arial" w:hAnsi="Arial" w:cs="Arial"/>
              <w:sz w:val="20"/>
            </w:rPr>
          </w:pPr>
        </w:p>
        <w:p w14:paraId="08070DCC" w14:textId="4A7C741F" w:rsidR="00792EE9" w:rsidRPr="00A92255" w:rsidRDefault="00792EE9" w:rsidP="00792EE9">
          <w:pPr>
            <w:jc w:val="both"/>
            <w:rPr>
              <w:rStyle w:val="dn"/>
              <w:rFonts w:asciiTheme="minorHAnsi" w:hAnsiTheme="minorHAnsi" w:cstheme="minorHAnsi"/>
              <w:sz w:val="20"/>
              <w:szCs w:val="20"/>
            </w:rPr>
          </w:pPr>
          <w:r w:rsidRPr="00A92255">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C41741" w:rsidRPr="00A92255">
            <w:rPr>
              <w:rFonts w:asciiTheme="minorHAnsi" w:hAnsiTheme="minorHAnsi" w:cstheme="minorHAnsi"/>
              <w:sz w:val="20"/>
              <w:szCs w:val="20"/>
            </w:rPr>
            <w:t xml:space="preserve">přes </w:t>
          </w:r>
          <w:r w:rsidR="002141AF" w:rsidRPr="00A92255">
            <w:rPr>
              <w:rFonts w:asciiTheme="minorHAnsi" w:hAnsiTheme="minorHAnsi" w:cstheme="minorHAnsi"/>
              <w:sz w:val="20"/>
              <w:szCs w:val="20"/>
            </w:rPr>
            <w:t>4</w:t>
          </w:r>
          <w:r w:rsidR="00C41741" w:rsidRPr="00A92255">
            <w:rPr>
              <w:rFonts w:asciiTheme="minorHAnsi" w:hAnsiTheme="minorHAnsi" w:cstheme="minorHAnsi"/>
              <w:sz w:val="20"/>
              <w:szCs w:val="20"/>
            </w:rPr>
            <w:t>0</w:t>
          </w:r>
          <w:r w:rsidRPr="00A92255">
            <w:rPr>
              <w:rFonts w:asciiTheme="minorHAnsi" w:hAnsiTheme="minorHAnsi" w:cstheme="minorHAnsi"/>
              <w:sz w:val="20"/>
              <w:szCs w:val="20"/>
            </w:rPr>
            <w:t xml:space="preserve"> franšízových </w:t>
          </w:r>
          <w:proofErr w:type="spellStart"/>
          <w:r w:rsidRPr="00A92255">
            <w:rPr>
              <w:rFonts w:asciiTheme="minorHAnsi" w:hAnsiTheme="minorHAnsi" w:cstheme="minorHAnsi"/>
              <w:sz w:val="20"/>
              <w:szCs w:val="20"/>
            </w:rPr>
            <w:t>poboč</w:t>
          </w:r>
          <w:r w:rsidR="00C41741" w:rsidRPr="00A92255">
            <w:rPr>
              <w:rFonts w:asciiTheme="minorHAnsi" w:hAnsiTheme="minorHAnsi" w:cstheme="minorHAnsi"/>
              <w:sz w:val="20"/>
              <w:szCs w:val="20"/>
            </w:rPr>
            <w:t>eká</w:t>
          </w:r>
          <w:proofErr w:type="spellEnd"/>
          <w:r w:rsidRPr="00A92255">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sidRPr="00A92255">
            <w:rPr>
              <w:rFonts w:asciiTheme="minorHAnsi" w:hAnsiTheme="minorHAnsi" w:cstheme="minorHAnsi"/>
              <w:sz w:val="20"/>
              <w:szCs w:val="20"/>
            </w:rPr>
            <w:t xml:space="preserve"> Broker Consulting</w:t>
          </w:r>
          <w:r w:rsidRPr="00A92255">
            <w:rPr>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Více</w:t>
          </w:r>
          <w:proofErr w:type="spellEnd"/>
          <w:r w:rsidRPr="00A92255">
            <w:rPr>
              <w:rStyle w:val="dn"/>
              <w:rFonts w:asciiTheme="minorHAnsi" w:hAnsiTheme="minorHAnsi" w:cstheme="minorHAnsi"/>
              <w:sz w:val="20"/>
              <w:szCs w:val="20"/>
            </w:rPr>
            <w:t xml:space="preserve"> na </w:t>
          </w:r>
          <w:hyperlink r:id="rId9" w:history="1">
            <w:r w:rsidRPr="00A92255">
              <w:rPr>
                <w:rStyle w:val="Hypertextovodkaz"/>
                <w:rFonts w:asciiTheme="minorHAnsi" w:hAnsiTheme="minorHAnsi" w:cstheme="minorHAnsi"/>
                <w:color w:val="FF0000"/>
                <w:sz w:val="20"/>
                <w:szCs w:val="20"/>
              </w:rPr>
              <w:t>www.bcas.cz</w:t>
            </w:r>
          </w:hyperlink>
          <w:r w:rsidRPr="00A92255">
            <w:rPr>
              <w:rStyle w:val="Hypertextovodkaz"/>
              <w:rFonts w:asciiTheme="minorHAnsi" w:hAnsiTheme="minorHAnsi" w:cstheme="minorHAnsi"/>
              <w:sz w:val="20"/>
              <w:szCs w:val="20"/>
            </w:rPr>
            <w:t xml:space="preserve">, </w:t>
          </w:r>
          <w:hyperlink r:id="rId10" w:history="1">
            <w:r w:rsidRPr="00A92255">
              <w:rPr>
                <w:rStyle w:val="Hypertextovodkaz"/>
                <w:rFonts w:asciiTheme="minorHAnsi" w:hAnsiTheme="minorHAnsi" w:cstheme="minorHAnsi"/>
                <w:color w:val="FF0000"/>
                <w:sz w:val="20"/>
                <w:szCs w:val="20"/>
              </w:rPr>
              <w:t>www.okpointy.cz</w:t>
            </w:r>
          </w:hyperlink>
          <w:r w:rsidR="004F6195" w:rsidRPr="00A92255">
            <w:rPr>
              <w:rStyle w:val="Hypertextovodkaz"/>
              <w:rFonts w:asciiTheme="minorHAnsi" w:hAnsiTheme="minorHAnsi" w:cstheme="minorHAnsi"/>
              <w:color w:val="FF0000"/>
              <w:sz w:val="20"/>
              <w:szCs w:val="20"/>
            </w:rPr>
            <w:t>, www.okpoint.tv</w:t>
          </w:r>
          <w:r w:rsidRPr="00A92255">
            <w:rPr>
              <w:rStyle w:val="dn"/>
              <w:rFonts w:asciiTheme="minorHAnsi" w:hAnsiTheme="minorHAnsi" w:cstheme="minorHAnsi"/>
              <w:sz w:val="20"/>
              <w:szCs w:val="20"/>
            </w:rPr>
            <w:t xml:space="preserve"> a na </w:t>
          </w:r>
          <w:hyperlink r:id="rId11" w:history="1">
            <w:r w:rsidRPr="00A92255">
              <w:rPr>
                <w:rStyle w:val="Hypertextovodkaz"/>
                <w:rFonts w:asciiTheme="minorHAnsi" w:hAnsiTheme="minorHAnsi" w:cstheme="minorHAnsi"/>
                <w:color w:val="FF0000"/>
                <w:sz w:val="20"/>
                <w:szCs w:val="20"/>
              </w:rPr>
              <w:t>www.realityspolu.cz</w:t>
            </w:r>
          </w:hyperlink>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Navštivte</w:t>
          </w:r>
          <w:proofErr w:type="spellEnd"/>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také</w:t>
          </w:r>
          <w:proofErr w:type="spellEnd"/>
          <w:r w:rsidRPr="00A92255">
            <w:rPr>
              <w:rStyle w:val="dn"/>
              <w:rFonts w:asciiTheme="minorHAnsi" w:hAnsiTheme="minorHAnsi" w:cstheme="minorHAnsi"/>
              <w:sz w:val="20"/>
              <w:szCs w:val="20"/>
            </w:rPr>
            <w:t xml:space="preserve"> </w:t>
          </w:r>
          <w:proofErr w:type="spellStart"/>
          <w:r w:rsidRPr="00A92255">
            <w:rPr>
              <w:rStyle w:val="dn"/>
              <w:rFonts w:asciiTheme="minorHAnsi" w:hAnsiTheme="minorHAnsi" w:cstheme="minorHAnsi"/>
              <w:sz w:val="20"/>
              <w:szCs w:val="20"/>
            </w:rPr>
            <w:t>náš</w:t>
          </w:r>
          <w:proofErr w:type="spellEnd"/>
          <w:r w:rsidRPr="00A92255">
            <w:rPr>
              <w:rStyle w:val="dn"/>
              <w:rFonts w:asciiTheme="minorHAnsi" w:hAnsiTheme="minorHAnsi" w:cstheme="minorHAnsi"/>
              <w:sz w:val="20"/>
              <w:szCs w:val="20"/>
            </w:rPr>
            <w:t xml:space="preserve"> </w:t>
          </w:r>
          <w:hyperlink r:id="rId12" w:history="1">
            <w:proofErr w:type="spellStart"/>
            <w:r w:rsidRPr="00A92255">
              <w:rPr>
                <w:rStyle w:val="Hypertextovodkaz"/>
                <w:rFonts w:asciiTheme="minorHAnsi" w:hAnsiTheme="minorHAnsi" w:cstheme="minorHAnsi"/>
                <w:color w:val="FF0000"/>
                <w:sz w:val="20"/>
                <w:szCs w:val="20"/>
              </w:rPr>
              <w:t>Facebook</w:t>
            </w:r>
            <w:proofErr w:type="spellEnd"/>
          </w:hyperlink>
          <w:r w:rsidRPr="00A92255">
            <w:rPr>
              <w:rStyle w:val="dn"/>
              <w:rFonts w:asciiTheme="minorHAnsi" w:hAnsiTheme="minorHAnsi" w:cstheme="minorHAnsi"/>
              <w:color w:val="FF0000"/>
              <w:sz w:val="20"/>
              <w:szCs w:val="20"/>
            </w:rPr>
            <w:t xml:space="preserve"> </w:t>
          </w:r>
          <w:r w:rsidRPr="00A92255">
            <w:rPr>
              <w:rStyle w:val="dn"/>
              <w:rFonts w:asciiTheme="minorHAnsi" w:hAnsiTheme="minorHAnsi" w:cstheme="minorHAnsi"/>
              <w:sz w:val="20"/>
              <w:szCs w:val="20"/>
            </w:rPr>
            <w:t xml:space="preserve">a </w:t>
          </w:r>
          <w:hyperlink r:id="rId13" w:history="1">
            <w:proofErr w:type="spellStart"/>
            <w:r w:rsidRPr="00A92255">
              <w:rPr>
                <w:rStyle w:val="Hypertextovodkaz"/>
                <w:rFonts w:asciiTheme="minorHAnsi" w:hAnsiTheme="minorHAnsi" w:cstheme="minorHAnsi"/>
                <w:color w:val="FF0000"/>
                <w:sz w:val="20"/>
                <w:szCs w:val="20"/>
              </w:rPr>
              <w:t>LinkedIN</w:t>
            </w:r>
            <w:proofErr w:type="spellEnd"/>
          </w:hyperlink>
          <w:r w:rsidRPr="00A92255">
            <w:rPr>
              <w:rStyle w:val="dn"/>
              <w:rFonts w:asciiTheme="minorHAnsi" w:hAnsiTheme="minorHAnsi" w:cstheme="minorHAnsi"/>
              <w:sz w:val="20"/>
              <w:szCs w:val="20"/>
            </w:rPr>
            <w:t xml:space="preserve"> Broker Consulting a </w:t>
          </w:r>
          <w:hyperlink r:id="rId14" w:history="1">
            <w:proofErr w:type="spellStart"/>
            <w:r w:rsidRPr="00A92255">
              <w:rPr>
                <w:rStyle w:val="Hypertextovodkaz"/>
                <w:rFonts w:asciiTheme="minorHAnsi" w:hAnsiTheme="minorHAnsi" w:cstheme="minorHAnsi"/>
                <w:color w:val="FF0000"/>
                <w:sz w:val="20"/>
                <w:szCs w:val="20"/>
              </w:rPr>
              <w:t>Facebook</w:t>
            </w:r>
            <w:proofErr w:type="spellEnd"/>
          </w:hyperlink>
          <w:r w:rsidRPr="00A92255">
            <w:rPr>
              <w:rStyle w:val="dn"/>
              <w:rFonts w:asciiTheme="minorHAnsi" w:hAnsiTheme="minorHAnsi" w:cstheme="minorHAnsi"/>
              <w:color w:val="FF0000"/>
              <w:sz w:val="20"/>
              <w:szCs w:val="20"/>
            </w:rPr>
            <w:t xml:space="preserve"> </w:t>
          </w:r>
          <w:r w:rsidRPr="00A92255">
            <w:rPr>
              <w:rStyle w:val="dn"/>
              <w:rFonts w:asciiTheme="minorHAnsi" w:hAnsiTheme="minorHAnsi" w:cstheme="minorHAnsi"/>
              <w:sz w:val="20"/>
              <w:szCs w:val="20"/>
            </w:rPr>
            <w:t xml:space="preserve">a </w:t>
          </w:r>
          <w:hyperlink r:id="rId15" w:history="1">
            <w:proofErr w:type="spellStart"/>
            <w:r w:rsidRPr="00A92255">
              <w:rPr>
                <w:rStyle w:val="Hypertextovodkaz"/>
                <w:rFonts w:asciiTheme="minorHAnsi" w:hAnsiTheme="minorHAnsi" w:cstheme="minorHAnsi"/>
                <w:color w:val="FF0000"/>
                <w:sz w:val="20"/>
                <w:szCs w:val="20"/>
              </w:rPr>
              <w:t>LinkedI</w:t>
            </w:r>
          </w:hyperlink>
          <w:r w:rsidRPr="00A92255">
            <w:rPr>
              <w:rStyle w:val="Hypertextovodkaz"/>
              <w:rFonts w:asciiTheme="minorHAnsi" w:hAnsiTheme="minorHAnsi" w:cstheme="minorHAnsi"/>
              <w:color w:val="FF0000"/>
              <w:sz w:val="20"/>
              <w:szCs w:val="20"/>
            </w:rPr>
            <w:t>N</w:t>
          </w:r>
          <w:proofErr w:type="spellEnd"/>
          <w:r w:rsidRPr="00A92255">
            <w:rPr>
              <w:rStyle w:val="dn"/>
              <w:rFonts w:asciiTheme="minorHAnsi" w:hAnsiTheme="minorHAnsi" w:cstheme="minorHAnsi"/>
              <w:color w:val="FF0000"/>
              <w:sz w:val="20"/>
              <w:szCs w:val="20"/>
            </w:rPr>
            <w:t xml:space="preserve"> </w:t>
          </w:r>
          <w:r w:rsidRPr="00A92255">
            <w:rPr>
              <w:rStyle w:val="dn"/>
              <w:rFonts w:asciiTheme="minorHAnsi" w:hAnsiTheme="minorHAnsi" w:cstheme="minorHAnsi"/>
              <w:sz w:val="20"/>
              <w:szCs w:val="20"/>
            </w:rPr>
            <w:t xml:space="preserve">OK </w:t>
          </w:r>
          <w:proofErr w:type="spellStart"/>
          <w:r w:rsidRPr="00A92255">
            <w:rPr>
              <w:rStyle w:val="dn"/>
              <w:rFonts w:asciiTheme="minorHAnsi" w:hAnsiTheme="minorHAnsi" w:cstheme="minorHAnsi"/>
              <w:sz w:val="20"/>
              <w:szCs w:val="20"/>
            </w:rPr>
            <w:t>POINTů</w:t>
          </w:r>
          <w:proofErr w:type="spellEnd"/>
          <w:r w:rsidRPr="00A92255">
            <w:rPr>
              <w:rStyle w:val="dn"/>
              <w:rFonts w:asciiTheme="minorHAnsi" w:hAnsiTheme="minorHAnsi" w:cstheme="minorHAnsi"/>
              <w:sz w:val="20"/>
              <w:szCs w:val="20"/>
            </w:rPr>
            <w:t xml:space="preserve">.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956B8E">
              <w:headerReference w:type="default" r:id="rId16"/>
              <w:footerReference w:type="default" r:id="rId17"/>
              <w:pgSz w:w="11910" w:h="16840"/>
              <w:pgMar w:top="960" w:right="740" w:bottom="0" w:left="720" w:header="708" w:footer="708" w:gutter="0"/>
              <w:cols w:space="708"/>
              <w:titlePg/>
              <w:docGrid w:linePitch="299"/>
            </w:sectPr>
          </w:pPr>
        </w:p>
        <w:p w14:paraId="35539C65" w14:textId="7A3AAC27" w:rsidR="00D31127" w:rsidRPr="00FC2522" w:rsidRDefault="002D42A3" w:rsidP="0025264B">
          <w:pPr>
            <w:rPr>
              <w:rFonts w:ascii="Arial" w:hAnsi="Arial" w:cs="Arial"/>
              <w:b/>
              <w:sz w:val="20"/>
              <w:szCs w:val="20"/>
              <w:highlight w:val="yellow"/>
            </w:rPr>
            <w:sectPr w:rsidR="00D31127" w:rsidRPr="00FC2522" w:rsidSect="00956B8E">
              <w:headerReference w:type="even" r:id="rId18"/>
              <w:headerReference w:type="default" r:id="rId19"/>
              <w:footerReference w:type="even" r:id="rId20"/>
              <w:headerReference w:type="first" r:id="rId21"/>
              <w:footerReference w:type="first" r:id="rId22"/>
              <w:pgSz w:w="11910" w:h="16840"/>
              <w:pgMar w:top="1418" w:right="740" w:bottom="420" w:left="720" w:header="340" w:footer="709" w:gutter="0"/>
              <w:pgNumType w:start="0"/>
              <w:cols w:space="708"/>
              <w:docGrid w:linePitch="299"/>
            </w:sectPr>
          </w:pPr>
        </w:p>
      </w:sdtContent>
    </w:sdt>
    <w:p w14:paraId="541E060F" w14:textId="6480ACC3" w:rsidR="00724267" w:rsidRPr="00B91131" w:rsidRDefault="00724267" w:rsidP="00B91131">
      <w:pPr>
        <w:rPr>
          <w:rFonts w:ascii="Arial" w:hAnsi="Arial" w:cs="Arial"/>
          <w:b/>
          <w:sz w:val="28"/>
          <w:szCs w:val="28"/>
        </w:rPr>
      </w:pPr>
    </w:p>
    <w:p w14:paraId="18F4B82E" w14:textId="42D8E2BE" w:rsidR="00F87665" w:rsidRDefault="00F87665" w:rsidP="009D0D2C">
      <w:pPr>
        <w:spacing w:after="120"/>
        <w:jc w:val="center"/>
        <w:rPr>
          <w:rFonts w:asciiTheme="minorHAnsi" w:hAnsiTheme="minorHAnsi" w:cstheme="minorHAnsi"/>
          <w:b/>
          <w:sz w:val="30"/>
          <w:szCs w:val="30"/>
        </w:rPr>
      </w:pPr>
      <w:r w:rsidRPr="00625DD9">
        <w:rPr>
          <w:rFonts w:asciiTheme="minorHAnsi" w:hAnsiTheme="minorHAnsi" w:cstheme="minorHAnsi"/>
          <w:b/>
          <w:sz w:val="30"/>
          <w:szCs w:val="30"/>
        </w:rPr>
        <w:t xml:space="preserve">Rozdíl mezi nabízenou a realizovanou cenou </w:t>
      </w:r>
      <w:r>
        <w:rPr>
          <w:rFonts w:asciiTheme="minorHAnsi" w:hAnsiTheme="minorHAnsi" w:cstheme="minorHAnsi"/>
          <w:b/>
          <w:sz w:val="30"/>
          <w:szCs w:val="30"/>
        </w:rPr>
        <w:t xml:space="preserve">nemovitostí </w:t>
      </w:r>
      <w:r w:rsidR="002F6F82">
        <w:rPr>
          <w:rFonts w:asciiTheme="minorHAnsi" w:hAnsiTheme="minorHAnsi" w:cstheme="minorHAnsi"/>
          <w:b/>
          <w:sz w:val="30"/>
          <w:szCs w:val="30"/>
        </w:rPr>
        <w:t>se pohybuje kolem</w:t>
      </w:r>
      <w:r w:rsidR="00BF6445">
        <w:rPr>
          <w:rFonts w:asciiTheme="minorHAnsi" w:hAnsiTheme="minorHAnsi" w:cstheme="minorHAnsi"/>
          <w:b/>
          <w:sz w:val="30"/>
          <w:szCs w:val="30"/>
        </w:rPr>
        <w:t xml:space="preserve"> </w:t>
      </w:r>
      <w:r>
        <w:rPr>
          <w:rFonts w:asciiTheme="minorHAnsi" w:hAnsiTheme="minorHAnsi" w:cstheme="minorHAnsi"/>
          <w:b/>
          <w:sz w:val="30"/>
          <w:szCs w:val="30"/>
        </w:rPr>
        <w:t>10 procent</w:t>
      </w:r>
    </w:p>
    <w:p w14:paraId="5EC5EE7A" w14:textId="22FFF6F5" w:rsidR="00F30F02" w:rsidRPr="001E3BDE" w:rsidRDefault="008C3A59" w:rsidP="009D0D2C">
      <w:pPr>
        <w:jc w:val="both"/>
        <w:rPr>
          <w:rFonts w:asciiTheme="minorHAnsi" w:hAnsiTheme="minorHAnsi" w:cstheme="minorHAnsi"/>
          <w:b/>
        </w:rPr>
      </w:pPr>
      <w:r w:rsidRPr="00A92255">
        <w:rPr>
          <w:rFonts w:asciiTheme="minorHAnsi" w:hAnsiTheme="minorHAnsi" w:cstheme="minorHAnsi"/>
          <w:b/>
        </w:rPr>
        <w:t>Praha,</w:t>
      </w:r>
      <w:r w:rsidR="009D64B2" w:rsidRPr="00A92255">
        <w:rPr>
          <w:rFonts w:asciiTheme="minorHAnsi" w:hAnsiTheme="minorHAnsi" w:cstheme="minorHAnsi"/>
          <w:b/>
        </w:rPr>
        <w:t xml:space="preserve"> </w:t>
      </w:r>
      <w:r w:rsidR="00BF6445">
        <w:rPr>
          <w:rFonts w:asciiTheme="minorHAnsi" w:hAnsiTheme="minorHAnsi" w:cstheme="minorHAnsi"/>
          <w:b/>
        </w:rPr>
        <w:t>15. března</w:t>
      </w:r>
      <w:r w:rsidR="008011E7" w:rsidRPr="00A92255">
        <w:rPr>
          <w:rFonts w:asciiTheme="minorHAnsi" w:hAnsiTheme="minorHAnsi" w:cstheme="minorHAnsi"/>
          <w:b/>
        </w:rPr>
        <w:t xml:space="preserve"> </w:t>
      </w:r>
      <w:r w:rsidR="00F30F02" w:rsidRPr="00A92255">
        <w:rPr>
          <w:rFonts w:asciiTheme="minorHAnsi" w:hAnsiTheme="minorHAnsi" w:cstheme="minorHAnsi"/>
          <w:b/>
        </w:rPr>
        <w:t>–</w:t>
      </w:r>
      <w:r w:rsidR="00BF6445" w:rsidRPr="00BF6445">
        <w:rPr>
          <w:rFonts w:asciiTheme="minorHAnsi" w:hAnsiTheme="minorHAnsi" w:cstheme="minorHAnsi"/>
          <w:b/>
        </w:rPr>
        <w:t xml:space="preserve"> </w:t>
      </w:r>
      <w:r w:rsidR="00BF6445" w:rsidRPr="00FF1E96">
        <w:rPr>
          <w:rFonts w:asciiTheme="minorHAnsi" w:hAnsiTheme="minorHAnsi" w:cstheme="minorHAnsi"/>
          <w:b/>
        </w:rPr>
        <w:t>Společnost Broker Consulting přichází s </w:t>
      </w:r>
      <w:proofErr w:type="spellStart"/>
      <w:r w:rsidR="00BF6445" w:rsidRPr="00FF1E96">
        <w:rPr>
          <w:rFonts w:asciiTheme="minorHAnsi" w:hAnsiTheme="minorHAnsi" w:cstheme="minorHAnsi"/>
          <w:b/>
        </w:rPr>
        <w:t>REALIndexem</w:t>
      </w:r>
      <w:proofErr w:type="spellEnd"/>
      <w:r w:rsidR="00BF6445" w:rsidRPr="00FF1E96">
        <w:rPr>
          <w:rFonts w:asciiTheme="minorHAnsi" w:hAnsiTheme="minorHAnsi" w:cstheme="minorHAnsi"/>
          <w:b/>
        </w:rPr>
        <w:t>, který porovnává data z</w:t>
      </w:r>
      <w:r w:rsidR="00BF6445">
        <w:rPr>
          <w:rFonts w:asciiTheme="minorHAnsi" w:hAnsiTheme="minorHAnsi" w:cstheme="minorHAnsi"/>
          <w:b/>
        </w:rPr>
        <w:t> </w:t>
      </w:r>
      <w:r w:rsidR="00BF6445" w:rsidRPr="00FF1E96">
        <w:rPr>
          <w:rFonts w:asciiTheme="minorHAnsi" w:hAnsiTheme="minorHAnsi" w:cstheme="minorHAnsi"/>
          <w:b/>
        </w:rPr>
        <w:t>celého</w:t>
      </w:r>
      <w:r w:rsidR="00BF6445">
        <w:rPr>
          <w:rFonts w:asciiTheme="minorHAnsi" w:hAnsiTheme="minorHAnsi" w:cstheme="minorHAnsi"/>
          <w:b/>
        </w:rPr>
        <w:t xml:space="preserve"> tuzemského</w:t>
      </w:r>
      <w:r w:rsidR="00BF6445" w:rsidRPr="00FF1E96">
        <w:rPr>
          <w:rFonts w:asciiTheme="minorHAnsi" w:hAnsiTheme="minorHAnsi" w:cstheme="minorHAnsi"/>
          <w:b/>
        </w:rPr>
        <w:t xml:space="preserve"> r</w:t>
      </w:r>
      <w:r w:rsidR="00185BBE">
        <w:rPr>
          <w:rFonts w:asciiTheme="minorHAnsi" w:hAnsiTheme="minorHAnsi" w:cstheme="minorHAnsi"/>
          <w:b/>
        </w:rPr>
        <w:t>ealitn</w:t>
      </w:r>
      <w:r w:rsidR="00E562EA">
        <w:rPr>
          <w:rFonts w:asciiTheme="minorHAnsi" w:hAnsiTheme="minorHAnsi" w:cstheme="minorHAnsi"/>
          <w:b/>
        </w:rPr>
        <w:t>ího trhu. Výsledky indexu budou jako jediné  porovnávat</w:t>
      </w:r>
      <w:r w:rsidR="009209B4">
        <w:rPr>
          <w:rFonts w:asciiTheme="minorHAnsi" w:hAnsiTheme="minorHAnsi" w:cstheme="minorHAnsi"/>
          <w:b/>
        </w:rPr>
        <w:t xml:space="preserve"> </w:t>
      </w:r>
      <w:r w:rsidR="00BF6445">
        <w:rPr>
          <w:rFonts w:asciiTheme="minorHAnsi" w:hAnsiTheme="minorHAnsi" w:cstheme="minorHAnsi"/>
          <w:b/>
        </w:rPr>
        <w:t>rozdíl</w:t>
      </w:r>
      <w:r w:rsidR="009209B4">
        <w:rPr>
          <w:rFonts w:asciiTheme="minorHAnsi" w:hAnsiTheme="minorHAnsi" w:cstheme="minorHAnsi"/>
          <w:b/>
        </w:rPr>
        <w:t xml:space="preserve"> mezi realizovanou </w:t>
      </w:r>
      <w:r w:rsidR="00E562EA">
        <w:rPr>
          <w:rFonts w:asciiTheme="minorHAnsi" w:hAnsiTheme="minorHAnsi" w:cstheme="minorHAnsi"/>
          <w:b/>
        </w:rPr>
        <w:t>a prvotně nabíz</w:t>
      </w:r>
      <w:r w:rsidR="009209B4">
        <w:rPr>
          <w:rFonts w:asciiTheme="minorHAnsi" w:hAnsiTheme="minorHAnsi" w:cstheme="minorHAnsi"/>
          <w:b/>
        </w:rPr>
        <w:t>enou cenou</w:t>
      </w:r>
      <w:r w:rsidR="009209B4" w:rsidRPr="009209B4">
        <w:rPr>
          <w:rFonts w:asciiTheme="minorHAnsi" w:hAnsiTheme="minorHAnsi" w:cstheme="minorHAnsi"/>
          <w:b/>
        </w:rPr>
        <w:t xml:space="preserve"> </w:t>
      </w:r>
      <w:r w:rsidR="00804111">
        <w:rPr>
          <w:rFonts w:asciiTheme="minorHAnsi" w:hAnsiTheme="minorHAnsi" w:cstheme="minorHAnsi"/>
          <w:b/>
        </w:rPr>
        <w:t xml:space="preserve">u </w:t>
      </w:r>
      <w:r w:rsidR="009209B4">
        <w:rPr>
          <w:rFonts w:asciiTheme="minorHAnsi" w:hAnsiTheme="minorHAnsi" w:cstheme="minorHAnsi"/>
          <w:b/>
        </w:rPr>
        <w:t>nemovitostí, u nichž</w:t>
      </w:r>
      <w:r w:rsidR="00E562EA">
        <w:rPr>
          <w:rFonts w:asciiTheme="minorHAnsi" w:hAnsiTheme="minorHAnsi" w:cstheme="minorHAnsi"/>
          <w:b/>
        </w:rPr>
        <w:t xml:space="preserve"> byl </w:t>
      </w:r>
      <w:r w:rsidR="009209B4">
        <w:rPr>
          <w:rFonts w:asciiTheme="minorHAnsi" w:hAnsiTheme="minorHAnsi" w:cstheme="minorHAnsi"/>
          <w:b/>
        </w:rPr>
        <w:t xml:space="preserve">již </w:t>
      </w:r>
      <w:r w:rsidR="00E562EA">
        <w:rPr>
          <w:rFonts w:asciiTheme="minorHAnsi" w:hAnsiTheme="minorHAnsi" w:cstheme="minorHAnsi"/>
          <w:b/>
        </w:rPr>
        <w:t xml:space="preserve">podán návrh na vklad do katastru nemovitosti. Měřené hodnoty se potom budou </w:t>
      </w:r>
      <w:r w:rsidR="00BF6445">
        <w:rPr>
          <w:rFonts w:asciiTheme="minorHAnsi" w:hAnsiTheme="minorHAnsi" w:cstheme="minorHAnsi"/>
          <w:b/>
        </w:rPr>
        <w:t>měnit v závislosti na čase a podle několika paramentů, například podle typu nemovitosti (byty,</w:t>
      </w:r>
      <w:r w:rsidR="009209B4">
        <w:rPr>
          <w:rFonts w:asciiTheme="minorHAnsi" w:hAnsiTheme="minorHAnsi" w:cstheme="minorHAnsi"/>
          <w:b/>
        </w:rPr>
        <w:t xml:space="preserve"> </w:t>
      </w:r>
      <w:r w:rsidR="00BF6445">
        <w:rPr>
          <w:rFonts w:asciiTheme="minorHAnsi" w:hAnsiTheme="minorHAnsi" w:cstheme="minorHAnsi"/>
          <w:b/>
        </w:rPr>
        <w:t>domy)</w:t>
      </w:r>
      <w:r w:rsidR="009209B4">
        <w:rPr>
          <w:rFonts w:asciiTheme="minorHAnsi" w:hAnsiTheme="minorHAnsi" w:cstheme="minorHAnsi"/>
          <w:b/>
        </w:rPr>
        <w:t xml:space="preserve"> nebo lokality podle krajů</w:t>
      </w:r>
      <w:r w:rsidR="00E562EA">
        <w:rPr>
          <w:rFonts w:asciiTheme="minorHAnsi" w:hAnsiTheme="minorHAnsi" w:cstheme="minorHAnsi"/>
          <w:b/>
        </w:rPr>
        <w:t>.</w:t>
      </w:r>
      <w:r w:rsidR="009209B4">
        <w:rPr>
          <w:rFonts w:asciiTheme="minorHAnsi" w:hAnsiTheme="minorHAnsi" w:cstheme="minorHAnsi"/>
          <w:b/>
        </w:rPr>
        <w:t xml:space="preserve"> Podle naměřených hodnot za 4.</w:t>
      </w:r>
      <w:r w:rsidR="00BF6445">
        <w:rPr>
          <w:rFonts w:asciiTheme="minorHAnsi" w:hAnsiTheme="minorHAnsi" w:cstheme="minorHAnsi"/>
          <w:b/>
        </w:rPr>
        <w:t xml:space="preserve"> </w:t>
      </w:r>
      <w:r w:rsidR="00804111">
        <w:rPr>
          <w:rFonts w:asciiTheme="minorHAnsi" w:hAnsiTheme="minorHAnsi" w:cstheme="minorHAnsi"/>
          <w:b/>
        </w:rPr>
        <w:t>kvartál minulého roku činil</w:t>
      </w:r>
      <w:r w:rsidR="009209B4">
        <w:rPr>
          <w:rFonts w:asciiTheme="minorHAnsi" w:hAnsiTheme="minorHAnsi" w:cstheme="minorHAnsi"/>
          <w:b/>
        </w:rPr>
        <w:t xml:space="preserve"> Broker Consulting REALIndex</w:t>
      </w:r>
      <w:r w:rsidR="00BF6445">
        <w:rPr>
          <w:rFonts w:asciiTheme="minorHAnsi" w:hAnsiTheme="minorHAnsi" w:cstheme="minorHAnsi"/>
          <w:b/>
        </w:rPr>
        <w:t xml:space="preserve"> </w:t>
      </w:r>
      <w:r w:rsidR="00804111">
        <w:rPr>
          <w:rFonts w:asciiTheme="minorHAnsi" w:hAnsiTheme="minorHAnsi" w:cstheme="minorHAnsi"/>
          <w:b/>
        </w:rPr>
        <w:t>minus</w:t>
      </w:r>
      <w:r w:rsidR="00024241">
        <w:rPr>
          <w:rFonts w:asciiTheme="minorHAnsi" w:hAnsiTheme="minorHAnsi" w:cstheme="minorHAnsi"/>
          <w:b/>
        </w:rPr>
        <w:t xml:space="preserve"> </w:t>
      </w:r>
      <w:r w:rsidR="009209B4">
        <w:rPr>
          <w:rFonts w:asciiTheme="minorHAnsi" w:hAnsiTheme="minorHAnsi" w:cstheme="minorHAnsi"/>
          <w:b/>
        </w:rPr>
        <w:t>8 procent</w:t>
      </w:r>
      <w:r w:rsidR="00BF6445" w:rsidRPr="00FF1E96">
        <w:rPr>
          <w:rFonts w:asciiTheme="minorHAnsi" w:hAnsiTheme="minorHAnsi" w:cstheme="minorHAnsi"/>
          <w:b/>
        </w:rPr>
        <w:t>.</w:t>
      </w:r>
      <w:r w:rsidR="00BF6445">
        <w:rPr>
          <w:rFonts w:asciiTheme="minorHAnsi" w:hAnsiTheme="minorHAnsi" w:cstheme="minorHAnsi"/>
          <w:b/>
        </w:rPr>
        <w:t xml:space="preserve"> </w:t>
      </w:r>
      <w:r w:rsidR="00804111" w:rsidRPr="00FF1E96">
        <w:rPr>
          <w:rFonts w:asciiTheme="minorHAnsi" w:hAnsiTheme="minorHAnsi" w:cstheme="minorHAnsi"/>
          <w:b/>
        </w:rPr>
        <w:t>V letošním </w:t>
      </w:r>
      <w:r w:rsidR="00804111">
        <w:rPr>
          <w:rFonts w:asciiTheme="minorHAnsi" w:hAnsiTheme="minorHAnsi" w:cstheme="minorHAnsi"/>
          <w:b/>
        </w:rPr>
        <w:t>roce se rozdíl mezi představami prodávajících a skutečných realizačních cen ještě prohloubil</w:t>
      </w:r>
      <w:r w:rsidR="00804111">
        <w:rPr>
          <w:rFonts w:asciiTheme="minorHAnsi" w:hAnsiTheme="minorHAnsi" w:cstheme="minorHAnsi"/>
          <w:b/>
        </w:rPr>
        <w:t>. Předstihový</w:t>
      </w:r>
      <w:r w:rsidR="00024241">
        <w:rPr>
          <w:rFonts w:asciiTheme="minorHAnsi" w:hAnsiTheme="minorHAnsi" w:cstheme="minorHAnsi"/>
          <w:b/>
        </w:rPr>
        <w:t xml:space="preserve"> </w:t>
      </w:r>
      <w:r w:rsidR="00BF6445">
        <w:rPr>
          <w:rFonts w:asciiTheme="minorHAnsi" w:hAnsiTheme="minorHAnsi" w:cstheme="minorHAnsi"/>
          <w:b/>
        </w:rPr>
        <w:t xml:space="preserve">ukazatel </w:t>
      </w:r>
      <w:r w:rsidR="00804111">
        <w:rPr>
          <w:rFonts w:asciiTheme="minorHAnsi" w:hAnsiTheme="minorHAnsi" w:cstheme="minorHAnsi"/>
          <w:b/>
        </w:rPr>
        <w:t xml:space="preserve">za únor </w:t>
      </w:r>
      <w:r w:rsidR="00024241">
        <w:rPr>
          <w:rFonts w:asciiTheme="minorHAnsi" w:hAnsiTheme="minorHAnsi" w:cstheme="minorHAnsi"/>
          <w:b/>
        </w:rPr>
        <w:t xml:space="preserve">zaznamenává </w:t>
      </w:r>
      <w:r w:rsidR="00BF6445">
        <w:rPr>
          <w:rFonts w:asciiTheme="minorHAnsi" w:hAnsiTheme="minorHAnsi" w:cstheme="minorHAnsi"/>
          <w:b/>
        </w:rPr>
        <w:t xml:space="preserve">hodnoty </w:t>
      </w:r>
      <w:r w:rsidR="00E20252">
        <w:rPr>
          <w:rFonts w:asciiTheme="minorHAnsi" w:hAnsiTheme="minorHAnsi" w:cstheme="minorHAnsi"/>
          <w:b/>
        </w:rPr>
        <w:t xml:space="preserve">minus </w:t>
      </w:r>
      <w:r w:rsidR="00BF6445">
        <w:rPr>
          <w:rFonts w:asciiTheme="minorHAnsi" w:hAnsiTheme="minorHAnsi" w:cstheme="minorHAnsi"/>
          <w:b/>
        </w:rPr>
        <w:t xml:space="preserve">10 a </w:t>
      </w:r>
      <w:r w:rsidR="00BF6445" w:rsidRPr="00FF1E96">
        <w:rPr>
          <w:rFonts w:asciiTheme="minorHAnsi" w:hAnsiTheme="minorHAnsi" w:cstheme="minorHAnsi"/>
          <w:b/>
        </w:rPr>
        <w:t xml:space="preserve">v lednu </w:t>
      </w:r>
      <w:r w:rsidR="00E20252">
        <w:rPr>
          <w:rFonts w:asciiTheme="minorHAnsi" w:hAnsiTheme="minorHAnsi" w:cstheme="minorHAnsi"/>
          <w:b/>
        </w:rPr>
        <w:t xml:space="preserve">minus </w:t>
      </w:r>
      <w:r w:rsidR="00024241">
        <w:rPr>
          <w:rFonts w:asciiTheme="minorHAnsi" w:hAnsiTheme="minorHAnsi" w:cstheme="minorHAnsi"/>
          <w:b/>
        </w:rPr>
        <w:t>9 procent</w:t>
      </w:r>
      <w:r w:rsidR="00BF6445" w:rsidRPr="00FF1E96">
        <w:rPr>
          <w:rFonts w:asciiTheme="minorHAnsi" w:hAnsiTheme="minorHAnsi" w:cstheme="minorHAnsi"/>
          <w:b/>
        </w:rPr>
        <w:t>.</w:t>
      </w:r>
      <w:r w:rsidR="00024241">
        <w:rPr>
          <w:rFonts w:asciiTheme="minorHAnsi" w:hAnsiTheme="minorHAnsi" w:cstheme="minorHAnsi"/>
          <w:b/>
        </w:rPr>
        <w:t xml:space="preserve"> </w:t>
      </w:r>
    </w:p>
    <w:p w14:paraId="2E2C416C" w14:textId="418B5E85" w:rsidR="00A92255" w:rsidRPr="001E3BDE" w:rsidRDefault="00A92255" w:rsidP="001E3BDE">
      <w:pPr>
        <w:spacing w:before="120"/>
        <w:jc w:val="both"/>
        <w:rPr>
          <w:rFonts w:asciiTheme="minorHAnsi" w:hAnsiTheme="minorHAnsi" w:cstheme="minorHAnsi"/>
        </w:rPr>
      </w:pPr>
      <w:r w:rsidRPr="001E3BDE">
        <w:rPr>
          <w:rFonts w:asciiTheme="minorHAnsi" w:hAnsiTheme="minorHAnsi" w:cstheme="minorHAnsi"/>
        </w:rPr>
        <w:t>„</w:t>
      </w:r>
      <w:r w:rsidRPr="001E3BDE">
        <w:rPr>
          <w:rFonts w:asciiTheme="minorHAnsi" w:hAnsiTheme="minorHAnsi" w:cstheme="minorHAnsi"/>
          <w:i/>
        </w:rPr>
        <w:t xml:space="preserve">Broker Consulting REALIndex zachycuje vývoj na trhu s bydlením v čase, když analyzuje, jaká jsou během sledovaného období cenová očekávání těch, kteří rezidenční nemovitost na trhu nabízí, tak těch, kteří o ni mají zájem. Čím je vyšší rozdíl mezi prvotní nabídkovou a realizační cenou, tím více se reálně liší představy obou stran o ceně,“ </w:t>
      </w:r>
      <w:r w:rsidRPr="001E3BDE">
        <w:rPr>
          <w:rFonts w:asciiTheme="minorHAnsi" w:hAnsiTheme="minorHAnsi" w:cstheme="minorHAnsi"/>
        </w:rPr>
        <w:t>uvedl ke spuštění nového indexu, který tak doplní čtyři další monitorované hodnot</w:t>
      </w:r>
      <w:r w:rsidR="00E96A9B">
        <w:rPr>
          <w:rFonts w:asciiTheme="minorHAnsi" w:hAnsiTheme="minorHAnsi" w:cstheme="minorHAnsi"/>
        </w:rPr>
        <w:t>y ze skupiny Broker Consulting I</w:t>
      </w:r>
      <w:r w:rsidRPr="001E3BDE">
        <w:rPr>
          <w:rFonts w:asciiTheme="minorHAnsi" w:hAnsiTheme="minorHAnsi" w:cstheme="minorHAnsi"/>
        </w:rPr>
        <w:t>ndexů</w:t>
      </w:r>
      <w:r w:rsidRPr="001E3BDE">
        <w:rPr>
          <w:rFonts w:asciiTheme="minorHAnsi" w:hAnsiTheme="minorHAnsi" w:cstheme="minorHAnsi"/>
          <w:i/>
        </w:rPr>
        <w:t xml:space="preserve">, </w:t>
      </w:r>
      <w:r w:rsidRPr="001E3BDE">
        <w:rPr>
          <w:rFonts w:asciiTheme="minorHAnsi" w:hAnsiTheme="minorHAnsi" w:cstheme="minorHAnsi"/>
          <w:b/>
        </w:rPr>
        <w:t>Martin Novák, hlavní analytik Broker Consulting</w:t>
      </w:r>
      <w:r w:rsidRPr="001E3BDE">
        <w:rPr>
          <w:rFonts w:asciiTheme="minorHAnsi" w:hAnsiTheme="minorHAnsi" w:cstheme="minorHAnsi"/>
        </w:rPr>
        <w:t xml:space="preserve">.  Ten </w:t>
      </w:r>
      <w:r w:rsidR="00171C91">
        <w:rPr>
          <w:rFonts w:asciiTheme="minorHAnsi" w:hAnsiTheme="minorHAnsi" w:cstheme="minorHAnsi"/>
        </w:rPr>
        <w:t xml:space="preserve">také </w:t>
      </w:r>
      <w:r w:rsidRPr="001E3BDE">
        <w:rPr>
          <w:rFonts w:asciiTheme="minorHAnsi" w:hAnsiTheme="minorHAnsi" w:cstheme="minorHAnsi"/>
        </w:rPr>
        <w:t xml:space="preserve">dodal, že další výhodou výpočtu bude jeho vysoká spolehlivost, hodnoty zrealizovaných </w:t>
      </w:r>
      <w:r w:rsidR="001D1A72">
        <w:rPr>
          <w:rFonts w:asciiTheme="minorHAnsi" w:hAnsiTheme="minorHAnsi" w:cstheme="minorHAnsi"/>
        </w:rPr>
        <w:t>prodejů totiž vychází</w:t>
      </w:r>
      <w:r w:rsidRPr="001E3BDE">
        <w:rPr>
          <w:rFonts w:asciiTheme="minorHAnsi" w:hAnsiTheme="minorHAnsi" w:cstheme="minorHAnsi"/>
        </w:rPr>
        <w:t xml:space="preserve"> přímo z katastru nemovitostí. </w:t>
      </w:r>
      <w:r w:rsidR="00E96A9B">
        <w:rPr>
          <w:rFonts w:asciiTheme="minorHAnsi" w:hAnsiTheme="minorHAnsi" w:cstheme="minorHAnsi"/>
        </w:rPr>
        <w:t>Zároveň</w:t>
      </w:r>
      <w:r w:rsidRPr="001E3BDE">
        <w:rPr>
          <w:rFonts w:asciiTheme="minorHAnsi" w:hAnsiTheme="minorHAnsi" w:cstheme="minorHAnsi"/>
        </w:rPr>
        <w:t xml:space="preserve"> je REALIndex postavený na datech z celé České republiky</w:t>
      </w:r>
      <w:r w:rsidR="00312F4B">
        <w:rPr>
          <w:rFonts w:asciiTheme="minorHAnsi" w:hAnsiTheme="minorHAnsi" w:cstheme="minorHAnsi"/>
        </w:rPr>
        <w:t xml:space="preserve">, </w:t>
      </w:r>
      <w:r w:rsidR="00171C91">
        <w:rPr>
          <w:rFonts w:asciiTheme="minorHAnsi" w:hAnsiTheme="minorHAnsi" w:cstheme="minorHAnsi"/>
        </w:rPr>
        <w:t>zdrojovou</w:t>
      </w:r>
      <w:r w:rsidR="00312F4B">
        <w:rPr>
          <w:rFonts w:asciiTheme="minorHAnsi" w:hAnsiTheme="minorHAnsi" w:cstheme="minorHAnsi"/>
        </w:rPr>
        <w:t xml:space="preserve"> </w:t>
      </w:r>
      <w:r w:rsidR="00171C91">
        <w:rPr>
          <w:rFonts w:asciiTheme="minorHAnsi" w:hAnsiTheme="minorHAnsi" w:cstheme="minorHAnsi"/>
        </w:rPr>
        <w:t>databázi</w:t>
      </w:r>
      <w:r w:rsidR="00312F4B">
        <w:rPr>
          <w:rFonts w:asciiTheme="minorHAnsi" w:hAnsiTheme="minorHAnsi" w:cstheme="minorHAnsi"/>
        </w:rPr>
        <w:t xml:space="preserve"> </w:t>
      </w:r>
      <w:r w:rsidR="008D471A">
        <w:rPr>
          <w:rFonts w:asciiTheme="minorHAnsi" w:hAnsiTheme="minorHAnsi" w:cstheme="minorHAnsi"/>
        </w:rPr>
        <w:t xml:space="preserve">konkrétně </w:t>
      </w:r>
      <w:r w:rsidR="00312F4B">
        <w:rPr>
          <w:rFonts w:asciiTheme="minorHAnsi" w:hAnsiTheme="minorHAnsi" w:cstheme="minorHAnsi"/>
        </w:rPr>
        <w:t>činí</w:t>
      </w:r>
      <w:r w:rsidR="00CD2466">
        <w:rPr>
          <w:rFonts w:asciiTheme="minorHAnsi" w:hAnsiTheme="minorHAnsi" w:cstheme="minorHAnsi"/>
        </w:rPr>
        <w:t xml:space="preserve"> několik tisíc</w:t>
      </w:r>
      <w:r w:rsidR="00312F4B">
        <w:rPr>
          <w:rFonts w:asciiTheme="minorHAnsi" w:hAnsiTheme="minorHAnsi" w:cstheme="minorHAnsi"/>
        </w:rPr>
        <w:t xml:space="preserve"> nemovitostí</w:t>
      </w:r>
      <w:r w:rsidRPr="001E3BDE">
        <w:rPr>
          <w:rFonts w:asciiTheme="minorHAnsi" w:hAnsiTheme="minorHAnsi" w:cstheme="minorHAnsi"/>
        </w:rPr>
        <w:t xml:space="preserve">. </w:t>
      </w:r>
    </w:p>
    <w:p w14:paraId="79F60F42" w14:textId="56CE8CF4" w:rsidR="001E3BDE" w:rsidRPr="001E3BDE" w:rsidRDefault="001E3BDE" w:rsidP="001E3BDE">
      <w:pPr>
        <w:spacing w:before="120"/>
        <w:jc w:val="both"/>
        <w:rPr>
          <w:rFonts w:asciiTheme="minorHAnsi" w:hAnsiTheme="minorHAnsi" w:cstheme="minorHAnsi"/>
        </w:rPr>
      </w:pPr>
      <w:r w:rsidRPr="001E3BDE">
        <w:rPr>
          <w:rFonts w:asciiTheme="minorHAnsi" w:hAnsiTheme="minorHAnsi" w:cstheme="minorHAnsi"/>
        </w:rPr>
        <w:t xml:space="preserve">Hodnota </w:t>
      </w:r>
      <w:proofErr w:type="spellStart"/>
      <w:r w:rsidRPr="001E3BDE">
        <w:rPr>
          <w:rFonts w:asciiTheme="minorHAnsi" w:hAnsiTheme="minorHAnsi" w:cstheme="minorHAnsi"/>
        </w:rPr>
        <w:t>REALIndexu</w:t>
      </w:r>
      <w:proofErr w:type="spellEnd"/>
      <w:r w:rsidRPr="001E3BDE">
        <w:rPr>
          <w:rFonts w:asciiTheme="minorHAnsi" w:hAnsiTheme="minorHAnsi" w:cstheme="minorHAnsi"/>
        </w:rPr>
        <w:t xml:space="preserve"> ve 4. kvartálu minulého roku činila </w:t>
      </w:r>
      <w:r w:rsidR="00CC49C2">
        <w:rPr>
          <w:rFonts w:asciiTheme="minorHAnsi" w:hAnsiTheme="minorHAnsi" w:cstheme="minorHAnsi"/>
        </w:rPr>
        <w:t>minus</w:t>
      </w:r>
      <w:r w:rsidR="00CD6A1D">
        <w:rPr>
          <w:rFonts w:asciiTheme="minorHAnsi" w:hAnsiTheme="minorHAnsi" w:cstheme="minorHAnsi"/>
        </w:rPr>
        <w:t xml:space="preserve"> 8 procent</w:t>
      </w:r>
      <w:r w:rsidRPr="001E3BDE">
        <w:rPr>
          <w:rFonts w:asciiTheme="minorHAnsi" w:hAnsiTheme="minorHAnsi" w:cstheme="minorHAnsi"/>
        </w:rPr>
        <w:t>. Ne</w:t>
      </w:r>
      <w:r w:rsidR="005552AB">
        <w:rPr>
          <w:rFonts w:asciiTheme="minorHAnsi" w:hAnsiTheme="minorHAnsi" w:cstheme="minorHAnsi"/>
        </w:rPr>
        <w:t>jvětší rozdíl cen</w:t>
      </w:r>
      <w:r w:rsidR="00CD6A1D">
        <w:rPr>
          <w:rFonts w:asciiTheme="minorHAnsi" w:hAnsiTheme="minorHAnsi" w:cstheme="minorHAnsi"/>
        </w:rPr>
        <w:t xml:space="preserve">, a to ve výši </w:t>
      </w:r>
      <w:r w:rsidR="005552AB">
        <w:rPr>
          <w:rFonts w:asciiTheme="minorHAnsi" w:hAnsiTheme="minorHAnsi" w:cstheme="minorHAnsi"/>
        </w:rPr>
        <w:t xml:space="preserve">minus </w:t>
      </w:r>
      <w:r w:rsidR="00CD6A1D">
        <w:rPr>
          <w:rFonts w:asciiTheme="minorHAnsi" w:hAnsiTheme="minorHAnsi" w:cstheme="minorHAnsi"/>
        </w:rPr>
        <w:t>12 procent</w:t>
      </w:r>
      <w:r w:rsidRPr="001E3BDE">
        <w:rPr>
          <w:rFonts w:asciiTheme="minorHAnsi" w:hAnsiTheme="minorHAnsi" w:cstheme="minorHAnsi"/>
        </w:rPr>
        <w:t>, zaznamenal v tomto čtvrtletí REALIndex ve Středočeském kraji. Následovaný byl Jihočeským (-10 %) a Ústeckým (-9</w:t>
      </w:r>
      <w:r w:rsidR="00CD6A1D">
        <w:rPr>
          <w:rFonts w:asciiTheme="minorHAnsi" w:hAnsiTheme="minorHAnsi" w:cstheme="minorHAnsi"/>
        </w:rPr>
        <w:t xml:space="preserve"> </w:t>
      </w:r>
      <w:r w:rsidR="005552AB">
        <w:rPr>
          <w:rFonts w:asciiTheme="minorHAnsi" w:hAnsiTheme="minorHAnsi" w:cstheme="minorHAnsi"/>
        </w:rPr>
        <w:t>%) krajem. Osmiprocentní rozdíl ukázal REALIndex</w:t>
      </w:r>
      <w:r w:rsidRPr="001E3BDE">
        <w:rPr>
          <w:rFonts w:asciiTheme="minorHAnsi" w:hAnsiTheme="minorHAnsi" w:cstheme="minorHAnsi"/>
        </w:rPr>
        <w:t xml:space="preserve"> </w:t>
      </w:r>
      <w:r w:rsidR="005552AB">
        <w:rPr>
          <w:rFonts w:asciiTheme="minorHAnsi" w:hAnsiTheme="minorHAnsi" w:cstheme="minorHAnsi"/>
        </w:rPr>
        <w:t>v Plzeňském, Olomouckém a Pardubickém</w:t>
      </w:r>
      <w:r w:rsidRPr="001E3BDE">
        <w:rPr>
          <w:rFonts w:asciiTheme="minorHAnsi" w:hAnsiTheme="minorHAnsi" w:cstheme="minorHAnsi"/>
        </w:rPr>
        <w:t xml:space="preserve"> kraj</w:t>
      </w:r>
      <w:r w:rsidR="005552AB">
        <w:rPr>
          <w:rFonts w:asciiTheme="minorHAnsi" w:hAnsiTheme="minorHAnsi" w:cstheme="minorHAnsi"/>
        </w:rPr>
        <w:t>i,</w:t>
      </w:r>
      <w:r w:rsidRPr="001E3BDE">
        <w:rPr>
          <w:rFonts w:asciiTheme="minorHAnsi" w:hAnsiTheme="minorHAnsi" w:cstheme="minorHAnsi"/>
        </w:rPr>
        <w:t xml:space="preserve"> sedmiprocentní </w:t>
      </w:r>
      <w:r w:rsidR="005552AB">
        <w:rPr>
          <w:rFonts w:asciiTheme="minorHAnsi" w:hAnsiTheme="minorHAnsi" w:cstheme="minorHAnsi"/>
        </w:rPr>
        <w:t>pak v Jihomoravském, Zlínském</w:t>
      </w:r>
      <w:r w:rsidR="0012386D">
        <w:rPr>
          <w:rFonts w:asciiTheme="minorHAnsi" w:hAnsiTheme="minorHAnsi" w:cstheme="minorHAnsi"/>
        </w:rPr>
        <w:t>, Moravskoslezském a Karlovarském</w:t>
      </w:r>
      <w:r w:rsidRPr="001E3BDE">
        <w:rPr>
          <w:rFonts w:asciiTheme="minorHAnsi" w:hAnsiTheme="minorHAnsi" w:cstheme="minorHAnsi"/>
        </w:rPr>
        <w:t xml:space="preserve"> kraj</w:t>
      </w:r>
      <w:r w:rsidR="0012386D">
        <w:rPr>
          <w:rFonts w:asciiTheme="minorHAnsi" w:hAnsiTheme="minorHAnsi" w:cstheme="minorHAnsi"/>
        </w:rPr>
        <w:t>i</w:t>
      </w:r>
      <w:r w:rsidRPr="001E3BDE">
        <w:rPr>
          <w:rFonts w:asciiTheme="minorHAnsi" w:hAnsiTheme="minorHAnsi" w:cstheme="minorHAnsi"/>
        </w:rPr>
        <w:t xml:space="preserve">. V Praze a Královehradeckém kraji to bylo </w:t>
      </w:r>
      <w:r w:rsidR="00CC49C2">
        <w:rPr>
          <w:rFonts w:asciiTheme="minorHAnsi" w:hAnsiTheme="minorHAnsi" w:cstheme="minorHAnsi"/>
        </w:rPr>
        <w:t xml:space="preserve">minus </w:t>
      </w:r>
      <w:r w:rsidRPr="001E3BDE">
        <w:rPr>
          <w:rFonts w:asciiTheme="minorHAnsi" w:hAnsiTheme="minorHAnsi" w:cstheme="minorHAnsi"/>
        </w:rPr>
        <w:t>6 a na Vysočině a v Liberec</w:t>
      </w:r>
      <w:r w:rsidR="00CC49C2">
        <w:rPr>
          <w:rFonts w:asciiTheme="minorHAnsi" w:hAnsiTheme="minorHAnsi" w:cstheme="minorHAnsi"/>
        </w:rPr>
        <w:t>kém kraji minus 3 procenta</w:t>
      </w:r>
      <w:r w:rsidRPr="001E3BDE">
        <w:rPr>
          <w:rFonts w:asciiTheme="minorHAnsi" w:hAnsiTheme="minorHAnsi" w:cstheme="minorHAnsi"/>
        </w:rPr>
        <w:t>. Prvotně nabízená cena byla ve sledovaném období v průměru ve výši 70 800 Kč/m</w:t>
      </w:r>
      <w:r w:rsidRPr="001E3BDE">
        <w:rPr>
          <w:rFonts w:asciiTheme="minorHAnsi" w:hAnsiTheme="minorHAnsi" w:cstheme="minorHAnsi"/>
          <w:vertAlign w:val="superscript"/>
        </w:rPr>
        <w:t>2</w:t>
      </w:r>
      <w:r w:rsidRPr="001E3BDE">
        <w:rPr>
          <w:rFonts w:asciiTheme="minorHAnsi" w:hAnsiTheme="minorHAnsi" w:cstheme="minorHAnsi"/>
        </w:rPr>
        <w:t xml:space="preserve"> a realizovaná cena 64 990 Kč/m</w:t>
      </w:r>
      <w:r w:rsidRPr="001E3BDE">
        <w:rPr>
          <w:rFonts w:asciiTheme="minorHAnsi" w:hAnsiTheme="minorHAnsi" w:cstheme="minorHAnsi"/>
          <w:vertAlign w:val="superscript"/>
        </w:rPr>
        <w:t>2</w:t>
      </w:r>
      <w:r w:rsidRPr="001E3BDE">
        <w:rPr>
          <w:rFonts w:asciiTheme="minorHAnsi" w:hAnsiTheme="minorHAnsi" w:cstheme="minorHAnsi"/>
        </w:rPr>
        <w:t xml:space="preserve">. U domů se pokles </w:t>
      </w:r>
      <w:proofErr w:type="spellStart"/>
      <w:r w:rsidRPr="001E3BDE">
        <w:rPr>
          <w:rFonts w:asciiTheme="minorHAnsi" w:hAnsiTheme="minorHAnsi" w:cstheme="minorHAnsi"/>
        </w:rPr>
        <w:t>REALIndexu</w:t>
      </w:r>
      <w:proofErr w:type="spellEnd"/>
      <w:r w:rsidRPr="001E3BDE">
        <w:rPr>
          <w:rFonts w:asciiTheme="minorHAnsi" w:hAnsiTheme="minorHAnsi" w:cstheme="minorHAnsi"/>
        </w:rPr>
        <w:t xml:space="preserve"> dos</w:t>
      </w:r>
      <w:r w:rsidR="00CC49C2">
        <w:rPr>
          <w:rFonts w:asciiTheme="minorHAnsi" w:hAnsiTheme="minorHAnsi" w:cstheme="minorHAnsi"/>
        </w:rPr>
        <w:t xml:space="preserve">tal na hodnotu </w:t>
      </w:r>
      <w:r w:rsidR="0012386D">
        <w:rPr>
          <w:rFonts w:asciiTheme="minorHAnsi" w:hAnsiTheme="minorHAnsi" w:cstheme="minorHAnsi"/>
        </w:rPr>
        <w:t xml:space="preserve">minus </w:t>
      </w:r>
      <w:r w:rsidR="00CC49C2">
        <w:rPr>
          <w:rFonts w:asciiTheme="minorHAnsi" w:hAnsiTheme="minorHAnsi" w:cstheme="minorHAnsi"/>
        </w:rPr>
        <w:t xml:space="preserve">8 a u bytů na </w:t>
      </w:r>
      <w:r w:rsidR="0012386D">
        <w:rPr>
          <w:rFonts w:asciiTheme="minorHAnsi" w:hAnsiTheme="minorHAnsi" w:cstheme="minorHAnsi"/>
        </w:rPr>
        <w:t xml:space="preserve">minus </w:t>
      </w:r>
      <w:r w:rsidR="00CC49C2">
        <w:rPr>
          <w:rFonts w:asciiTheme="minorHAnsi" w:hAnsiTheme="minorHAnsi" w:cstheme="minorHAnsi"/>
        </w:rPr>
        <w:t>7 procent</w:t>
      </w:r>
      <w:r w:rsidRPr="001E3BDE">
        <w:rPr>
          <w:rFonts w:asciiTheme="minorHAnsi" w:hAnsiTheme="minorHAnsi" w:cstheme="minorHAnsi"/>
        </w:rPr>
        <w:t>.</w:t>
      </w:r>
    </w:p>
    <w:p w14:paraId="19C34655" w14:textId="2015DE96" w:rsidR="00A92255" w:rsidRPr="001E3BDE" w:rsidRDefault="001E3BDE" w:rsidP="008E1B46">
      <w:pPr>
        <w:spacing w:before="120" w:after="120"/>
        <w:jc w:val="both"/>
        <w:rPr>
          <w:rFonts w:asciiTheme="minorHAnsi" w:hAnsiTheme="minorHAnsi" w:cstheme="minorHAnsi"/>
          <w:color w:val="0D0D0D" w:themeColor="text1" w:themeTint="F2"/>
        </w:rPr>
      </w:pPr>
      <w:r w:rsidRPr="001E3BDE">
        <w:rPr>
          <w:rFonts w:asciiTheme="minorHAnsi" w:hAnsiTheme="minorHAnsi" w:cstheme="minorHAnsi"/>
        </w:rPr>
        <w:t>„</w:t>
      </w:r>
      <w:r w:rsidR="00F22377" w:rsidRPr="001E3BDE">
        <w:rPr>
          <w:rFonts w:asciiTheme="minorHAnsi" w:hAnsiTheme="minorHAnsi" w:cstheme="minorHAnsi"/>
          <w:i/>
        </w:rPr>
        <w:t>Výše průměrných cen je výrazně ovlivněna cenou nemovitostí v hlavním městě.</w:t>
      </w:r>
      <w:r w:rsidR="00F22377" w:rsidRPr="001E3BDE">
        <w:rPr>
          <w:rFonts w:asciiTheme="minorHAnsi" w:hAnsiTheme="minorHAnsi" w:cstheme="minorHAnsi"/>
        </w:rPr>
        <w:t xml:space="preserve"> </w:t>
      </w:r>
      <w:r w:rsidR="00F22377" w:rsidRPr="001E3BDE">
        <w:rPr>
          <w:rFonts w:asciiTheme="minorHAnsi" w:hAnsiTheme="minorHAnsi" w:cstheme="minorHAnsi"/>
          <w:i/>
        </w:rPr>
        <w:t>Index však v každém případě potvrzuje trend</w:t>
      </w:r>
      <w:r w:rsidR="00F22377">
        <w:rPr>
          <w:rFonts w:asciiTheme="minorHAnsi" w:hAnsiTheme="minorHAnsi" w:cstheme="minorHAnsi"/>
          <w:i/>
        </w:rPr>
        <w:t xml:space="preserve">, který vidíme na trhu s nemovitostmi v </w:t>
      </w:r>
      <w:r w:rsidR="00F22377" w:rsidRPr="001E3BDE">
        <w:rPr>
          <w:rFonts w:asciiTheme="minorHAnsi" w:hAnsiTheme="minorHAnsi" w:cstheme="minorHAnsi"/>
          <w:i/>
        </w:rPr>
        <w:t>posledních měsí</w:t>
      </w:r>
      <w:r w:rsidR="00F22377">
        <w:rPr>
          <w:rFonts w:asciiTheme="minorHAnsi" w:hAnsiTheme="minorHAnsi" w:cstheme="minorHAnsi"/>
          <w:i/>
        </w:rPr>
        <w:t>cí</w:t>
      </w:r>
      <w:r w:rsidR="00F22377">
        <w:rPr>
          <w:rFonts w:asciiTheme="minorHAnsi" w:hAnsiTheme="minorHAnsi" w:cstheme="minorHAnsi"/>
          <w:i/>
        </w:rPr>
        <w:t>ch</w:t>
      </w:r>
      <w:r w:rsidR="00F22377" w:rsidRPr="001E3BDE">
        <w:rPr>
          <w:rFonts w:asciiTheme="minorHAnsi" w:hAnsiTheme="minorHAnsi" w:cstheme="minorHAnsi"/>
          <w:i/>
        </w:rPr>
        <w:t>. Kupující má navrch nad nabízejícím. Inzerované ceny bývají někdy výrazně vyšší, než za kolik se nakonec podaří byt či dům prodat</w:t>
      </w:r>
      <w:r w:rsidRPr="001E3BDE">
        <w:rPr>
          <w:rFonts w:asciiTheme="minorHAnsi" w:hAnsiTheme="minorHAnsi" w:cstheme="minorHAnsi"/>
          <w:i/>
        </w:rPr>
        <w:t xml:space="preserve">,“ </w:t>
      </w:r>
      <w:r w:rsidRPr="001E3BDE">
        <w:rPr>
          <w:rFonts w:asciiTheme="minorHAnsi" w:hAnsiTheme="minorHAnsi" w:cstheme="minorHAnsi"/>
        </w:rPr>
        <w:t xml:space="preserve">vysvětluje </w:t>
      </w:r>
      <w:r w:rsidRPr="001E3BDE">
        <w:rPr>
          <w:rStyle w:val="Siln"/>
          <w:rFonts w:asciiTheme="minorHAnsi" w:hAnsiTheme="minorHAnsi" w:cstheme="minorHAnsi"/>
          <w:bCs w:val="0"/>
          <w:color w:val="000000"/>
        </w:rPr>
        <w:t xml:space="preserve">Kristýna Viktora, </w:t>
      </w:r>
      <w:r w:rsidRPr="001E3BDE">
        <w:rPr>
          <w:rFonts w:asciiTheme="minorHAnsi" w:hAnsiTheme="minorHAnsi" w:cstheme="minorHAnsi"/>
          <w:b/>
          <w:color w:val="0D0D0D" w:themeColor="text1" w:themeTint="F2"/>
        </w:rPr>
        <w:t>vedoucí realitního oddělení Broker Consulting.</w:t>
      </w:r>
      <w:r w:rsidRPr="001E3BDE">
        <w:rPr>
          <w:rStyle w:val="Siln"/>
          <w:rFonts w:asciiTheme="minorHAnsi" w:hAnsiTheme="minorHAnsi" w:cstheme="minorHAnsi"/>
          <w:b w:val="0"/>
          <w:bCs w:val="0"/>
          <w:color w:val="0D0D0D" w:themeColor="text1" w:themeTint="F2"/>
        </w:rPr>
        <w:t xml:space="preserve">  </w:t>
      </w:r>
    </w:p>
    <w:p w14:paraId="377C534F" w14:textId="0395B45F" w:rsidR="00A92255" w:rsidRDefault="00727CC6" w:rsidP="001E3BDE">
      <w:pPr>
        <w:jc w:val="center"/>
        <w:rPr>
          <w:rFonts w:ascii="Calibri" w:hAnsi="Calibri" w:cs="Calibri"/>
          <w:b/>
          <w:bCs/>
        </w:rPr>
      </w:pPr>
      <w:r>
        <w:rPr>
          <w:rFonts w:ascii="Calibri" w:hAnsi="Calibri" w:cs="Calibri"/>
          <w:b/>
          <w:bCs/>
          <w:noProof/>
          <w:lang w:bidi="ar-SA"/>
        </w:rPr>
        <w:drawing>
          <wp:inline distT="0" distB="0" distL="0" distR="0" wp14:anchorId="21354D79" wp14:editId="01370D4E">
            <wp:extent cx="5441236" cy="2910205"/>
            <wp:effectExtent l="0" t="0" r="762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 REALIndex_4Q 2022.png"/>
                    <pic:cNvPicPr/>
                  </pic:nvPicPr>
                  <pic:blipFill>
                    <a:blip r:embed="rId23">
                      <a:extLst>
                        <a:ext uri="{28A0092B-C50C-407E-A947-70E740481C1C}">
                          <a14:useLocalDpi xmlns:a14="http://schemas.microsoft.com/office/drawing/2010/main" val="0"/>
                        </a:ext>
                      </a:extLst>
                    </a:blip>
                    <a:stretch>
                      <a:fillRect/>
                    </a:stretch>
                  </pic:blipFill>
                  <pic:spPr>
                    <a:xfrm>
                      <a:off x="0" y="0"/>
                      <a:ext cx="5478374" cy="2930068"/>
                    </a:xfrm>
                    <a:prstGeom prst="rect">
                      <a:avLst/>
                    </a:prstGeom>
                  </pic:spPr>
                </pic:pic>
              </a:graphicData>
            </a:graphic>
          </wp:inline>
        </w:drawing>
      </w:r>
    </w:p>
    <w:p w14:paraId="3794CF26" w14:textId="77777777" w:rsidR="00A92255" w:rsidRDefault="00A92255" w:rsidP="0053554F">
      <w:pPr>
        <w:jc w:val="both"/>
        <w:rPr>
          <w:rFonts w:ascii="Calibri" w:hAnsi="Calibri" w:cs="Calibri"/>
          <w:b/>
          <w:bCs/>
        </w:rPr>
      </w:pPr>
    </w:p>
    <w:p w14:paraId="54CF14EA" w14:textId="0A54B48C" w:rsidR="000629D6" w:rsidRDefault="003001FC" w:rsidP="003001FC">
      <w:pPr>
        <w:jc w:val="center"/>
        <w:rPr>
          <w:rFonts w:ascii="Calibri" w:hAnsi="Calibri" w:cs="Calibri"/>
          <w:b/>
          <w:bCs/>
        </w:rPr>
      </w:pPr>
      <w:r>
        <w:rPr>
          <w:rFonts w:ascii="Calibri" w:hAnsi="Calibri" w:cs="Calibri"/>
          <w:b/>
          <w:bCs/>
          <w:noProof/>
          <w:lang w:bidi="ar-SA"/>
        </w:rPr>
        <w:lastRenderedPageBreak/>
        <w:drawing>
          <wp:inline distT="0" distB="0" distL="0" distR="0" wp14:anchorId="6E9F04C5" wp14:editId="221EEAF5">
            <wp:extent cx="4755580" cy="2967355"/>
            <wp:effectExtent l="0" t="0" r="6985"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 - REALIndex - 4Q 2022_kraje.png"/>
                    <pic:cNvPicPr/>
                  </pic:nvPicPr>
                  <pic:blipFill>
                    <a:blip r:embed="rId24">
                      <a:extLst>
                        <a:ext uri="{28A0092B-C50C-407E-A947-70E740481C1C}">
                          <a14:useLocalDpi xmlns:a14="http://schemas.microsoft.com/office/drawing/2010/main" val="0"/>
                        </a:ext>
                      </a:extLst>
                    </a:blip>
                    <a:stretch>
                      <a:fillRect/>
                    </a:stretch>
                  </pic:blipFill>
                  <pic:spPr>
                    <a:xfrm>
                      <a:off x="0" y="0"/>
                      <a:ext cx="4811475" cy="3002232"/>
                    </a:xfrm>
                    <a:prstGeom prst="rect">
                      <a:avLst/>
                    </a:prstGeom>
                  </pic:spPr>
                </pic:pic>
              </a:graphicData>
            </a:graphic>
          </wp:inline>
        </w:drawing>
      </w:r>
    </w:p>
    <w:p w14:paraId="71A4B288" w14:textId="77777777" w:rsidR="000629D6" w:rsidRDefault="000629D6" w:rsidP="0053554F">
      <w:pPr>
        <w:jc w:val="both"/>
        <w:rPr>
          <w:rFonts w:ascii="Calibri" w:hAnsi="Calibri" w:cs="Calibri"/>
          <w:b/>
          <w:bCs/>
        </w:rPr>
      </w:pPr>
    </w:p>
    <w:p w14:paraId="226643AE" w14:textId="0138834F" w:rsidR="0053554F" w:rsidRDefault="0053554F" w:rsidP="0053554F">
      <w:pPr>
        <w:jc w:val="both"/>
        <w:rPr>
          <w:rFonts w:ascii="Calibri" w:hAnsi="Calibri" w:cs="Calibri"/>
        </w:rPr>
      </w:pPr>
      <w:r>
        <w:rPr>
          <w:rFonts w:ascii="Calibri" w:hAnsi="Calibri" w:cs="Calibri"/>
          <w:b/>
          <w:bCs/>
        </w:rPr>
        <w:t xml:space="preserve">Předstihový ukazatel za měsíce leden a únor potom vykázal následující hodnoty: </w:t>
      </w:r>
      <w:r>
        <w:rPr>
          <w:rFonts w:ascii="Calibri" w:hAnsi="Calibri" w:cs="Calibri"/>
        </w:rPr>
        <w:t xml:space="preserve">v letošním únoru </w:t>
      </w:r>
      <w:r w:rsidR="005F4B70">
        <w:rPr>
          <w:rFonts w:ascii="Calibri" w:hAnsi="Calibri" w:cs="Calibri"/>
        </w:rPr>
        <w:t xml:space="preserve">byla hodnota </w:t>
      </w:r>
      <w:proofErr w:type="spellStart"/>
      <w:r w:rsidR="005F4B70">
        <w:rPr>
          <w:rFonts w:ascii="Calibri" w:hAnsi="Calibri" w:cs="Calibri"/>
        </w:rPr>
        <w:t>REALIndexu</w:t>
      </w:r>
      <w:proofErr w:type="spellEnd"/>
      <w:r w:rsidR="005F4B70">
        <w:rPr>
          <w:rFonts w:ascii="Calibri" w:hAnsi="Calibri" w:cs="Calibri"/>
        </w:rPr>
        <w:t xml:space="preserve"> minus</w:t>
      </w:r>
      <w:r w:rsidR="00B360A7">
        <w:rPr>
          <w:rFonts w:ascii="Calibri" w:hAnsi="Calibri" w:cs="Calibri"/>
        </w:rPr>
        <w:t xml:space="preserve"> 10 procent</w:t>
      </w:r>
      <w:r>
        <w:rPr>
          <w:rFonts w:ascii="Calibri" w:hAnsi="Calibri" w:cs="Calibri"/>
        </w:rPr>
        <w:t xml:space="preserve">, což znamenalo, že se nemovitost (byt, dům) prodala o desetinu levněji, než za kolik se původně nabízela. </w:t>
      </w:r>
      <w:r>
        <w:rPr>
          <w:rFonts w:asciiTheme="minorHAnsi" w:hAnsiTheme="minorHAnsi" w:cstheme="minorHAnsi"/>
        </w:rPr>
        <w:t>Prvotně nabízená cena byla v uvedeném měsíci v průměru 65 423 Kč/m</w:t>
      </w:r>
      <w:r w:rsidRPr="003B77D3">
        <w:rPr>
          <w:rFonts w:asciiTheme="minorHAnsi" w:hAnsiTheme="minorHAnsi" w:cstheme="minorHAnsi"/>
          <w:vertAlign w:val="superscript"/>
        </w:rPr>
        <w:t>2</w:t>
      </w:r>
      <w:r>
        <w:rPr>
          <w:rFonts w:asciiTheme="minorHAnsi" w:hAnsiTheme="minorHAnsi" w:cstheme="minorHAnsi"/>
        </w:rPr>
        <w:t>, tedy 5 655 168 korun. Realizovaná cena se dostala na 58 942 Kč/m</w:t>
      </w:r>
      <w:r w:rsidRPr="003B77D3">
        <w:rPr>
          <w:rFonts w:asciiTheme="minorHAnsi" w:hAnsiTheme="minorHAnsi" w:cstheme="minorHAnsi"/>
          <w:vertAlign w:val="superscript"/>
        </w:rPr>
        <w:t>2</w:t>
      </w:r>
      <w:r>
        <w:rPr>
          <w:rFonts w:asciiTheme="minorHAnsi" w:hAnsiTheme="minorHAnsi" w:cstheme="minorHAnsi"/>
        </w:rPr>
        <w:t xml:space="preserve">.  </w:t>
      </w:r>
    </w:p>
    <w:p w14:paraId="02DE0EDB" w14:textId="77777777" w:rsidR="0053554F" w:rsidRDefault="0053554F" w:rsidP="0053554F">
      <w:pPr>
        <w:jc w:val="both"/>
        <w:rPr>
          <w:rFonts w:asciiTheme="minorHAnsi" w:hAnsiTheme="minorHAnsi" w:cstheme="minorHAnsi"/>
        </w:rPr>
      </w:pPr>
    </w:p>
    <w:p w14:paraId="483F2A93" w14:textId="3F9285AD" w:rsidR="0053554F" w:rsidRDefault="0053554F" w:rsidP="0053554F">
      <w:pPr>
        <w:jc w:val="both"/>
        <w:rPr>
          <w:rFonts w:asciiTheme="minorHAnsi" w:hAnsiTheme="minorHAnsi" w:cstheme="minorHAnsi"/>
        </w:rPr>
      </w:pPr>
      <w:r w:rsidRPr="00EE19AA">
        <w:rPr>
          <w:rFonts w:asciiTheme="minorHAnsi" w:hAnsiTheme="minorHAnsi" w:cstheme="minorHAnsi"/>
        </w:rPr>
        <w:t>V lednu</w:t>
      </w:r>
      <w:r w:rsidR="00B360A7">
        <w:rPr>
          <w:rFonts w:asciiTheme="minorHAnsi" w:hAnsiTheme="minorHAnsi" w:cstheme="minorHAnsi"/>
        </w:rPr>
        <w:t xml:space="preserve"> byl pak REALIndex ve výši minus 9 procent</w:t>
      </w:r>
      <w:r w:rsidRPr="00EE19AA">
        <w:rPr>
          <w:rFonts w:asciiTheme="minorHAnsi" w:hAnsiTheme="minorHAnsi" w:cstheme="minorHAnsi"/>
        </w:rPr>
        <w:t>. Prvotně nabízená cena dosáhla v uvedeném měsíci v průměru na 63 833 Kč/m</w:t>
      </w:r>
      <w:r w:rsidRPr="003B77D3">
        <w:rPr>
          <w:rFonts w:asciiTheme="minorHAnsi" w:hAnsiTheme="minorHAnsi" w:cstheme="minorHAnsi"/>
          <w:vertAlign w:val="superscript"/>
        </w:rPr>
        <w:t>2</w:t>
      </w:r>
      <w:r>
        <w:rPr>
          <w:rFonts w:asciiTheme="minorHAnsi" w:hAnsiTheme="minorHAnsi" w:cstheme="minorHAnsi"/>
        </w:rPr>
        <w:t>. N</w:t>
      </w:r>
      <w:r w:rsidRPr="00EE19AA">
        <w:rPr>
          <w:rFonts w:asciiTheme="minorHAnsi" w:hAnsiTheme="minorHAnsi" w:cstheme="minorHAnsi"/>
        </w:rPr>
        <w:t xml:space="preserve">emovitost </w:t>
      </w:r>
      <w:r>
        <w:rPr>
          <w:rFonts w:asciiTheme="minorHAnsi" w:hAnsiTheme="minorHAnsi" w:cstheme="minorHAnsi"/>
        </w:rPr>
        <w:t xml:space="preserve">se </w:t>
      </w:r>
      <w:r w:rsidRPr="00EE19AA">
        <w:rPr>
          <w:rFonts w:asciiTheme="minorHAnsi" w:hAnsiTheme="minorHAnsi" w:cstheme="minorHAnsi"/>
        </w:rPr>
        <w:t xml:space="preserve">inzerovala v průměru za 5 274 166 korun. </w:t>
      </w:r>
      <w:r>
        <w:rPr>
          <w:rFonts w:asciiTheme="minorHAnsi" w:hAnsiTheme="minorHAnsi" w:cstheme="minorHAnsi"/>
        </w:rPr>
        <w:t>Její r</w:t>
      </w:r>
      <w:r w:rsidRPr="00EE19AA">
        <w:rPr>
          <w:rFonts w:asciiTheme="minorHAnsi" w:hAnsiTheme="minorHAnsi" w:cstheme="minorHAnsi"/>
        </w:rPr>
        <w:t>ealizovaná cena byla 57 669 Kč/m</w:t>
      </w:r>
      <w:r w:rsidRPr="003B77D3">
        <w:rPr>
          <w:rFonts w:asciiTheme="minorHAnsi" w:hAnsiTheme="minorHAnsi" w:cstheme="minorHAnsi"/>
          <w:vertAlign w:val="superscript"/>
        </w:rPr>
        <w:t>2</w:t>
      </w:r>
      <w:r w:rsidRPr="00EE19AA">
        <w:rPr>
          <w:rFonts w:asciiTheme="minorHAnsi" w:hAnsiTheme="minorHAnsi" w:cstheme="minorHAnsi"/>
        </w:rPr>
        <w:t>.</w:t>
      </w:r>
      <w:r w:rsidR="002B4208">
        <w:rPr>
          <w:rFonts w:asciiTheme="minorHAnsi" w:hAnsiTheme="minorHAnsi" w:cstheme="minorHAnsi"/>
        </w:rPr>
        <w:t xml:space="preserve"> „</w:t>
      </w:r>
      <w:r w:rsidR="002B4208" w:rsidRPr="00826153">
        <w:rPr>
          <w:rFonts w:asciiTheme="minorHAnsi" w:hAnsiTheme="minorHAnsi" w:cstheme="minorHAnsi"/>
          <w:i/>
        </w:rPr>
        <w:t xml:space="preserve">V dalším období očekáváme podobný vývoj </w:t>
      </w:r>
      <w:r w:rsidR="00826153" w:rsidRPr="00826153">
        <w:rPr>
          <w:rFonts w:asciiTheme="minorHAnsi" w:hAnsiTheme="minorHAnsi" w:cstheme="minorHAnsi"/>
          <w:i/>
        </w:rPr>
        <w:t>jako na ko</w:t>
      </w:r>
      <w:r w:rsidR="00781DB1">
        <w:rPr>
          <w:rFonts w:asciiTheme="minorHAnsi" w:hAnsiTheme="minorHAnsi" w:cstheme="minorHAnsi"/>
          <w:i/>
        </w:rPr>
        <w:t>nci minulého roku. Významný pokles</w:t>
      </w:r>
      <w:r w:rsidR="00826153" w:rsidRPr="00826153">
        <w:rPr>
          <w:rFonts w:asciiTheme="minorHAnsi" w:hAnsiTheme="minorHAnsi" w:cstheme="minorHAnsi"/>
          <w:i/>
        </w:rPr>
        <w:t xml:space="preserve"> cen</w:t>
      </w:r>
      <w:r w:rsidR="0059695E">
        <w:rPr>
          <w:rFonts w:asciiTheme="minorHAnsi" w:hAnsiTheme="minorHAnsi" w:cstheme="minorHAnsi"/>
          <w:i/>
        </w:rPr>
        <w:t xml:space="preserve"> nemovitostí, zejména pak u novostaveb, </w:t>
      </w:r>
      <w:r w:rsidR="00781DB1">
        <w:rPr>
          <w:rFonts w:asciiTheme="minorHAnsi" w:hAnsiTheme="minorHAnsi" w:cstheme="minorHAnsi"/>
          <w:i/>
        </w:rPr>
        <w:t xml:space="preserve">nevidím jako pravděpodobný. </w:t>
      </w:r>
      <w:r w:rsidR="00781DB1" w:rsidRPr="00781DB1">
        <w:rPr>
          <w:rFonts w:asciiTheme="minorHAnsi" w:hAnsiTheme="minorHAnsi" w:cstheme="minorHAnsi"/>
          <w:i/>
        </w:rPr>
        <w:t xml:space="preserve">Očekáváme změnu trendu vývoje hodnoty Broker Consulting </w:t>
      </w:r>
      <w:proofErr w:type="spellStart"/>
      <w:r w:rsidR="00781DB1" w:rsidRPr="00781DB1">
        <w:rPr>
          <w:rFonts w:asciiTheme="minorHAnsi" w:hAnsiTheme="minorHAnsi" w:cstheme="minorHAnsi"/>
          <w:i/>
        </w:rPr>
        <w:t>REALIndexu</w:t>
      </w:r>
      <w:proofErr w:type="spellEnd"/>
      <w:r w:rsidR="00781DB1">
        <w:rPr>
          <w:rFonts w:asciiTheme="minorHAnsi" w:hAnsiTheme="minorHAnsi" w:cstheme="minorHAnsi"/>
          <w:i/>
        </w:rPr>
        <w:t>,</w:t>
      </w:r>
      <w:r w:rsidR="00826153">
        <w:rPr>
          <w:rFonts w:asciiTheme="minorHAnsi" w:hAnsiTheme="minorHAnsi" w:cstheme="minorHAnsi"/>
        </w:rPr>
        <w:t xml:space="preserve">“ dodává </w:t>
      </w:r>
      <w:r w:rsidR="00826153" w:rsidRPr="004C3D7C">
        <w:rPr>
          <w:rFonts w:asciiTheme="minorHAnsi" w:hAnsiTheme="minorHAnsi" w:cstheme="minorHAnsi"/>
          <w:b/>
        </w:rPr>
        <w:t>Kristýna Viktora</w:t>
      </w:r>
      <w:r w:rsidR="00826153">
        <w:rPr>
          <w:rFonts w:asciiTheme="minorHAnsi" w:hAnsiTheme="minorHAnsi" w:cstheme="minorHAnsi"/>
        </w:rPr>
        <w:t xml:space="preserve">. </w:t>
      </w:r>
    </w:p>
    <w:p w14:paraId="7D7F923D" w14:textId="55F2B8BA" w:rsidR="00A92255" w:rsidRDefault="00A92255" w:rsidP="00A92255">
      <w:pPr>
        <w:pBdr>
          <w:bottom w:val="single" w:sz="4" w:space="1" w:color="auto"/>
        </w:pBdr>
        <w:jc w:val="both"/>
        <w:rPr>
          <w:rFonts w:ascii="Calibri" w:hAnsi="Calibri" w:cs="Calibri"/>
          <w:b/>
          <w:bCs/>
        </w:rPr>
      </w:pPr>
    </w:p>
    <w:p w14:paraId="221A236D" w14:textId="77777777" w:rsidR="00A92255" w:rsidRDefault="00A92255" w:rsidP="00A92255">
      <w:pPr>
        <w:jc w:val="both"/>
        <w:rPr>
          <w:rFonts w:ascii="Calibri" w:hAnsi="Calibri" w:cs="Calibri"/>
          <w:b/>
          <w:bCs/>
        </w:rPr>
      </w:pPr>
    </w:p>
    <w:p w14:paraId="5FCDCA69" w14:textId="7CE08D17" w:rsidR="00A92255" w:rsidRDefault="00A92255" w:rsidP="00A92255">
      <w:pPr>
        <w:jc w:val="both"/>
        <w:rPr>
          <w:rFonts w:ascii="Calibri" w:hAnsi="Calibri" w:cs="Calibri"/>
        </w:rPr>
      </w:pPr>
      <w:r>
        <w:rPr>
          <w:rFonts w:ascii="Calibri" w:hAnsi="Calibri" w:cs="Calibri"/>
          <w:b/>
          <w:bCs/>
        </w:rPr>
        <w:t>Broker Consulting REALIndex</w:t>
      </w:r>
      <w:r>
        <w:rPr>
          <w:rFonts w:ascii="Calibri" w:hAnsi="Calibri" w:cs="Calibri"/>
        </w:rPr>
        <w:t xml:space="preserve"> je analytický nástroj, který porovnává data z celého realitního trhu. Vyjadřuje rozdíl mezi realizační (prodejní) a prvotně nabízenou cenou nemovitosti. Díky tomu věrně ukazuje, jaký je na trhu soulad mezi nabídkou a poptávkou, tedy do jaké míry očekávání nabízejících odpovídají tomu, za kolik jsou zájemci ochotni nemovitost pořídit. Sleduje hodnoty pro byty, domy vyhodnocuje je na úrovni jednotlivých krajů. Součástí výchozí datové databáze jsou i developerské projekty, které ale již byly zrealizovány a zároveň prodány prvním majitelům. Výhodou uvedené metodiky je skutečnost, že se do statistiky dostávají pouze skutečně realizované transakce, díky čemuž nedochází ke zkreslení. Výpočet je také očištěn od extrémních hodnot, které by mohly způsobit</w:t>
      </w:r>
      <w:r w:rsidR="00827B76">
        <w:rPr>
          <w:rFonts w:ascii="Calibri" w:hAnsi="Calibri" w:cs="Calibri"/>
        </w:rPr>
        <w:t xml:space="preserve"> </w:t>
      </w:r>
      <w:r>
        <w:rPr>
          <w:rFonts w:ascii="Calibri" w:hAnsi="Calibri" w:cs="Calibri"/>
        </w:rPr>
        <w:t>zk</w:t>
      </w:r>
      <w:r w:rsidR="00486A7D">
        <w:rPr>
          <w:rFonts w:ascii="Calibri" w:hAnsi="Calibri" w:cs="Calibri"/>
        </w:rPr>
        <w:t xml:space="preserve">reslení </w:t>
      </w:r>
      <w:r w:rsidR="00423A87">
        <w:rPr>
          <w:rFonts w:ascii="Calibri" w:hAnsi="Calibri" w:cs="Calibri"/>
        </w:rPr>
        <w:t>hodnot</w:t>
      </w:r>
      <w:r>
        <w:rPr>
          <w:rFonts w:ascii="Calibri" w:hAnsi="Calibri" w:cs="Calibri"/>
        </w:rPr>
        <w:t>.</w:t>
      </w:r>
      <w:r w:rsidR="00486A7D">
        <w:rPr>
          <w:rFonts w:ascii="Calibri" w:hAnsi="Calibri" w:cs="Calibri"/>
        </w:rPr>
        <w:t xml:space="preserve"> Výsledky </w:t>
      </w:r>
      <w:proofErr w:type="spellStart"/>
      <w:r w:rsidR="00486A7D">
        <w:rPr>
          <w:rFonts w:ascii="Calibri" w:hAnsi="Calibri" w:cs="Calibri"/>
        </w:rPr>
        <w:t>REALIndexu</w:t>
      </w:r>
      <w:proofErr w:type="spellEnd"/>
      <w:r w:rsidR="00486A7D">
        <w:rPr>
          <w:rFonts w:ascii="Calibri" w:hAnsi="Calibri" w:cs="Calibri"/>
        </w:rPr>
        <w:t xml:space="preserve"> budou vydávány vždy za předchozí čtvrtletí roku.</w:t>
      </w:r>
    </w:p>
    <w:p w14:paraId="74DB18B9" w14:textId="77777777" w:rsidR="00A92255" w:rsidRDefault="00A92255" w:rsidP="00A92255">
      <w:pPr>
        <w:jc w:val="both"/>
        <w:rPr>
          <w:rFonts w:ascii="Calibri" w:hAnsi="Calibri" w:cs="Calibri"/>
          <w:b/>
        </w:rPr>
      </w:pPr>
    </w:p>
    <w:p w14:paraId="145077B5" w14:textId="0F5F1671" w:rsidR="00A92255" w:rsidRDefault="00A92255" w:rsidP="00A92255">
      <w:pPr>
        <w:jc w:val="both"/>
        <w:rPr>
          <w:rFonts w:ascii="Calibri" w:hAnsi="Calibri" w:cs="Calibri"/>
        </w:rPr>
      </w:pPr>
      <w:r>
        <w:rPr>
          <w:rFonts w:ascii="Calibri" w:hAnsi="Calibri" w:cs="Calibri"/>
          <w:b/>
        </w:rPr>
        <w:t xml:space="preserve">Předstihový ukazatel Broker Consulting </w:t>
      </w:r>
      <w:proofErr w:type="spellStart"/>
      <w:r>
        <w:rPr>
          <w:rFonts w:ascii="Calibri" w:hAnsi="Calibri" w:cs="Calibri"/>
          <w:b/>
        </w:rPr>
        <w:t>REALIndexu</w:t>
      </w:r>
      <w:proofErr w:type="spellEnd"/>
      <w:r>
        <w:rPr>
          <w:rFonts w:ascii="Calibri" w:hAnsi="Calibri" w:cs="Calibri"/>
        </w:rPr>
        <w:t xml:space="preserve"> je analytický predikční nástroj, který předpovídá hodnoty nabízených a realizovaných cen nemovitostí v předchozích měsících na základě aproximačního modelu a re</w:t>
      </w:r>
      <w:r w:rsidR="00827B76">
        <w:rPr>
          <w:rFonts w:ascii="Calibri" w:hAnsi="Calibri" w:cs="Calibri"/>
        </w:rPr>
        <w:t>aguje tak na potřebu aktuálního výhledu do</w:t>
      </w:r>
      <w:r>
        <w:rPr>
          <w:rFonts w:ascii="Calibri" w:hAnsi="Calibri" w:cs="Calibri"/>
        </w:rPr>
        <w:t xml:space="preserve"> situace na realitním trhu. Jeho výpočet vychází z databáze </w:t>
      </w:r>
      <w:r w:rsidR="0059695E">
        <w:rPr>
          <w:rFonts w:ascii="Calibri" w:hAnsi="Calibri" w:cs="Calibri"/>
        </w:rPr>
        <w:t xml:space="preserve">s daty ze spárovaných i z nespárovaných nemovitostí </w:t>
      </w:r>
      <w:r>
        <w:rPr>
          <w:rFonts w:ascii="Calibri" w:hAnsi="Calibri" w:cs="Calibri"/>
        </w:rPr>
        <w:t xml:space="preserve">a podléhá metodice interního algoritmu. Ukazatel bude pravidelnou součástí tiskové zprávy </w:t>
      </w:r>
      <w:proofErr w:type="spellStart"/>
      <w:r>
        <w:rPr>
          <w:rFonts w:ascii="Calibri" w:hAnsi="Calibri" w:cs="Calibri"/>
        </w:rPr>
        <w:t>REALIndexu</w:t>
      </w:r>
      <w:proofErr w:type="spellEnd"/>
      <w:r>
        <w:rPr>
          <w:rFonts w:ascii="Calibri" w:hAnsi="Calibri" w:cs="Calibri"/>
        </w:rPr>
        <w:t xml:space="preserve">, který bude k danému vydáván s měsíční periodicitou. </w:t>
      </w:r>
    </w:p>
    <w:p w14:paraId="6E0D1007" w14:textId="77777777" w:rsidR="00A92255" w:rsidRDefault="00A92255" w:rsidP="00A92255">
      <w:pPr>
        <w:jc w:val="both"/>
        <w:rPr>
          <w:rFonts w:ascii="Calibri" w:hAnsi="Calibri" w:cs="Calibri"/>
        </w:rPr>
      </w:pPr>
      <w:r>
        <w:rPr>
          <w:rFonts w:ascii="Calibri" w:hAnsi="Calibri" w:cs="Calibri"/>
        </w:rPr>
        <w:t> </w:t>
      </w:r>
      <w:r>
        <w:rPr>
          <w:rFonts w:ascii="Calibri" w:hAnsi="Calibri" w:cs="Calibri"/>
          <w:b/>
          <w:bCs/>
        </w:rPr>
        <w:t xml:space="preserve"> </w:t>
      </w:r>
    </w:p>
    <w:p w14:paraId="062CBC01" w14:textId="4F02ACBA" w:rsidR="00A92255" w:rsidRDefault="00956B8E" w:rsidP="00956B8E">
      <w:pPr>
        <w:spacing w:after="60"/>
        <w:jc w:val="both"/>
        <w:rPr>
          <w:rFonts w:ascii="Calibri" w:hAnsi="Calibri" w:cs="Calibri"/>
          <w:b/>
          <w:bCs/>
        </w:rPr>
      </w:pPr>
      <w:r>
        <w:rPr>
          <w:rFonts w:ascii="Calibri" w:hAnsi="Calibri" w:cs="Calibri"/>
          <w:b/>
          <w:bCs/>
        </w:rPr>
        <w:br/>
      </w:r>
      <w:r>
        <w:rPr>
          <w:rFonts w:ascii="Calibri" w:hAnsi="Calibri" w:cs="Calibri"/>
          <w:b/>
          <w:bCs/>
        </w:rPr>
        <w:lastRenderedPageBreak/>
        <w:br/>
      </w:r>
      <w:r>
        <w:rPr>
          <w:rFonts w:ascii="Calibri" w:hAnsi="Calibri" w:cs="Calibri"/>
          <w:b/>
          <w:bCs/>
        </w:rPr>
        <w:br/>
      </w:r>
      <w:r w:rsidR="00A92255">
        <w:rPr>
          <w:rFonts w:ascii="Calibri" w:hAnsi="Calibri" w:cs="Calibri"/>
          <w:b/>
          <w:bCs/>
        </w:rPr>
        <w:t>Proč je dobré Broker Consulting REALIndex sledovat?</w:t>
      </w:r>
    </w:p>
    <w:p w14:paraId="7D3535B8" w14:textId="2993D048" w:rsidR="00A92255" w:rsidRDefault="00A92255" w:rsidP="00A92255">
      <w:pPr>
        <w:jc w:val="both"/>
        <w:rPr>
          <w:rFonts w:ascii="Calibri" w:hAnsi="Calibri" w:cs="Calibri"/>
          <w:color w:val="0D0D0D"/>
        </w:rPr>
      </w:pPr>
      <w:r>
        <w:rPr>
          <w:rFonts w:ascii="Calibri" w:hAnsi="Calibri" w:cs="Calibri"/>
          <w:b/>
          <w:bCs/>
        </w:rPr>
        <w:t>Broker Consulting REALIndex</w:t>
      </w:r>
      <w:r>
        <w:rPr>
          <w:rFonts w:ascii="Calibri" w:hAnsi="Calibri" w:cs="Calibri"/>
        </w:rPr>
        <w:t xml:space="preserve"> </w:t>
      </w:r>
      <w:r w:rsidR="003774E4">
        <w:rPr>
          <w:rFonts w:ascii="Calibri" w:hAnsi="Calibri" w:cs="Calibri"/>
        </w:rPr>
        <w:t>má zásadní význam jak pro prodávající, tak samotné zájemce o bydlení</w:t>
      </w:r>
      <w:r w:rsidR="003774E4">
        <w:rPr>
          <w:rFonts w:ascii="Calibri" w:hAnsi="Calibri" w:cs="Calibri"/>
        </w:rPr>
        <w:t xml:space="preserve">. </w:t>
      </w:r>
      <w:bookmarkStart w:id="0" w:name="_GoBack"/>
      <w:bookmarkEnd w:id="0"/>
      <w:r>
        <w:rPr>
          <w:rFonts w:ascii="Calibri" w:hAnsi="Calibri" w:cs="Calibri"/>
        </w:rPr>
        <w:t>Na jedné straně ukazuje, jaké jsou ve sledovaném čtvrtletním období reálně inzerované ceny daných nemovitostí, na druhé straně vypovídá o zájmu kupujících, tedy za kolik jsou v průměru ochotni tyto nemovitosti ve sledovaném období pořídit. Index má za cíl ukazovat vývoj v oblasti bydlení, které patří k </w:t>
      </w:r>
      <w:r>
        <w:rPr>
          <w:rFonts w:ascii="Calibri" w:hAnsi="Calibri" w:cs="Calibri"/>
          <w:color w:val="0D0D0D"/>
        </w:rPr>
        <w:t>základním potřebám dopadajícím na kvalitu života a odrážejícím současné potřeby lidí. Vydáván bude vždy za předchozí kvartální období.</w:t>
      </w:r>
    </w:p>
    <w:p w14:paraId="081149DD" w14:textId="1A4B59FC" w:rsidR="00CF7819" w:rsidRPr="0060554F" w:rsidRDefault="00CF7819" w:rsidP="00CF7819">
      <w:pPr>
        <w:pBdr>
          <w:bottom w:val="single" w:sz="4" w:space="1" w:color="auto"/>
        </w:pBdr>
        <w:jc w:val="both"/>
        <w:rPr>
          <w:rFonts w:ascii="Arial" w:hAnsi="Arial" w:cs="Arial"/>
          <w:sz w:val="20"/>
          <w:szCs w:val="20"/>
        </w:rPr>
      </w:pPr>
    </w:p>
    <w:p w14:paraId="1E5E39BD" w14:textId="77777777" w:rsidR="00853C30" w:rsidRPr="00A92255" w:rsidRDefault="00853C30" w:rsidP="008F3C6D">
      <w:pPr>
        <w:jc w:val="both"/>
        <w:rPr>
          <w:rFonts w:asciiTheme="minorHAnsi" w:hAnsiTheme="minorHAnsi" w:cstheme="minorHAnsi"/>
        </w:rPr>
      </w:pPr>
    </w:p>
    <w:p w14:paraId="6AF53FD1" w14:textId="77777777" w:rsidR="00B51F55" w:rsidRPr="00A92255" w:rsidRDefault="00B51F55" w:rsidP="00A92255">
      <w:pPr>
        <w:rPr>
          <w:rFonts w:asciiTheme="minorHAnsi" w:hAnsiTheme="minorHAnsi" w:cstheme="minorHAnsi"/>
        </w:rPr>
      </w:pPr>
      <w:r w:rsidRPr="00A92255">
        <w:rPr>
          <w:rFonts w:asciiTheme="minorHAnsi" w:hAnsiTheme="minorHAnsi" w:cstheme="minorHAnsi"/>
          <w:b/>
        </w:rPr>
        <w:t>Poznámka pro média:</w:t>
      </w:r>
      <w:r w:rsidRPr="00A92255">
        <w:rPr>
          <w:rFonts w:asciiTheme="minorHAnsi" w:hAnsiTheme="minorHAnsi" w:cstheme="minorHAnsi"/>
        </w:rPr>
        <w:t xml:space="preserve"> </w:t>
      </w:r>
      <w:r w:rsidRPr="00A92255">
        <w:rPr>
          <w:rFonts w:asciiTheme="minorHAnsi" w:hAnsiTheme="minorHAnsi" w:cstheme="minorHAnsi"/>
          <w:color w:val="1D1D1B"/>
          <w:w w:val="105"/>
        </w:rPr>
        <w:t>Broker</w:t>
      </w:r>
      <w:r w:rsidRPr="00A92255">
        <w:rPr>
          <w:rFonts w:asciiTheme="minorHAnsi" w:hAnsiTheme="minorHAnsi" w:cstheme="minorHAnsi"/>
          <w:color w:val="1D1D1B"/>
          <w:spacing w:val="-9"/>
          <w:w w:val="105"/>
        </w:rPr>
        <w:t xml:space="preserve"> </w:t>
      </w:r>
      <w:r w:rsidRPr="00A92255">
        <w:rPr>
          <w:rFonts w:asciiTheme="minorHAnsi" w:hAnsiTheme="minorHAnsi" w:cstheme="minorHAnsi"/>
          <w:color w:val="1D1D1B"/>
          <w:w w:val="105"/>
        </w:rPr>
        <w:t>Consulting</w:t>
      </w:r>
      <w:r w:rsidRPr="00A92255">
        <w:rPr>
          <w:rFonts w:asciiTheme="minorHAnsi" w:hAnsiTheme="minorHAnsi" w:cstheme="minorHAnsi"/>
          <w:color w:val="1D1D1B"/>
          <w:spacing w:val="-8"/>
          <w:w w:val="105"/>
        </w:rPr>
        <w:t xml:space="preserve"> </w:t>
      </w:r>
      <w:r w:rsidRPr="00A92255">
        <w:rPr>
          <w:rFonts w:asciiTheme="minorHAnsi" w:hAnsiTheme="minorHAnsi" w:cstheme="minorHAnsi"/>
          <w:color w:val="1D1D1B"/>
          <w:w w:val="105"/>
        </w:rPr>
        <w:t>Indexy</w:t>
      </w:r>
      <w:r w:rsidRPr="00A92255">
        <w:rPr>
          <w:rFonts w:asciiTheme="minorHAnsi" w:hAnsiTheme="minorHAnsi" w:cstheme="minorHAnsi"/>
          <w:color w:val="1D1D1B"/>
          <w:spacing w:val="-9"/>
          <w:w w:val="105"/>
        </w:rPr>
        <w:t xml:space="preserve"> </w:t>
      </w:r>
      <w:r w:rsidRPr="00A92255">
        <w:rPr>
          <w:rFonts w:asciiTheme="minorHAnsi" w:hAnsiTheme="minorHAnsi" w:cstheme="minorHAnsi"/>
          <w:color w:val="1D1D1B"/>
          <w:w w:val="105"/>
        </w:rPr>
        <w:t>je</w:t>
      </w:r>
      <w:r w:rsidRPr="00A92255">
        <w:rPr>
          <w:rFonts w:asciiTheme="minorHAnsi" w:hAnsiTheme="minorHAnsi" w:cstheme="minorHAnsi"/>
          <w:color w:val="1D1D1B"/>
          <w:spacing w:val="-8"/>
          <w:w w:val="105"/>
        </w:rPr>
        <w:t xml:space="preserve"> </w:t>
      </w:r>
      <w:r w:rsidRPr="00A92255">
        <w:rPr>
          <w:rFonts w:asciiTheme="minorHAnsi" w:hAnsiTheme="minorHAnsi" w:cstheme="minorHAnsi"/>
          <w:color w:val="1D1D1B"/>
          <w:w w:val="105"/>
        </w:rPr>
        <w:t>možné</w:t>
      </w:r>
      <w:r w:rsidRPr="00A92255">
        <w:rPr>
          <w:rFonts w:asciiTheme="minorHAnsi" w:hAnsiTheme="minorHAnsi" w:cstheme="minorHAnsi"/>
          <w:color w:val="1D1D1B"/>
          <w:spacing w:val="-9"/>
          <w:w w:val="105"/>
        </w:rPr>
        <w:t xml:space="preserve"> </w:t>
      </w:r>
      <w:r w:rsidRPr="00A92255">
        <w:rPr>
          <w:rFonts w:asciiTheme="minorHAnsi" w:hAnsiTheme="minorHAnsi" w:cstheme="minorHAnsi"/>
          <w:color w:val="1D1D1B"/>
          <w:w w:val="105"/>
        </w:rPr>
        <w:t>volně</w:t>
      </w:r>
      <w:r w:rsidRPr="00A92255">
        <w:rPr>
          <w:rFonts w:asciiTheme="minorHAnsi" w:hAnsiTheme="minorHAnsi" w:cstheme="minorHAnsi"/>
          <w:color w:val="1D1D1B"/>
          <w:spacing w:val="-8"/>
          <w:w w:val="105"/>
        </w:rPr>
        <w:t xml:space="preserve"> </w:t>
      </w:r>
      <w:r w:rsidRPr="00A92255">
        <w:rPr>
          <w:rFonts w:asciiTheme="minorHAnsi" w:hAnsiTheme="minorHAnsi" w:cstheme="minorHAnsi"/>
          <w:color w:val="1D1D1B"/>
          <w:spacing w:val="2"/>
          <w:w w:val="105"/>
        </w:rPr>
        <w:t>publikovat</w:t>
      </w:r>
      <w:r w:rsidRPr="00A92255">
        <w:rPr>
          <w:rFonts w:asciiTheme="minorHAnsi" w:hAnsiTheme="minorHAnsi" w:cstheme="minorHAnsi"/>
          <w:color w:val="1D1D1B"/>
          <w:spacing w:val="-9"/>
          <w:w w:val="105"/>
        </w:rPr>
        <w:t xml:space="preserve"> </w:t>
      </w:r>
      <w:r w:rsidRPr="00A92255">
        <w:rPr>
          <w:rFonts w:asciiTheme="minorHAnsi" w:hAnsiTheme="minorHAnsi" w:cstheme="minorHAnsi"/>
          <w:color w:val="1D1D1B"/>
          <w:w w:val="105"/>
        </w:rPr>
        <w:t>pouze</w:t>
      </w:r>
      <w:r w:rsidRPr="00A92255">
        <w:rPr>
          <w:rFonts w:asciiTheme="minorHAnsi" w:hAnsiTheme="minorHAnsi" w:cstheme="minorHAnsi"/>
          <w:color w:val="1D1D1B"/>
          <w:spacing w:val="-8"/>
          <w:w w:val="105"/>
        </w:rPr>
        <w:t xml:space="preserve"> </w:t>
      </w:r>
      <w:r w:rsidRPr="00A92255">
        <w:rPr>
          <w:rFonts w:asciiTheme="minorHAnsi" w:hAnsiTheme="minorHAnsi" w:cstheme="minorHAnsi"/>
          <w:color w:val="1D1D1B"/>
          <w:w w:val="105"/>
        </w:rPr>
        <w:t>s</w:t>
      </w:r>
      <w:r w:rsidRPr="00A92255">
        <w:rPr>
          <w:rFonts w:asciiTheme="minorHAnsi" w:hAnsiTheme="minorHAnsi" w:cstheme="minorHAnsi"/>
          <w:color w:val="1D1D1B"/>
          <w:spacing w:val="-9"/>
          <w:w w:val="105"/>
        </w:rPr>
        <w:t xml:space="preserve"> </w:t>
      </w:r>
      <w:r w:rsidRPr="00A92255">
        <w:rPr>
          <w:rFonts w:asciiTheme="minorHAnsi" w:hAnsiTheme="minorHAnsi" w:cstheme="minorHAnsi"/>
          <w:color w:val="1D1D1B"/>
          <w:w w:val="105"/>
        </w:rPr>
        <w:t>označením</w:t>
      </w:r>
      <w:r w:rsidRPr="00A92255">
        <w:rPr>
          <w:rFonts w:asciiTheme="minorHAnsi" w:hAnsiTheme="minorHAnsi" w:cstheme="minorHAnsi"/>
          <w:color w:val="1D1D1B"/>
          <w:spacing w:val="-8"/>
          <w:w w:val="105"/>
        </w:rPr>
        <w:t xml:space="preserve"> </w:t>
      </w:r>
      <w:r w:rsidRPr="00A92255">
        <w:rPr>
          <w:rFonts w:asciiTheme="minorHAnsi" w:hAnsiTheme="minorHAnsi" w:cstheme="minorHAnsi"/>
          <w:color w:val="1D1D1B"/>
          <w:w w:val="105"/>
        </w:rPr>
        <w:t>„Broker</w:t>
      </w:r>
      <w:r w:rsidRPr="00A92255">
        <w:rPr>
          <w:rFonts w:asciiTheme="minorHAnsi" w:hAnsiTheme="minorHAnsi" w:cstheme="minorHAnsi"/>
          <w:color w:val="1D1D1B"/>
          <w:spacing w:val="-9"/>
          <w:w w:val="105"/>
        </w:rPr>
        <w:t xml:space="preserve"> </w:t>
      </w:r>
      <w:r w:rsidRPr="00A92255">
        <w:rPr>
          <w:rFonts w:asciiTheme="minorHAnsi" w:hAnsiTheme="minorHAnsi" w:cstheme="minorHAnsi"/>
          <w:color w:val="1D1D1B"/>
          <w:w w:val="105"/>
        </w:rPr>
        <w:t>Consulting</w:t>
      </w:r>
      <w:r w:rsidRPr="00A92255">
        <w:rPr>
          <w:rFonts w:asciiTheme="minorHAnsi" w:hAnsiTheme="minorHAnsi" w:cstheme="minorHAnsi"/>
          <w:color w:val="1D1D1B"/>
          <w:spacing w:val="-8"/>
          <w:w w:val="105"/>
        </w:rPr>
        <w:t xml:space="preserve"> </w:t>
      </w:r>
      <w:r w:rsidRPr="00A92255">
        <w:rPr>
          <w:rFonts w:asciiTheme="minorHAnsi" w:hAnsiTheme="minorHAnsi" w:cstheme="minorHAnsi"/>
          <w:color w:val="1D1D1B"/>
          <w:w w:val="105"/>
        </w:rPr>
        <w:t>Index“</w:t>
      </w:r>
      <w:r w:rsidRPr="00A92255">
        <w:rPr>
          <w:rFonts w:asciiTheme="minorHAnsi" w:hAnsiTheme="minorHAnsi" w:cstheme="minorHAnsi"/>
          <w:color w:val="1D1D1B"/>
          <w:spacing w:val="-9"/>
          <w:w w:val="105"/>
        </w:rPr>
        <w:t xml:space="preserve"> </w:t>
      </w:r>
      <w:r w:rsidRPr="00A92255">
        <w:rPr>
          <w:rFonts w:asciiTheme="minorHAnsi" w:hAnsiTheme="minorHAnsi" w:cstheme="minorHAnsi"/>
          <w:color w:val="1D1D1B"/>
          <w:spacing w:val="-3"/>
          <w:w w:val="105"/>
        </w:rPr>
        <w:t>(</w:t>
      </w:r>
      <w:r w:rsidRPr="00A92255">
        <w:rPr>
          <w:rFonts w:asciiTheme="minorHAnsi" w:hAnsiTheme="minorHAnsi" w:cstheme="minorHAnsi"/>
          <w:i/>
          <w:color w:val="1D1D1B"/>
          <w:spacing w:val="-3"/>
          <w:w w:val="105"/>
        </w:rPr>
        <w:t>např.</w:t>
      </w:r>
      <w:r w:rsidRPr="00A92255">
        <w:rPr>
          <w:rFonts w:asciiTheme="minorHAnsi" w:hAnsiTheme="minorHAnsi" w:cstheme="minorHAnsi"/>
          <w:i/>
          <w:color w:val="1D1D1B"/>
          <w:spacing w:val="-8"/>
          <w:w w:val="105"/>
        </w:rPr>
        <w:t xml:space="preserve"> </w:t>
      </w:r>
      <w:r w:rsidRPr="00A92255">
        <w:rPr>
          <w:rFonts w:asciiTheme="minorHAnsi" w:hAnsiTheme="minorHAnsi" w:cstheme="minorHAnsi"/>
          <w:i/>
          <w:color w:val="1D1D1B"/>
          <w:w w:val="105"/>
        </w:rPr>
        <w:t>Broker</w:t>
      </w:r>
      <w:r w:rsidRPr="00A92255">
        <w:rPr>
          <w:rFonts w:asciiTheme="minorHAnsi" w:hAnsiTheme="minorHAnsi" w:cstheme="minorHAnsi"/>
          <w:i/>
          <w:color w:val="1D1D1B"/>
          <w:spacing w:val="-9"/>
          <w:w w:val="105"/>
        </w:rPr>
        <w:t xml:space="preserve"> </w:t>
      </w:r>
      <w:r w:rsidRPr="00A92255">
        <w:rPr>
          <w:rFonts w:asciiTheme="minorHAnsi" w:hAnsiTheme="minorHAnsi" w:cstheme="minorHAnsi"/>
          <w:i/>
          <w:color w:val="1D1D1B"/>
          <w:w w:val="105"/>
        </w:rPr>
        <w:t>Consulting</w:t>
      </w:r>
      <w:r w:rsidRPr="00A92255">
        <w:rPr>
          <w:rFonts w:asciiTheme="minorHAnsi" w:hAnsiTheme="minorHAnsi" w:cstheme="minorHAnsi"/>
          <w:i/>
          <w:color w:val="1D1D1B"/>
          <w:spacing w:val="-8"/>
          <w:w w:val="105"/>
        </w:rPr>
        <w:t xml:space="preserve"> Index </w:t>
      </w:r>
      <w:r w:rsidRPr="00A92255">
        <w:rPr>
          <w:rFonts w:asciiTheme="minorHAnsi" w:hAnsiTheme="minorHAnsi" w:cstheme="minorHAnsi"/>
          <w:i/>
          <w:color w:val="1D1D1B"/>
          <w:w w:val="105"/>
        </w:rPr>
        <w:t>hypoteční</w:t>
      </w:r>
      <w:r w:rsidRPr="00A92255">
        <w:rPr>
          <w:rFonts w:asciiTheme="minorHAnsi" w:hAnsiTheme="minorHAnsi" w:cstheme="minorHAnsi"/>
          <w:i/>
          <w:color w:val="1D1D1B"/>
          <w:spacing w:val="-9"/>
          <w:w w:val="105"/>
        </w:rPr>
        <w:t>ch úvěrů</w:t>
      </w:r>
      <w:r w:rsidRPr="00A92255">
        <w:rPr>
          <w:rFonts w:asciiTheme="minorHAnsi" w:hAnsiTheme="minorHAnsi" w:cstheme="minorHAnsi"/>
          <w:i/>
          <w:color w:val="1D1D1B"/>
          <w:w w:val="105"/>
        </w:rPr>
        <w:t xml:space="preserve">). Více informací najdete též na webu </w:t>
      </w:r>
      <w:r w:rsidRPr="00A92255">
        <w:rPr>
          <w:rStyle w:val="Hypertextovodkaz"/>
          <w:rFonts w:asciiTheme="minorHAnsi" w:hAnsiTheme="minorHAnsi" w:cstheme="minorHAnsi"/>
          <w:i/>
          <w:w w:val="105"/>
        </w:rPr>
        <w:t>https://www.bcas.cz/onas/pro-media/</w:t>
      </w:r>
      <w:r w:rsidRPr="00A92255">
        <w:rPr>
          <w:rFonts w:asciiTheme="minorHAnsi" w:hAnsiTheme="minorHAnsi" w:cstheme="minorHAnsi"/>
          <w:i/>
          <w:color w:val="1D1D1B"/>
          <w:w w:val="105"/>
        </w:rPr>
        <w:t xml:space="preserve">. </w:t>
      </w:r>
    </w:p>
    <w:p w14:paraId="685A4AD2" w14:textId="77777777" w:rsidR="00B51F55" w:rsidRPr="00A92255" w:rsidRDefault="00B51F55" w:rsidP="008F3C6D">
      <w:pPr>
        <w:jc w:val="both"/>
        <w:rPr>
          <w:rFonts w:asciiTheme="minorHAnsi" w:hAnsiTheme="minorHAnsi" w:cstheme="minorHAnsi"/>
        </w:rPr>
      </w:pPr>
    </w:p>
    <w:p w14:paraId="1039ED98" w14:textId="77777777" w:rsidR="008F3C6D" w:rsidRPr="00A92255" w:rsidRDefault="008F3C6D" w:rsidP="008F3C6D">
      <w:pPr>
        <w:jc w:val="both"/>
        <w:rPr>
          <w:rFonts w:asciiTheme="minorHAnsi" w:eastAsia="Calibri" w:hAnsiTheme="minorHAnsi" w:cstheme="minorHAnsi"/>
          <w:b/>
          <w:bCs/>
          <w:noProof/>
        </w:rPr>
      </w:pPr>
    </w:p>
    <w:p w14:paraId="195CA202" w14:textId="77777777" w:rsidR="008F3C6D" w:rsidRPr="00A92255" w:rsidRDefault="008F3C6D" w:rsidP="008F3C6D">
      <w:pPr>
        <w:rPr>
          <w:rFonts w:asciiTheme="minorHAnsi" w:eastAsia="Calibri" w:hAnsiTheme="minorHAnsi" w:cstheme="minorHAnsi"/>
          <w:b/>
          <w:bCs/>
          <w:noProof/>
        </w:rPr>
      </w:pPr>
      <w:r w:rsidRPr="00A92255">
        <w:rPr>
          <w:rFonts w:asciiTheme="minorHAnsi" w:eastAsia="Calibri" w:hAnsiTheme="minorHAnsi" w:cstheme="minorHAnsi"/>
          <w:b/>
          <w:bCs/>
          <w:noProof/>
        </w:rPr>
        <w:t>Kontakt pro média:</w:t>
      </w:r>
    </w:p>
    <w:p w14:paraId="78012E24" w14:textId="77777777" w:rsidR="0053079B" w:rsidRPr="00A92255" w:rsidRDefault="0053079B" w:rsidP="0053079B">
      <w:pPr>
        <w:rPr>
          <w:rFonts w:asciiTheme="minorHAnsi" w:eastAsia="Calibri" w:hAnsiTheme="minorHAnsi" w:cstheme="minorHAnsi"/>
          <w:bCs/>
          <w:noProof/>
        </w:rPr>
      </w:pPr>
    </w:p>
    <w:p w14:paraId="60542279" w14:textId="77777777" w:rsidR="0053079B" w:rsidRPr="00A92255" w:rsidRDefault="0053079B" w:rsidP="0053079B">
      <w:pPr>
        <w:spacing w:after="60"/>
        <w:rPr>
          <w:rFonts w:asciiTheme="minorHAnsi" w:eastAsia="Calibri" w:hAnsiTheme="minorHAnsi" w:cstheme="minorHAnsi"/>
          <w:bCs/>
          <w:noProof/>
          <w:lang w:bidi="ar-SA"/>
        </w:rPr>
      </w:pPr>
      <w:r w:rsidRPr="00A92255">
        <w:rPr>
          <w:rFonts w:asciiTheme="minorHAnsi" w:eastAsia="Calibri" w:hAnsiTheme="minorHAnsi" w:cstheme="minorHAnsi"/>
          <w:bCs/>
          <w:noProof/>
        </w:rPr>
        <w:t>Michaela Sahulová</w:t>
      </w:r>
    </w:p>
    <w:p w14:paraId="16BB5E7E" w14:textId="77777777" w:rsidR="0053079B" w:rsidRPr="00A92255" w:rsidRDefault="0053079B" w:rsidP="0053079B">
      <w:pPr>
        <w:pStyle w:val="Bezmezer"/>
        <w:rPr>
          <w:rFonts w:eastAsia="Calibri" w:cstheme="minorHAnsi"/>
          <w:noProof/>
        </w:rPr>
      </w:pPr>
      <w:r w:rsidRPr="00A92255">
        <w:rPr>
          <w:rFonts w:eastAsia="Calibri" w:cstheme="minorHAnsi"/>
          <w:noProof/>
        </w:rPr>
        <w:t>Specialistka PR a externí komunikace</w:t>
      </w:r>
    </w:p>
    <w:p w14:paraId="2D24B5C8" w14:textId="77777777" w:rsidR="0053079B" w:rsidRPr="00A92255" w:rsidRDefault="0053079B" w:rsidP="0053079B">
      <w:pPr>
        <w:rPr>
          <w:rFonts w:asciiTheme="minorHAnsi" w:eastAsiaTheme="minorEastAsia" w:hAnsiTheme="minorHAnsi" w:cstheme="minorHAnsi"/>
          <w:noProof/>
          <w:color w:val="000000" w:themeColor="text1"/>
          <w:lang w:bidi="ar-SA"/>
        </w:rPr>
      </w:pPr>
      <w:r w:rsidRPr="00A92255">
        <w:rPr>
          <w:rFonts w:asciiTheme="minorHAnsi" w:eastAsiaTheme="minorEastAsia" w:hAnsiTheme="minorHAnsi" w:cstheme="minorHAnsi"/>
          <w:noProof/>
          <w:color w:val="000000" w:themeColor="text1"/>
        </w:rPr>
        <w:t>tel.: +420 731 538 373</w:t>
      </w:r>
    </w:p>
    <w:p w14:paraId="745E815C" w14:textId="77777777" w:rsidR="0053079B" w:rsidRPr="00A92255" w:rsidRDefault="0053079B" w:rsidP="0053079B">
      <w:pPr>
        <w:rPr>
          <w:rFonts w:asciiTheme="minorHAnsi" w:eastAsia="Calibri" w:hAnsiTheme="minorHAnsi" w:cstheme="minorHAnsi"/>
          <w:noProof/>
        </w:rPr>
      </w:pPr>
      <w:r w:rsidRPr="00A92255">
        <w:rPr>
          <w:rFonts w:asciiTheme="minorHAnsi" w:eastAsia="Calibri" w:hAnsiTheme="minorHAnsi" w:cstheme="minorHAnsi"/>
          <w:noProof/>
        </w:rPr>
        <w:t xml:space="preserve">E-mail: </w:t>
      </w:r>
      <w:hyperlink r:id="rId25" w:history="1">
        <w:r w:rsidRPr="00A92255">
          <w:rPr>
            <w:rStyle w:val="Hypertextovodkaz"/>
            <w:rFonts w:asciiTheme="minorHAnsi" w:eastAsia="Calibri" w:hAnsiTheme="minorHAnsi" w:cstheme="minorHAnsi"/>
            <w:noProof/>
          </w:rPr>
          <w:t>michaela.sahulova@bcas.cz</w:t>
        </w:r>
      </w:hyperlink>
      <w:r w:rsidRPr="00A92255">
        <w:rPr>
          <w:rFonts w:asciiTheme="minorHAnsi" w:eastAsia="Calibri" w:hAnsiTheme="minorHAnsi" w:cstheme="minorHAnsi"/>
          <w:noProof/>
        </w:rPr>
        <w:t xml:space="preserve"> </w:t>
      </w:r>
    </w:p>
    <w:p w14:paraId="1FBC071D" w14:textId="77777777" w:rsidR="00FA6B22" w:rsidRPr="00B13035" w:rsidRDefault="00FA6B22" w:rsidP="008F3C6D">
      <w:pPr>
        <w:rPr>
          <w:rFonts w:ascii="Arial" w:eastAsia="Calibri" w:hAnsi="Arial" w:cs="Arial"/>
          <w:noProof/>
          <w:sz w:val="20"/>
          <w:szCs w:val="20"/>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E3C62" w14:textId="77777777" w:rsidR="002D42A3" w:rsidRDefault="002D42A3">
      <w:r>
        <w:separator/>
      </w:r>
    </w:p>
  </w:endnote>
  <w:endnote w:type="continuationSeparator" w:id="0">
    <w:p w14:paraId="38825827" w14:textId="77777777" w:rsidR="002D42A3" w:rsidRDefault="002D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7E1B" w14:textId="0BBF035E" w:rsidR="00956B8E" w:rsidRPr="00956B8E" w:rsidRDefault="00956B8E">
    <w:pPr>
      <w:pStyle w:val="Zpat"/>
      <w:jc w:val="center"/>
      <w:rPr>
        <w:rFonts w:asciiTheme="minorHAnsi" w:hAnsiTheme="minorHAnsi" w:cstheme="minorHAnsi"/>
        <w:sz w:val="20"/>
        <w:szCs w:val="20"/>
      </w:rPr>
    </w:pPr>
  </w:p>
  <w:p w14:paraId="01CE9966" w14:textId="39F0E5F2" w:rsidR="00D80B6D" w:rsidRPr="00956B8E" w:rsidRDefault="00956B8E" w:rsidP="00956B8E">
    <w:pPr>
      <w:pStyle w:val="Zpat"/>
      <w:jc w:val="center"/>
      <w:rPr>
        <w:rFonts w:asciiTheme="minorHAnsi" w:hAnsiTheme="minorHAnsi" w:cstheme="minorHAnsi"/>
        <w:sz w:val="20"/>
        <w:szCs w:val="20"/>
      </w:rPr>
    </w:pPr>
    <w:r w:rsidRPr="00956B8E">
      <w:rPr>
        <w:rFonts w:asciiTheme="minorHAnsi" w:hAnsiTheme="minorHAnsi" w:cstheme="minorHAnsi"/>
        <w:sz w:val="20"/>
        <w:szCs w:val="20"/>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B0B12" w14:textId="77777777" w:rsidR="002D42A3" w:rsidRDefault="002D42A3">
      <w:r>
        <w:separator/>
      </w:r>
    </w:p>
  </w:footnote>
  <w:footnote w:type="continuationSeparator" w:id="0">
    <w:p w14:paraId="25115736" w14:textId="77777777" w:rsidR="002D42A3" w:rsidRDefault="002D4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A92255" w:rsidRDefault="00D80B6D" w:rsidP="00E95698">
    <w:pPr>
      <w:tabs>
        <w:tab w:val="left" w:pos="8633"/>
      </w:tabs>
      <w:spacing w:before="80"/>
      <w:ind w:firstLine="2880"/>
      <w:rPr>
        <w:rFonts w:asciiTheme="minorHAnsi" w:hAnsiTheme="minorHAnsi" w:cstheme="minorHAnsi"/>
        <w:sz w:val="52"/>
      </w:rPr>
    </w:pPr>
    <w:r w:rsidRPr="00A92255">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A92255">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A92255">
      <w:rPr>
        <w:rFonts w:asciiTheme="minorHAnsi" w:hAnsiTheme="minorHAnsi" w:cstheme="minorHAnsi"/>
        <w:color w:val="1D1D1B"/>
        <w:sz w:val="48"/>
      </w:rPr>
      <w:t xml:space="preserve">BROKER CONSULTING </w:t>
    </w:r>
    <w:r w:rsidRPr="00A92255">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38A102A0" w:rsidR="00B65A3B" w:rsidRDefault="00A92255" w:rsidP="00B65A3B">
    <w:pPr>
      <w:spacing w:before="85"/>
      <w:ind w:left="1440" w:firstLine="720"/>
      <w:rPr>
        <w:rFonts w:ascii="Arial" w:hAnsi="Arial" w:cs="Arial"/>
        <w:color w:val="E52713"/>
        <w:sz w:val="28"/>
        <w:szCs w:val="28"/>
      </w:rPr>
    </w:pPr>
    <w:r>
      <w:rPr>
        <w:rFonts w:ascii="Arial" w:hAnsi="Arial" w:cs="Arial"/>
        <w:color w:val="E52713"/>
        <w:sz w:val="28"/>
        <w:szCs w:val="28"/>
      </w:rPr>
      <w:t>REALIndex</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5772DB5B" w:rsidR="00D80B6D" w:rsidRPr="009F59EE" w:rsidRDefault="00A92255" w:rsidP="009F59EE">
    <w:pPr>
      <w:spacing w:before="85"/>
      <w:ind w:left="1440" w:firstLine="720"/>
      <w:rPr>
        <w:rFonts w:ascii="Arial" w:hAnsi="Arial" w:cs="Arial"/>
        <w:sz w:val="28"/>
        <w:szCs w:val="28"/>
      </w:rPr>
    </w:pPr>
    <w:r>
      <w:rPr>
        <w:rFonts w:ascii="Arial" w:hAnsi="Arial" w:cs="Arial"/>
        <w:color w:val="E52713"/>
        <w:sz w:val="28"/>
        <w:szCs w:val="28"/>
      </w:rPr>
      <w:t>REALIndex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368136D"/>
    <w:multiLevelType w:val="hybridMultilevel"/>
    <w:tmpl w:val="1C461D50"/>
    <w:lvl w:ilvl="0" w:tplc="BDF01E0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241"/>
    <w:rsid w:val="00024AC6"/>
    <w:rsid w:val="00026F23"/>
    <w:rsid w:val="000276A7"/>
    <w:rsid w:val="000277AC"/>
    <w:rsid w:val="00032D94"/>
    <w:rsid w:val="00036C73"/>
    <w:rsid w:val="000374D7"/>
    <w:rsid w:val="000400E4"/>
    <w:rsid w:val="0004010D"/>
    <w:rsid w:val="00045B39"/>
    <w:rsid w:val="00050AB8"/>
    <w:rsid w:val="0005252A"/>
    <w:rsid w:val="0005423A"/>
    <w:rsid w:val="00057018"/>
    <w:rsid w:val="000611E3"/>
    <w:rsid w:val="000618FE"/>
    <w:rsid w:val="00061ABB"/>
    <w:rsid w:val="000629D6"/>
    <w:rsid w:val="00070675"/>
    <w:rsid w:val="000766E7"/>
    <w:rsid w:val="00080552"/>
    <w:rsid w:val="00080ADE"/>
    <w:rsid w:val="00081616"/>
    <w:rsid w:val="000853D4"/>
    <w:rsid w:val="00087263"/>
    <w:rsid w:val="0009776B"/>
    <w:rsid w:val="000B0D84"/>
    <w:rsid w:val="000B2E5D"/>
    <w:rsid w:val="000B2F39"/>
    <w:rsid w:val="000B5339"/>
    <w:rsid w:val="000B54E5"/>
    <w:rsid w:val="000C0090"/>
    <w:rsid w:val="000C1853"/>
    <w:rsid w:val="000C3BC8"/>
    <w:rsid w:val="000C4C77"/>
    <w:rsid w:val="000D145E"/>
    <w:rsid w:val="000D14E2"/>
    <w:rsid w:val="000D5F5D"/>
    <w:rsid w:val="000D7A4D"/>
    <w:rsid w:val="000E0EEC"/>
    <w:rsid w:val="000E168E"/>
    <w:rsid w:val="000E3D86"/>
    <w:rsid w:val="000E6BDB"/>
    <w:rsid w:val="000F0BA4"/>
    <w:rsid w:val="000F1EC4"/>
    <w:rsid w:val="000F29D1"/>
    <w:rsid w:val="000F6249"/>
    <w:rsid w:val="00103543"/>
    <w:rsid w:val="001069A1"/>
    <w:rsid w:val="0010739A"/>
    <w:rsid w:val="00111C28"/>
    <w:rsid w:val="00112079"/>
    <w:rsid w:val="00112D65"/>
    <w:rsid w:val="001130B7"/>
    <w:rsid w:val="00114F7B"/>
    <w:rsid w:val="0012386D"/>
    <w:rsid w:val="00123939"/>
    <w:rsid w:val="0013044E"/>
    <w:rsid w:val="00131A69"/>
    <w:rsid w:val="00136C97"/>
    <w:rsid w:val="00137003"/>
    <w:rsid w:val="0013717C"/>
    <w:rsid w:val="00137474"/>
    <w:rsid w:val="00143EFE"/>
    <w:rsid w:val="00156082"/>
    <w:rsid w:val="00161D10"/>
    <w:rsid w:val="00164597"/>
    <w:rsid w:val="001675AF"/>
    <w:rsid w:val="00170556"/>
    <w:rsid w:val="00170D87"/>
    <w:rsid w:val="00171C91"/>
    <w:rsid w:val="001767A5"/>
    <w:rsid w:val="00180051"/>
    <w:rsid w:val="00182B07"/>
    <w:rsid w:val="0018460D"/>
    <w:rsid w:val="00185BBE"/>
    <w:rsid w:val="001901D0"/>
    <w:rsid w:val="00191B34"/>
    <w:rsid w:val="001925C8"/>
    <w:rsid w:val="00192716"/>
    <w:rsid w:val="00192C2A"/>
    <w:rsid w:val="00193550"/>
    <w:rsid w:val="00194C95"/>
    <w:rsid w:val="001A54DD"/>
    <w:rsid w:val="001B296D"/>
    <w:rsid w:val="001B29C7"/>
    <w:rsid w:val="001B501B"/>
    <w:rsid w:val="001B745F"/>
    <w:rsid w:val="001D015A"/>
    <w:rsid w:val="001D1A72"/>
    <w:rsid w:val="001D3DFC"/>
    <w:rsid w:val="001D4EA8"/>
    <w:rsid w:val="001D6965"/>
    <w:rsid w:val="001E22F1"/>
    <w:rsid w:val="001E3BDE"/>
    <w:rsid w:val="001E3D5F"/>
    <w:rsid w:val="001E3FBF"/>
    <w:rsid w:val="001E4209"/>
    <w:rsid w:val="001F045E"/>
    <w:rsid w:val="001F25C4"/>
    <w:rsid w:val="001F2BE0"/>
    <w:rsid w:val="001F3CF1"/>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1834"/>
    <w:rsid w:val="0028590C"/>
    <w:rsid w:val="002A0285"/>
    <w:rsid w:val="002A3F19"/>
    <w:rsid w:val="002A6FA3"/>
    <w:rsid w:val="002A7325"/>
    <w:rsid w:val="002B0728"/>
    <w:rsid w:val="002B1317"/>
    <w:rsid w:val="002B4208"/>
    <w:rsid w:val="002B7DA9"/>
    <w:rsid w:val="002B7F6D"/>
    <w:rsid w:val="002C0240"/>
    <w:rsid w:val="002C4A25"/>
    <w:rsid w:val="002D1619"/>
    <w:rsid w:val="002D42A3"/>
    <w:rsid w:val="002D6D20"/>
    <w:rsid w:val="002E1ABC"/>
    <w:rsid w:val="002E633F"/>
    <w:rsid w:val="002F002B"/>
    <w:rsid w:val="002F05B2"/>
    <w:rsid w:val="002F3FCA"/>
    <w:rsid w:val="002F485A"/>
    <w:rsid w:val="002F56BD"/>
    <w:rsid w:val="002F6F82"/>
    <w:rsid w:val="002F7EC2"/>
    <w:rsid w:val="003001F4"/>
    <w:rsid w:val="003001FC"/>
    <w:rsid w:val="003028DB"/>
    <w:rsid w:val="003055CB"/>
    <w:rsid w:val="00306EEA"/>
    <w:rsid w:val="00306FE1"/>
    <w:rsid w:val="00307E95"/>
    <w:rsid w:val="00310BEB"/>
    <w:rsid w:val="00311F45"/>
    <w:rsid w:val="0031287A"/>
    <w:rsid w:val="003128F8"/>
    <w:rsid w:val="00312F4B"/>
    <w:rsid w:val="00316FA6"/>
    <w:rsid w:val="0031712D"/>
    <w:rsid w:val="0031752C"/>
    <w:rsid w:val="00320455"/>
    <w:rsid w:val="00321518"/>
    <w:rsid w:val="00321E19"/>
    <w:rsid w:val="003247B0"/>
    <w:rsid w:val="00330918"/>
    <w:rsid w:val="003358BA"/>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774E4"/>
    <w:rsid w:val="00383942"/>
    <w:rsid w:val="00383DC5"/>
    <w:rsid w:val="00385325"/>
    <w:rsid w:val="00385EED"/>
    <w:rsid w:val="00390B58"/>
    <w:rsid w:val="00392024"/>
    <w:rsid w:val="003948A1"/>
    <w:rsid w:val="003A1549"/>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53BB"/>
    <w:rsid w:val="004075C9"/>
    <w:rsid w:val="004116FD"/>
    <w:rsid w:val="0042193A"/>
    <w:rsid w:val="00423A87"/>
    <w:rsid w:val="0043347D"/>
    <w:rsid w:val="004336E4"/>
    <w:rsid w:val="00433F20"/>
    <w:rsid w:val="00435342"/>
    <w:rsid w:val="004376B0"/>
    <w:rsid w:val="00445D0A"/>
    <w:rsid w:val="004501B9"/>
    <w:rsid w:val="00453CFE"/>
    <w:rsid w:val="00454843"/>
    <w:rsid w:val="004556BB"/>
    <w:rsid w:val="00455F65"/>
    <w:rsid w:val="00457FFE"/>
    <w:rsid w:val="00460FA7"/>
    <w:rsid w:val="00461BF2"/>
    <w:rsid w:val="004627B9"/>
    <w:rsid w:val="004678E9"/>
    <w:rsid w:val="00467E69"/>
    <w:rsid w:val="00471166"/>
    <w:rsid w:val="00473E24"/>
    <w:rsid w:val="00480982"/>
    <w:rsid w:val="00486655"/>
    <w:rsid w:val="00486A7D"/>
    <w:rsid w:val="00492BA9"/>
    <w:rsid w:val="004935C2"/>
    <w:rsid w:val="004A59C1"/>
    <w:rsid w:val="004B2DF6"/>
    <w:rsid w:val="004B2FF6"/>
    <w:rsid w:val="004B4E91"/>
    <w:rsid w:val="004B5797"/>
    <w:rsid w:val="004B7412"/>
    <w:rsid w:val="004C222D"/>
    <w:rsid w:val="004C3D7C"/>
    <w:rsid w:val="004C3DD1"/>
    <w:rsid w:val="004C3F71"/>
    <w:rsid w:val="004D5CC6"/>
    <w:rsid w:val="004E09B8"/>
    <w:rsid w:val="004E1737"/>
    <w:rsid w:val="004F303D"/>
    <w:rsid w:val="004F5D36"/>
    <w:rsid w:val="004F6195"/>
    <w:rsid w:val="00504EBB"/>
    <w:rsid w:val="0050659B"/>
    <w:rsid w:val="005130A9"/>
    <w:rsid w:val="005153F7"/>
    <w:rsid w:val="00515952"/>
    <w:rsid w:val="005224C1"/>
    <w:rsid w:val="005231DA"/>
    <w:rsid w:val="0053079B"/>
    <w:rsid w:val="0053153F"/>
    <w:rsid w:val="00531C9F"/>
    <w:rsid w:val="0053554F"/>
    <w:rsid w:val="005361AF"/>
    <w:rsid w:val="00536822"/>
    <w:rsid w:val="00536954"/>
    <w:rsid w:val="0053728E"/>
    <w:rsid w:val="00540606"/>
    <w:rsid w:val="00541870"/>
    <w:rsid w:val="005436EC"/>
    <w:rsid w:val="00544A37"/>
    <w:rsid w:val="00545971"/>
    <w:rsid w:val="00550147"/>
    <w:rsid w:val="00551FDB"/>
    <w:rsid w:val="00554D18"/>
    <w:rsid w:val="005552AB"/>
    <w:rsid w:val="00556068"/>
    <w:rsid w:val="0056501A"/>
    <w:rsid w:val="00571AD4"/>
    <w:rsid w:val="00573886"/>
    <w:rsid w:val="00573EE2"/>
    <w:rsid w:val="00577D19"/>
    <w:rsid w:val="005907CD"/>
    <w:rsid w:val="0059695E"/>
    <w:rsid w:val="005A2139"/>
    <w:rsid w:val="005A37E5"/>
    <w:rsid w:val="005A4EB8"/>
    <w:rsid w:val="005A5BBA"/>
    <w:rsid w:val="005A5F08"/>
    <w:rsid w:val="005B1910"/>
    <w:rsid w:val="005B3143"/>
    <w:rsid w:val="005B31D7"/>
    <w:rsid w:val="005C150C"/>
    <w:rsid w:val="005C318A"/>
    <w:rsid w:val="005D52F3"/>
    <w:rsid w:val="005E1193"/>
    <w:rsid w:val="005E5A67"/>
    <w:rsid w:val="005E7865"/>
    <w:rsid w:val="005F2D95"/>
    <w:rsid w:val="005F4B70"/>
    <w:rsid w:val="005F6BD8"/>
    <w:rsid w:val="005F7E72"/>
    <w:rsid w:val="005F7EAE"/>
    <w:rsid w:val="0060554F"/>
    <w:rsid w:val="006135FD"/>
    <w:rsid w:val="0061438C"/>
    <w:rsid w:val="006166CE"/>
    <w:rsid w:val="006218E4"/>
    <w:rsid w:val="00623C47"/>
    <w:rsid w:val="0062747C"/>
    <w:rsid w:val="0062786E"/>
    <w:rsid w:val="006365D5"/>
    <w:rsid w:val="0064160C"/>
    <w:rsid w:val="00646E6F"/>
    <w:rsid w:val="00650123"/>
    <w:rsid w:val="006509E8"/>
    <w:rsid w:val="006542CA"/>
    <w:rsid w:val="006548C4"/>
    <w:rsid w:val="0066135D"/>
    <w:rsid w:val="00662758"/>
    <w:rsid w:val="00664259"/>
    <w:rsid w:val="00664867"/>
    <w:rsid w:val="00667012"/>
    <w:rsid w:val="006768F0"/>
    <w:rsid w:val="00677078"/>
    <w:rsid w:val="00681F49"/>
    <w:rsid w:val="00682D62"/>
    <w:rsid w:val="006839FB"/>
    <w:rsid w:val="00683F9A"/>
    <w:rsid w:val="006849D3"/>
    <w:rsid w:val="006859AC"/>
    <w:rsid w:val="006859FD"/>
    <w:rsid w:val="0068617E"/>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2B43"/>
    <w:rsid w:val="006D39DF"/>
    <w:rsid w:val="006D65EC"/>
    <w:rsid w:val="006E26DC"/>
    <w:rsid w:val="006E6A2F"/>
    <w:rsid w:val="006E70A0"/>
    <w:rsid w:val="006F32FB"/>
    <w:rsid w:val="007046C5"/>
    <w:rsid w:val="00704D83"/>
    <w:rsid w:val="007052FC"/>
    <w:rsid w:val="00705D83"/>
    <w:rsid w:val="00710AF5"/>
    <w:rsid w:val="00710E0C"/>
    <w:rsid w:val="0072112F"/>
    <w:rsid w:val="00724267"/>
    <w:rsid w:val="00725BF5"/>
    <w:rsid w:val="00727CC6"/>
    <w:rsid w:val="007320FB"/>
    <w:rsid w:val="007362E3"/>
    <w:rsid w:val="007408D1"/>
    <w:rsid w:val="00743627"/>
    <w:rsid w:val="00743E6A"/>
    <w:rsid w:val="0074636A"/>
    <w:rsid w:val="00753B64"/>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1DB1"/>
    <w:rsid w:val="007824F4"/>
    <w:rsid w:val="00782848"/>
    <w:rsid w:val="00784109"/>
    <w:rsid w:val="0078410A"/>
    <w:rsid w:val="0078525A"/>
    <w:rsid w:val="00785FC5"/>
    <w:rsid w:val="0078631B"/>
    <w:rsid w:val="0078653C"/>
    <w:rsid w:val="00791A2B"/>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D2DCA"/>
    <w:rsid w:val="007E3027"/>
    <w:rsid w:val="007E38CD"/>
    <w:rsid w:val="007E5614"/>
    <w:rsid w:val="007E768B"/>
    <w:rsid w:val="007F2DE8"/>
    <w:rsid w:val="007F4493"/>
    <w:rsid w:val="007F4C72"/>
    <w:rsid w:val="007F71F9"/>
    <w:rsid w:val="008011E7"/>
    <w:rsid w:val="0080323F"/>
    <w:rsid w:val="00804111"/>
    <w:rsid w:val="008063BB"/>
    <w:rsid w:val="008123FF"/>
    <w:rsid w:val="0081387C"/>
    <w:rsid w:val="0081474E"/>
    <w:rsid w:val="00826153"/>
    <w:rsid w:val="00827B76"/>
    <w:rsid w:val="0083053E"/>
    <w:rsid w:val="00831B5E"/>
    <w:rsid w:val="00832F5B"/>
    <w:rsid w:val="00841AC4"/>
    <w:rsid w:val="00845A34"/>
    <w:rsid w:val="00852BBB"/>
    <w:rsid w:val="00853C30"/>
    <w:rsid w:val="00856806"/>
    <w:rsid w:val="00856D3C"/>
    <w:rsid w:val="00860609"/>
    <w:rsid w:val="00863FC3"/>
    <w:rsid w:val="0087199F"/>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3A59"/>
    <w:rsid w:val="008C4B0D"/>
    <w:rsid w:val="008D471A"/>
    <w:rsid w:val="008E1286"/>
    <w:rsid w:val="008E19F3"/>
    <w:rsid w:val="008E1B46"/>
    <w:rsid w:val="008F36CB"/>
    <w:rsid w:val="008F3C6D"/>
    <w:rsid w:val="008F6AAF"/>
    <w:rsid w:val="00901DB4"/>
    <w:rsid w:val="00901E1F"/>
    <w:rsid w:val="0090292E"/>
    <w:rsid w:val="00906E67"/>
    <w:rsid w:val="009144B1"/>
    <w:rsid w:val="00915ADA"/>
    <w:rsid w:val="0092097A"/>
    <w:rsid w:val="009209B4"/>
    <w:rsid w:val="009222C9"/>
    <w:rsid w:val="009228CF"/>
    <w:rsid w:val="00925499"/>
    <w:rsid w:val="00930569"/>
    <w:rsid w:val="00932625"/>
    <w:rsid w:val="009343CC"/>
    <w:rsid w:val="009344C2"/>
    <w:rsid w:val="009412B0"/>
    <w:rsid w:val="0094645B"/>
    <w:rsid w:val="0094705C"/>
    <w:rsid w:val="00956B8E"/>
    <w:rsid w:val="00957739"/>
    <w:rsid w:val="00957B41"/>
    <w:rsid w:val="009631E0"/>
    <w:rsid w:val="009649D2"/>
    <w:rsid w:val="009660BD"/>
    <w:rsid w:val="009674F1"/>
    <w:rsid w:val="00977540"/>
    <w:rsid w:val="009834E2"/>
    <w:rsid w:val="00985DC8"/>
    <w:rsid w:val="009A52BA"/>
    <w:rsid w:val="009A69B1"/>
    <w:rsid w:val="009A700C"/>
    <w:rsid w:val="009C0ECA"/>
    <w:rsid w:val="009C45BA"/>
    <w:rsid w:val="009C7948"/>
    <w:rsid w:val="009C79BD"/>
    <w:rsid w:val="009D01A2"/>
    <w:rsid w:val="009D0D2C"/>
    <w:rsid w:val="009D24BB"/>
    <w:rsid w:val="009D44D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4701"/>
    <w:rsid w:val="00A16A29"/>
    <w:rsid w:val="00A16E82"/>
    <w:rsid w:val="00A252BA"/>
    <w:rsid w:val="00A26285"/>
    <w:rsid w:val="00A27A7B"/>
    <w:rsid w:val="00A36CBA"/>
    <w:rsid w:val="00A36D79"/>
    <w:rsid w:val="00A41EA4"/>
    <w:rsid w:val="00A44FE0"/>
    <w:rsid w:val="00A4618A"/>
    <w:rsid w:val="00A50D03"/>
    <w:rsid w:val="00A624BA"/>
    <w:rsid w:val="00A712B2"/>
    <w:rsid w:val="00A74214"/>
    <w:rsid w:val="00A7466F"/>
    <w:rsid w:val="00A7796E"/>
    <w:rsid w:val="00A85C8C"/>
    <w:rsid w:val="00A9085F"/>
    <w:rsid w:val="00A92255"/>
    <w:rsid w:val="00A92C95"/>
    <w:rsid w:val="00A93A25"/>
    <w:rsid w:val="00AA0920"/>
    <w:rsid w:val="00AA3055"/>
    <w:rsid w:val="00AA469A"/>
    <w:rsid w:val="00AA6E6D"/>
    <w:rsid w:val="00AA715C"/>
    <w:rsid w:val="00AA7977"/>
    <w:rsid w:val="00AA79D9"/>
    <w:rsid w:val="00AB50FF"/>
    <w:rsid w:val="00AC4BEC"/>
    <w:rsid w:val="00AC57BB"/>
    <w:rsid w:val="00AC614D"/>
    <w:rsid w:val="00AD1F39"/>
    <w:rsid w:val="00AD4BC3"/>
    <w:rsid w:val="00AE313F"/>
    <w:rsid w:val="00AE34F4"/>
    <w:rsid w:val="00AF042F"/>
    <w:rsid w:val="00AF5987"/>
    <w:rsid w:val="00B00C49"/>
    <w:rsid w:val="00B03105"/>
    <w:rsid w:val="00B03461"/>
    <w:rsid w:val="00B0766F"/>
    <w:rsid w:val="00B07F42"/>
    <w:rsid w:val="00B10787"/>
    <w:rsid w:val="00B11974"/>
    <w:rsid w:val="00B12CF8"/>
    <w:rsid w:val="00B13035"/>
    <w:rsid w:val="00B244B9"/>
    <w:rsid w:val="00B24559"/>
    <w:rsid w:val="00B27020"/>
    <w:rsid w:val="00B27178"/>
    <w:rsid w:val="00B310C3"/>
    <w:rsid w:val="00B360A7"/>
    <w:rsid w:val="00B42229"/>
    <w:rsid w:val="00B43ABC"/>
    <w:rsid w:val="00B44FA9"/>
    <w:rsid w:val="00B51125"/>
    <w:rsid w:val="00B51F55"/>
    <w:rsid w:val="00B52CDF"/>
    <w:rsid w:val="00B60D60"/>
    <w:rsid w:val="00B63CDD"/>
    <w:rsid w:val="00B65687"/>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3E59"/>
    <w:rsid w:val="00BD56B7"/>
    <w:rsid w:val="00BD5A47"/>
    <w:rsid w:val="00BD5FB6"/>
    <w:rsid w:val="00BE2BCC"/>
    <w:rsid w:val="00BE3896"/>
    <w:rsid w:val="00BE7068"/>
    <w:rsid w:val="00BE768F"/>
    <w:rsid w:val="00BF6445"/>
    <w:rsid w:val="00C03192"/>
    <w:rsid w:val="00C23E32"/>
    <w:rsid w:val="00C251C4"/>
    <w:rsid w:val="00C266F9"/>
    <w:rsid w:val="00C314C1"/>
    <w:rsid w:val="00C31917"/>
    <w:rsid w:val="00C40571"/>
    <w:rsid w:val="00C40D7F"/>
    <w:rsid w:val="00C41741"/>
    <w:rsid w:val="00C41DD9"/>
    <w:rsid w:val="00C427DA"/>
    <w:rsid w:val="00C42C49"/>
    <w:rsid w:val="00C42FAF"/>
    <w:rsid w:val="00C568FB"/>
    <w:rsid w:val="00C56D0A"/>
    <w:rsid w:val="00C72FDA"/>
    <w:rsid w:val="00C73DAB"/>
    <w:rsid w:val="00C863A3"/>
    <w:rsid w:val="00C864DC"/>
    <w:rsid w:val="00C90075"/>
    <w:rsid w:val="00C915B4"/>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C49C2"/>
    <w:rsid w:val="00CD2466"/>
    <w:rsid w:val="00CD3324"/>
    <w:rsid w:val="00CD6162"/>
    <w:rsid w:val="00CD6A1D"/>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4957"/>
    <w:rsid w:val="00D55BD2"/>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50BA"/>
    <w:rsid w:val="00DA55A8"/>
    <w:rsid w:val="00DA7B87"/>
    <w:rsid w:val="00DB0266"/>
    <w:rsid w:val="00DB63D9"/>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58A3"/>
    <w:rsid w:val="00E06422"/>
    <w:rsid w:val="00E11439"/>
    <w:rsid w:val="00E151F3"/>
    <w:rsid w:val="00E161C6"/>
    <w:rsid w:val="00E17539"/>
    <w:rsid w:val="00E20252"/>
    <w:rsid w:val="00E2483C"/>
    <w:rsid w:val="00E26CF0"/>
    <w:rsid w:val="00E31346"/>
    <w:rsid w:val="00E376F8"/>
    <w:rsid w:val="00E40550"/>
    <w:rsid w:val="00E41C99"/>
    <w:rsid w:val="00E423B5"/>
    <w:rsid w:val="00E43F59"/>
    <w:rsid w:val="00E518BB"/>
    <w:rsid w:val="00E562EA"/>
    <w:rsid w:val="00E57F9B"/>
    <w:rsid w:val="00E6726D"/>
    <w:rsid w:val="00E77BCA"/>
    <w:rsid w:val="00E81433"/>
    <w:rsid w:val="00E81C95"/>
    <w:rsid w:val="00E852A3"/>
    <w:rsid w:val="00E93958"/>
    <w:rsid w:val="00E96A9B"/>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101B3"/>
    <w:rsid w:val="00F13FDA"/>
    <w:rsid w:val="00F14982"/>
    <w:rsid w:val="00F14B6E"/>
    <w:rsid w:val="00F20D55"/>
    <w:rsid w:val="00F22377"/>
    <w:rsid w:val="00F250B8"/>
    <w:rsid w:val="00F253CD"/>
    <w:rsid w:val="00F2598D"/>
    <w:rsid w:val="00F259AE"/>
    <w:rsid w:val="00F30F02"/>
    <w:rsid w:val="00F31B7E"/>
    <w:rsid w:val="00F336A2"/>
    <w:rsid w:val="00F33826"/>
    <w:rsid w:val="00F34E7C"/>
    <w:rsid w:val="00F3561E"/>
    <w:rsid w:val="00F36EC6"/>
    <w:rsid w:val="00F4229F"/>
    <w:rsid w:val="00F44AEB"/>
    <w:rsid w:val="00F45620"/>
    <w:rsid w:val="00F46BBD"/>
    <w:rsid w:val="00F51B95"/>
    <w:rsid w:val="00F5432C"/>
    <w:rsid w:val="00F5470D"/>
    <w:rsid w:val="00F5611C"/>
    <w:rsid w:val="00F637FB"/>
    <w:rsid w:val="00F66B41"/>
    <w:rsid w:val="00F712AB"/>
    <w:rsid w:val="00F77D7D"/>
    <w:rsid w:val="00F80CD0"/>
    <w:rsid w:val="00F82DDB"/>
    <w:rsid w:val="00F838FF"/>
    <w:rsid w:val="00F83CDB"/>
    <w:rsid w:val="00F87665"/>
    <w:rsid w:val="00F8771B"/>
    <w:rsid w:val="00F90003"/>
    <w:rsid w:val="00F9173C"/>
    <w:rsid w:val="00FA1C73"/>
    <w:rsid w:val="00FA6B22"/>
    <w:rsid w:val="00FA73E5"/>
    <w:rsid w:val="00FB18D0"/>
    <w:rsid w:val="00FB2ED6"/>
    <w:rsid w:val="00FB3309"/>
    <w:rsid w:val="00FB53F1"/>
    <w:rsid w:val="00FC0973"/>
    <w:rsid w:val="00FC23FE"/>
    <w:rsid w:val="00FC2522"/>
    <w:rsid w:val="00FC5B56"/>
    <w:rsid w:val="00FC7D97"/>
    <w:rsid w:val="00FD4B12"/>
    <w:rsid w:val="00FD7195"/>
    <w:rsid w:val="00FD747A"/>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515310848">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image" Target="media/image4.png"/><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F313E-B4AC-4CE8-A852-0A0A32942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4</Pages>
  <Words>1085</Words>
  <Characters>6408</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35</cp:revision>
  <dcterms:created xsi:type="dcterms:W3CDTF">2023-03-10T18:39:00Z</dcterms:created>
  <dcterms:modified xsi:type="dcterms:W3CDTF">2023-03-15T08:50:00Z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