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120037484"/>
        <w:docPartObj>
          <w:docPartGallery w:val="Cover Pages"/>
          <w:docPartUnique/>
        </w:docPartObj>
      </w:sdtPr>
      <w:sdtEndPr>
        <w:rPr>
          <w:rFonts w:ascii="Arial" w:hAnsi="Arial" w:cs="Arial"/>
          <w:b/>
          <w:sz w:val="20"/>
          <w:szCs w:val="20"/>
        </w:rPr>
      </w:sdtEndPr>
      <w:sdtContent>
        <w:p w14:paraId="718E6546" w14:textId="3DEA865B" w:rsidR="00D80B6D" w:rsidRPr="00FC2522" w:rsidRDefault="00D80B6D">
          <w:pPr>
            <w:rPr>
              <w:highlight w:val="yellow"/>
            </w:rPr>
          </w:pPr>
        </w:p>
        <w:p w14:paraId="7ED014A1" w14:textId="77777777" w:rsidR="00D80B6D" w:rsidRPr="00FC2522" w:rsidRDefault="00D80B6D" w:rsidP="00D80B6D">
          <w:pPr>
            <w:pStyle w:val="Nadpis3"/>
            <w:spacing w:before="10"/>
            <w:rPr>
              <w:rFonts w:ascii="Arial" w:hAnsi="Arial" w:cs="Arial"/>
              <w:color w:val="1D1D1B"/>
              <w:highlight w:val="yellow"/>
            </w:rPr>
          </w:pPr>
        </w:p>
        <w:p w14:paraId="0FB45B67" w14:textId="77777777" w:rsidR="00D80B6D" w:rsidRPr="00BC331D" w:rsidRDefault="00D80B6D" w:rsidP="00D80B6D">
          <w:pPr>
            <w:spacing w:before="230"/>
            <w:ind w:left="165"/>
            <w:jc w:val="center"/>
            <w:rPr>
              <w:rFonts w:asciiTheme="minorHAnsi" w:hAnsiTheme="minorHAnsi" w:cstheme="minorHAnsi"/>
              <w:color w:val="CD1719"/>
              <w:sz w:val="24"/>
            </w:rPr>
          </w:pPr>
          <w:r w:rsidRPr="00BC331D">
            <w:rPr>
              <w:rFonts w:asciiTheme="minorHAnsi" w:hAnsiTheme="minorHAnsi" w:cstheme="minorHAnsi"/>
              <w:color w:val="1D1D1B"/>
              <w:sz w:val="24"/>
            </w:rPr>
            <w:t xml:space="preserve">INDEX HYPOTEČNÍCH ÚVĚRŮ </w:t>
          </w:r>
          <w:r w:rsidRPr="00BC331D">
            <w:rPr>
              <w:rFonts w:asciiTheme="minorHAnsi" w:hAnsiTheme="minorHAnsi" w:cstheme="minorHAnsi"/>
              <w:color w:val="CD1719"/>
              <w:sz w:val="24"/>
            </w:rPr>
            <w:t xml:space="preserve">| </w:t>
          </w:r>
          <w:r w:rsidRPr="00BC331D">
            <w:rPr>
              <w:rFonts w:asciiTheme="minorHAnsi" w:hAnsiTheme="minorHAnsi" w:cstheme="minorHAnsi"/>
              <w:color w:val="1D1D1B"/>
              <w:sz w:val="24"/>
            </w:rPr>
            <w:t xml:space="preserve">FIXINDEX </w:t>
          </w:r>
        </w:p>
        <w:p w14:paraId="6D3B5ACD" w14:textId="14F47C98" w:rsidR="00BC331D" w:rsidRPr="00BC331D" w:rsidRDefault="00BC331D" w:rsidP="00D80B6D">
          <w:pPr>
            <w:spacing w:before="230"/>
            <w:ind w:left="165"/>
            <w:jc w:val="center"/>
            <w:rPr>
              <w:rFonts w:asciiTheme="minorHAnsi" w:hAnsiTheme="minorHAnsi" w:cstheme="minorHAnsi"/>
              <w:color w:val="1D1D1B"/>
              <w:sz w:val="24"/>
            </w:rPr>
          </w:pPr>
          <w:r w:rsidRPr="00BC331D">
            <w:rPr>
              <w:rFonts w:asciiTheme="minorHAnsi" w:hAnsiTheme="minorHAnsi" w:cstheme="minorHAnsi"/>
              <w:color w:val="1D1D1B"/>
              <w:sz w:val="24"/>
            </w:rPr>
            <w:t>REALINDEX</w:t>
          </w:r>
        </w:p>
        <w:p w14:paraId="32900BCE" w14:textId="16FEEC9E" w:rsidR="00D80B6D" w:rsidRPr="00BC331D" w:rsidRDefault="00A252BA" w:rsidP="00D80B6D">
          <w:pPr>
            <w:spacing w:before="230"/>
            <w:ind w:left="165"/>
            <w:jc w:val="center"/>
            <w:rPr>
              <w:rFonts w:asciiTheme="minorHAnsi" w:hAnsiTheme="minorHAnsi" w:cstheme="minorHAnsi"/>
              <w:color w:val="1D1D1B"/>
              <w:sz w:val="24"/>
            </w:rPr>
          </w:pPr>
          <w:r w:rsidRPr="00BC331D">
            <w:rPr>
              <w:rFonts w:asciiTheme="minorHAnsi" w:hAnsiTheme="minorHAnsi" w:cstheme="minorHAnsi"/>
              <w:color w:val="1D1D1B"/>
              <w:sz w:val="24"/>
            </w:rPr>
            <w:t>POV</w:t>
          </w:r>
          <w:r w:rsidR="00D80B6D" w:rsidRPr="00BC331D">
            <w:rPr>
              <w:rFonts w:asciiTheme="minorHAnsi" w:hAnsiTheme="minorHAnsi" w:cstheme="minorHAnsi"/>
              <w:color w:val="1D1D1B"/>
              <w:sz w:val="24"/>
            </w:rPr>
            <w:t xml:space="preserve">INDEX </w:t>
          </w:r>
        </w:p>
        <w:p w14:paraId="35B1FBE8" w14:textId="77777777" w:rsidR="00BC331D" w:rsidRPr="00BC331D" w:rsidRDefault="00BC331D" w:rsidP="00BC331D">
          <w:pPr>
            <w:spacing w:before="240" w:line="288" w:lineRule="exact"/>
            <w:ind w:left="162"/>
            <w:jc w:val="center"/>
            <w:rPr>
              <w:rFonts w:asciiTheme="minorHAnsi" w:hAnsiTheme="minorHAnsi" w:cstheme="minorHAnsi"/>
              <w:color w:val="1D1D1B"/>
              <w:sz w:val="24"/>
            </w:rPr>
          </w:pPr>
          <w:r w:rsidRPr="00BC331D">
            <w:rPr>
              <w:rFonts w:asciiTheme="minorHAnsi" w:hAnsiTheme="minorHAnsi" w:cstheme="minorHAnsi"/>
              <w:color w:val="1D1D1B"/>
              <w:sz w:val="24"/>
            </w:rPr>
            <w:t>INDEX PODÍLOVÝCH FONDŮ</w:t>
          </w:r>
        </w:p>
        <w:p w14:paraId="5B21B8A6" w14:textId="616329FC" w:rsidR="00D80B6D" w:rsidRPr="00BC331D" w:rsidRDefault="00D80B6D" w:rsidP="00BC331D">
          <w:pPr>
            <w:spacing w:before="230"/>
            <w:jc w:val="center"/>
            <w:rPr>
              <w:rFonts w:asciiTheme="minorHAnsi" w:hAnsiTheme="minorHAnsi" w:cstheme="minorHAnsi"/>
              <w:b/>
              <w:color w:val="CD1719"/>
              <w:sz w:val="24"/>
            </w:rPr>
          </w:pPr>
          <w:r w:rsidRPr="00BC331D">
            <w:rPr>
              <w:rFonts w:asciiTheme="minorHAnsi" w:hAnsiTheme="minorHAnsi" w:cstheme="minorHAnsi"/>
              <w:b/>
              <w:color w:val="1D1D1B"/>
              <w:sz w:val="24"/>
            </w:rPr>
            <w:t>INDEX SPOTŘEBITELSKÝCH ÚVĚRŮ</w:t>
          </w:r>
        </w:p>
        <w:p w14:paraId="1FCC0C9E" w14:textId="77777777" w:rsidR="00D80B6D" w:rsidRPr="00FC2522" w:rsidRDefault="00D80B6D" w:rsidP="00D80B6D">
          <w:pPr>
            <w:pStyle w:val="Zkladntext"/>
            <w:spacing w:before="240"/>
            <w:rPr>
              <w:sz w:val="20"/>
              <w:highlight w:val="yellow"/>
            </w:rPr>
          </w:pP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BC331D" w:rsidRDefault="0068617E" w:rsidP="00D80B6D">
          <w:pPr>
            <w:pStyle w:val="Zkladntext"/>
            <w:jc w:val="both"/>
            <w:rPr>
              <w:rFonts w:asciiTheme="minorHAnsi" w:hAnsiTheme="minorHAnsi" w:cstheme="minorHAnsi"/>
              <w:b/>
              <w:sz w:val="20"/>
              <w:highlight w:val="yellow"/>
            </w:rPr>
          </w:pPr>
        </w:p>
        <w:p w14:paraId="11132A3F" w14:textId="53DE594E" w:rsidR="00D80B6D" w:rsidRPr="00BC331D" w:rsidRDefault="00D80B6D" w:rsidP="00D80B6D">
          <w:pPr>
            <w:pStyle w:val="Zkladntext"/>
            <w:jc w:val="both"/>
            <w:rPr>
              <w:rFonts w:asciiTheme="minorHAnsi" w:hAnsiTheme="minorHAnsi" w:cstheme="minorHAnsi"/>
              <w:b/>
              <w:sz w:val="20"/>
            </w:rPr>
          </w:pPr>
          <w:r w:rsidRPr="00BC331D">
            <w:rPr>
              <w:rFonts w:asciiTheme="minorHAnsi" w:hAnsiTheme="minorHAnsi" w:cstheme="minorHAnsi"/>
              <w:b/>
              <w:sz w:val="20"/>
            </w:rPr>
            <w:t>O společnosti Broker Consulting</w:t>
          </w:r>
        </w:p>
        <w:p w14:paraId="27485CC6" w14:textId="77777777" w:rsidR="00D80B6D" w:rsidRPr="00BC331D" w:rsidRDefault="00D80B6D" w:rsidP="00D80B6D">
          <w:pPr>
            <w:jc w:val="both"/>
            <w:rPr>
              <w:rFonts w:asciiTheme="minorHAnsi" w:hAnsiTheme="minorHAnsi" w:cstheme="minorHAnsi"/>
              <w:sz w:val="20"/>
            </w:rPr>
          </w:pPr>
        </w:p>
        <w:p w14:paraId="08070DCC" w14:textId="4A7C741F" w:rsidR="00792EE9" w:rsidRPr="00BC331D" w:rsidRDefault="00792EE9" w:rsidP="00792EE9">
          <w:pPr>
            <w:jc w:val="both"/>
            <w:rPr>
              <w:rStyle w:val="dn"/>
              <w:rFonts w:asciiTheme="minorHAnsi" w:hAnsiTheme="minorHAnsi" w:cstheme="minorHAnsi"/>
              <w:sz w:val="20"/>
              <w:szCs w:val="20"/>
            </w:rPr>
          </w:pPr>
          <w:r w:rsidRPr="00BC331D">
            <w:rPr>
              <w:rFonts w:asciiTheme="minorHAnsi" w:hAnsiTheme="minorHAnsi" w:cstheme="minorHAnsi"/>
              <w:sz w:val="20"/>
              <w:szCs w:val="20"/>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w:t>
          </w:r>
          <w:r w:rsidR="00C41741" w:rsidRPr="00BC331D">
            <w:rPr>
              <w:rFonts w:asciiTheme="minorHAnsi" w:hAnsiTheme="minorHAnsi" w:cstheme="minorHAnsi"/>
              <w:sz w:val="20"/>
              <w:szCs w:val="20"/>
            </w:rPr>
            <w:t xml:space="preserve">přes </w:t>
          </w:r>
          <w:r w:rsidR="002141AF" w:rsidRPr="00BC331D">
            <w:rPr>
              <w:rFonts w:asciiTheme="minorHAnsi" w:hAnsiTheme="minorHAnsi" w:cstheme="minorHAnsi"/>
              <w:sz w:val="20"/>
              <w:szCs w:val="20"/>
            </w:rPr>
            <w:t>4</w:t>
          </w:r>
          <w:r w:rsidR="00C41741" w:rsidRPr="00BC331D">
            <w:rPr>
              <w:rFonts w:asciiTheme="minorHAnsi" w:hAnsiTheme="minorHAnsi" w:cstheme="minorHAnsi"/>
              <w:sz w:val="20"/>
              <w:szCs w:val="20"/>
            </w:rPr>
            <w:t>0</w:t>
          </w:r>
          <w:r w:rsidRPr="00BC331D">
            <w:rPr>
              <w:rFonts w:asciiTheme="minorHAnsi" w:hAnsiTheme="minorHAnsi" w:cstheme="minorHAnsi"/>
              <w:sz w:val="20"/>
              <w:szCs w:val="20"/>
            </w:rPr>
            <w:t xml:space="preserve"> franšízových </w:t>
          </w:r>
          <w:proofErr w:type="spellStart"/>
          <w:r w:rsidRPr="00BC331D">
            <w:rPr>
              <w:rFonts w:asciiTheme="minorHAnsi" w:hAnsiTheme="minorHAnsi" w:cstheme="minorHAnsi"/>
              <w:sz w:val="20"/>
              <w:szCs w:val="20"/>
            </w:rPr>
            <w:t>poboč</w:t>
          </w:r>
          <w:r w:rsidR="00C41741" w:rsidRPr="00BC331D">
            <w:rPr>
              <w:rFonts w:asciiTheme="minorHAnsi" w:hAnsiTheme="minorHAnsi" w:cstheme="minorHAnsi"/>
              <w:sz w:val="20"/>
              <w:szCs w:val="20"/>
            </w:rPr>
            <w:t>eká</w:t>
          </w:r>
          <w:proofErr w:type="spellEnd"/>
          <w:r w:rsidRPr="00BC331D">
            <w:rPr>
              <w:rFonts w:asciiTheme="minorHAnsi" w:hAnsiTheme="minorHAnsi" w:cstheme="minorHAnsi"/>
              <w:sz w:val="20"/>
              <w:szCs w:val="20"/>
            </w:rPr>
            <w:t xml:space="preserve">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w:t>
          </w:r>
          <w:r w:rsidR="00243C49" w:rsidRPr="00BC331D">
            <w:rPr>
              <w:rFonts w:asciiTheme="minorHAnsi" w:hAnsiTheme="minorHAnsi" w:cstheme="minorHAnsi"/>
              <w:sz w:val="20"/>
              <w:szCs w:val="20"/>
            </w:rPr>
            <w:t xml:space="preserve"> Broker Consulting</w:t>
          </w:r>
          <w:r w:rsidRPr="00BC331D">
            <w:rPr>
              <w:rFonts w:asciiTheme="minorHAnsi" w:hAnsiTheme="minorHAnsi" w:cstheme="minorHAnsi"/>
              <w:sz w:val="20"/>
              <w:szCs w:val="20"/>
            </w:rPr>
            <w:t xml:space="preserve">. </w:t>
          </w:r>
          <w:r w:rsidRPr="00BC331D">
            <w:rPr>
              <w:rStyle w:val="dn"/>
              <w:rFonts w:asciiTheme="minorHAnsi" w:hAnsiTheme="minorHAnsi" w:cstheme="minorHAnsi"/>
              <w:sz w:val="20"/>
              <w:szCs w:val="20"/>
            </w:rPr>
            <w:t xml:space="preserve">Více na </w:t>
          </w:r>
          <w:hyperlink r:id="rId9" w:history="1">
            <w:r w:rsidRPr="00BC331D">
              <w:rPr>
                <w:rStyle w:val="Hypertextovodkaz"/>
                <w:rFonts w:asciiTheme="minorHAnsi" w:hAnsiTheme="minorHAnsi" w:cstheme="minorHAnsi"/>
                <w:color w:val="FF0000"/>
                <w:sz w:val="20"/>
                <w:szCs w:val="20"/>
              </w:rPr>
              <w:t>www.bcas.cz</w:t>
            </w:r>
          </w:hyperlink>
          <w:r w:rsidRPr="00BC331D">
            <w:rPr>
              <w:rStyle w:val="Hypertextovodkaz"/>
              <w:rFonts w:asciiTheme="minorHAnsi" w:hAnsiTheme="minorHAnsi" w:cstheme="minorHAnsi"/>
              <w:sz w:val="20"/>
              <w:szCs w:val="20"/>
            </w:rPr>
            <w:t xml:space="preserve">, </w:t>
          </w:r>
          <w:hyperlink r:id="rId10" w:history="1">
            <w:r w:rsidRPr="00BC331D">
              <w:rPr>
                <w:rStyle w:val="Hypertextovodkaz"/>
                <w:rFonts w:asciiTheme="minorHAnsi" w:hAnsiTheme="minorHAnsi" w:cstheme="minorHAnsi"/>
                <w:color w:val="FF0000"/>
                <w:sz w:val="20"/>
                <w:szCs w:val="20"/>
              </w:rPr>
              <w:t>www.okpointy.cz</w:t>
            </w:r>
          </w:hyperlink>
          <w:r w:rsidR="004F6195" w:rsidRPr="00BC331D">
            <w:rPr>
              <w:rStyle w:val="Hypertextovodkaz"/>
              <w:rFonts w:asciiTheme="minorHAnsi" w:hAnsiTheme="minorHAnsi" w:cstheme="minorHAnsi"/>
              <w:color w:val="FF0000"/>
              <w:sz w:val="20"/>
              <w:szCs w:val="20"/>
            </w:rPr>
            <w:t>, www.okpoint.tv</w:t>
          </w:r>
          <w:r w:rsidRPr="00BC331D">
            <w:rPr>
              <w:rStyle w:val="dn"/>
              <w:rFonts w:asciiTheme="minorHAnsi" w:hAnsiTheme="minorHAnsi" w:cstheme="minorHAnsi"/>
              <w:sz w:val="20"/>
              <w:szCs w:val="20"/>
            </w:rPr>
            <w:t xml:space="preserve"> a na </w:t>
          </w:r>
          <w:hyperlink r:id="rId11" w:history="1">
            <w:r w:rsidRPr="00BC331D">
              <w:rPr>
                <w:rStyle w:val="Hypertextovodkaz"/>
                <w:rFonts w:asciiTheme="minorHAnsi" w:hAnsiTheme="minorHAnsi" w:cstheme="minorHAnsi"/>
                <w:color w:val="FF0000"/>
                <w:sz w:val="20"/>
                <w:szCs w:val="20"/>
              </w:rPr>
              <w:t>www.realityspolu.cz</w:t>
            </w:r>
          </w:hyperlink>
          <w:r w:rsidRPr="00BC331D">
            <w:rPr>
              <w:rStyle w:val="dn"/>
              <w:rFonts w:asciiTheme="minorHAnsi" w:hAnsiTheme="minorHAnsi" w:cstheme="minorHAnsi"/>
              <w:sz w:val="20"/>
              <w:szCs w:val="20"/>
            </w:rPr>
            <w:t xml:space="preserve">. Navštivte také náš </w:t>
          </w:r>
          <w:hyperlink r:id="rId12" w:history="1">
            <w:r w:rsidRPr="00BC331D">
              <w:rPr>
                <w:rStyle w:val="Hypertextovodkaz"/>
                <w:rFonts w:asciiTheme="minorHAnsi" w:hAnsiTheme="minorHAnsi" w:cstheme="minorHAnsi"/>
                <w:color w:val="FF0000"/>
                <w:sz w:val="20"/>
                <w:szCs w:val="20"/>
              </w:rPr>
              <w:t>Facebook</w:t>
            </w:r>
          </w:hyperlink>
          <w:r w:rsidRPr="00BC331D">
            <w:rPr>
              <w:rStyle w:val="dn"/>
              <w:rFonts w:asciiTheme="minorHAnsi" w:hAnsiTheme="minorHAnsi" w:cstheme="minorHAnsi"/>
              <w:color w:val="FF0000"/>
              <w:sz w:val="20"/>
              <w:szCs w:val="20"/>
            </w:rPr>
            <w:t xml:space="preserve"> </w:t>
          </w:r>
          <w:r w:rsidRPr="00BC331D">
            <w:rPr>
              <w:rStyle w:val="dn"/>
              <w:rFonts w:asciiTheme="minorHAnsi" w:hAnsiTheme="minorHAnsi" w:cstheme="minorHAnsi"/>
              <w:sz w:val="20"/>
              <w:szCs w:val="20"/>
            </w:rPr>
            <w:t xml:space="preserve">a </w:t>
          </w:r>
          <w:hyperlink r:id="rId13" w:history="1">
            <w:r w:rsidRPr="00BC331D">
              <w:rPr>
                <w:rStyle w:val="Hypertextovodkaz"/>
                <w:rFonts w:asciiTheme="minorHAnsi" w:hAnsiTheme="minorHAnsi" w:cstheme="minorHAnsi"/>
                <w:color w:val="FF0000"/>
                <w:sz w:val="20"/>
                <w:szCs w:val="20"/>
              </w:rPr>
              <w:t>LinkedIN</w:t>
            </w:r>
          </w:hyperlink>
          <w:r w:rsidRPr="00BC331D">
            <w:rPr>
              <w:rStyle w:val="dn"/>
              <w:rFonts w:asciiTheme="minorHAnsi" w:hAnsiTheme="minorHAnsi" w:cstheme="minorHAnsi"/>
              <w:sz w:val="20"/>
              <w:szCs w:val="20"/>
            </w:rPr>
            <w:t xml:space="preserve"> Broker Consulting a </w:t>
          </w:r>
          <w:hyperlink r:id="rId14" w:history="1">
            <w:r w:rsidRPr="00BC331D">
              <w:rPr>
                <w:rStyle w:val="Hypertextovodkaz"/>
                <w:rFonts w:asciiTheme="minorHAnsi" w:hAnsiTheme="minorHAnsi" w:cstheme="minorHAnsi"/>
                <w:color w:val="FF0000"/>
                <w:sz w:val="20"/>
                <w:szCs w:val="20"/>
              </w:rPr>
              <w:t>Facebook</w:t>
            </w:r>
          </w:hyperlink>
          <w:r w:rsidRPr="00BC331D">
            <w:rPr>
              <w:rStyle w:val="dn"/>
              <w:rFonts w:asciiTheme="minorHAnsi" w:hAnsiTheme="minorHAnsi" w:cstheme="minorHAnsi"/>
              <w:color w:val="FF0000"/>
              <w:sz w:val="20"/>
              <w:szCs w:val="20"/>
            </w:rPr>
            <w:t xml:space="preserve"> </w:t>
          </w:r>
          <w:r w:rsidRPr="00BC331D">
            <w:rPr>
              <w:rStyle w:val="dn"/>
              <w:rFonts w:asciiTheme="minorHAnsi" w:hAnsiTheme="minorHAnsi" w:cstheme="minorHAnsi"/>
              <w:sz w:val="20"/>
              <w:szCs w:val="20"/>
            </w:rPr>
            <w:t xml:space="preserve">a </w:t>
          </w:r>
          <w:hyperlink r:id="rId15" w:history="1">
            <w:r w:rsidRPr="00BC331D">
              <w:rPr>
                <w:rStyle w:val="Hypertextovodkaz"/>
                <w:rFonts w:asciiTheme="minorHAnsi" w:hAnsiTheme="minorHAnsi" w:cstheme="minorHAnsi"/>
                <w:color w:val="FF0000"/>
                <w:sz w:val="20"/>
                <w:szCs w:val="20"/>
              </w:rPr>
              <w:t>LinkedI</w:t>
            </w:r>
          </w:hyperlink>
          <w:r w:rsidRPr="00BC331D">
            <w:rPr>
              <w:rStyle w:val="Hypertextovodkaz"/>
              <w:rFonts w:asciiTheme="minorHAnsi" w:hAnsiTheme="minorHAnsi" w:cstheme="minorHAnsi"/>
              <w:color w:val="FF0000"/>
              <w:sz w:val="20"/>
              <w:szCs w:val="20"/>
            </w:rPr>
            <w:t>N</w:t>
          </w:r>
          <w:r w:rsidRPr="00BC331D">
            <w:rPr>
              <w:rStyle w:val="dn"/>
              <w:rFonts w:asciiTheme="minorHAnsi" w:hAnsiTheme="minorHAnsi" w:cstheme="minorHAnsi"/>
              <w:color w:val="FF0000"/>
              <w:sz w:val="20"/>
              <w:szCs w:val="20"/>
            </w:rPr>
            <w:t xml:space="preserve"> </w:t>
          </w:r>
          <w:r w:rsidRPr="00BC331D">
            <w:rPr>
              <w:rStyle w:val="dn"/>
              <w:rFonts w:asciiTheme="minorHAnsi" w:hAnsiTheme="minorHAnsi" w:cstheme="minorHAnsi"/>
              <w:sz w:val="20"/>
              <w:szCs w:val="20"/>
            </w:rPr>
            <w:t xml:space="preserve">OK POINTů.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D80B6D">
              <w:headerReference w:type="default" r:id="rId16"/>
              <w:footerReference w:type="default" r:id="rId17"/>
              <w:pgSz w:w="11910" w:h="16840"/>
              <w:pgMar w:top="960" w:right="740" w:bottom="0" w:left="720" w:header="708" w:footer="708" w:gutter="0"/>
              <w:cols w:space="708"/>
            </w:sectPr>
          </w:pPr>
        </w:p>
        <w:p w14:paraId="35539C65" w14:textId="7A3AAC27" w:rsidR="00D31127" w:rsidRPr="00FC2522" w:rsidRDefault="00871CBD" w:rsidP="0025264B">
          <w:pPr>
            <w:rPr>
              <w:rFonts w:ascii="Arial" w:hAnsi="Arial" w:cs="Arial"/>
              <w:b/>
              <w:sz w:val="20"/>
              <w:szCs w:val="20"/>
              <w:highlight w:val="yellow"/>
            </w:rPr>
            <w:sectPr w:rsidR="00D31127" w:rsidRPr="00FC2522"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541E060F" w14:textId="6480ACC3" w:rsidR="00724267" w:rsidRPr="00B91131" w:rsidRDefault="00724267" w:rsidP="00B91131">
      <w:pPr>
        <w:rPr>
          <w:rFonts w:ascii="Arial" w:hAnsi="Arial" w:cs="Arial"/>
          <w:b/>
          <w:sz w:val="28"/>
          <w:szCs w:val="28"/>
        </w:rPr>
      </w:pPr>
    </w:p>
    <w:p w14:paraId="6A10485D" w14:textId="538C85AA" w:rsidR="00704D83" w:rsidRPr="00AD647D" w:rsidRDefault="006A5A20" w:rsidP="0053728E">
      <w:pPr>
        <w:rPr>
          <w:rFonts w:asciiTheme="minorHAnsi" w:hAnsiTheme="minorHAnsi" w:cstheme="minorHAnsi"/>
          <w:b/>
          <w:sz w:val="28"/>
          <w:szCs w:val="28"/>
        </w:rPr>
      </w:pPr>
      <w:r>
        <w:rPr>
          <w:rFonts w:ascii="Arial" w:hAnsi="Arial" w:cs="Arial"/>
          <w:b/>
          <w:sz w:val="28"/>
          <w:szCs w:val="28"/>
        </w:rPr>
        <w:t xml:space="preserve"> </w:t>
      </w:r>
    </w:p>
    <w:p w14:paraId="0F38772D" w14:textId="77777777" w:rsidR="00F21D05" w:rsidRPr="00AD647D" w:rsidRDefault="00F21D05" w:rsidP="00F21D05">
      <w:pPr>
        <w:jc w:val="center"/>
        <w:rPr>
          <w:rFonts w:asciiTheme="minorHAnsi" w:hAnsiTheme="minorHAnsi" w:cstheme="minorHAnsi"/>
          <w:b/>
          <w:sz w:val="28"/>
          <w:szCs w:val="28"/>
        </w:rPr>
      </w:pPr>
      <w:r w:rsidRPr="00AD647D">
        <w:rPr>
          <w:rFonts w:asciiTheme="minorHAnsi" w:hAnsiTheme="minorHAnsi" w:cstheme="minorHAnsi"/>
          <w:b/>
          <w:sz w:val="28"/>
          <w:szCs w:val="28"/>
        </w:rPr>
        <w:t>Sazby spotřebitelských úvěrů jen mírně klesly, budoucí výkyvy mohou způsobit půjčky na dovolenou</w:t>
      </w:r>
    </w:p>
    <w:p w14:paraId="1B5B0E18" w14:textId="77777777" w:rsidR="00F21D05" w:rsidRDefault="00F21D05" w:rsidP="00704D83">
      <w:pPr>
        <w:jc w:val="center"/>
        <w:rPr>
          <w:rFonts w:ascii="Arial" w:hAnsi="Arial" w:cs="Arial"/>
          <w:b/>
          <w:sz w:val="28"/>
          <w:szCs w:val="28"/>
        </w:rPr>
      </w:pPr>
    </w:p>
    <w:p w14:paraId="11C99ADE" w14:textId="59D1D96B" w:rsidR="00F21D05" w:rsidRPr="00AD647D" w:rsidRDefault="008C3A59" w:rsidP="00F21D05">
      <w:pPr>
        <w:jc w:val="both"/>
        <w:rPr>
          <w:rFonts w:ascii="Calibri" w:hAnsi="Calibri" w:cs="Calibri"/>
          <w:b/>
        </w:rPr>
      </w:pPr>
      <w:r w:rsidRPr="00AD647D">
        <w:rPr>
          <w:rFonts w:asciiTheme="minorHAnsi" w:hAnsiTheme="minorHAnsi" w:cstheme="minorHAnsi"/>
          <w:b/>
        </w:rPr>
        <w:t>Praha,</w:t>
      </w:r>
      <w:r w:rsidR="00BC331D" w:rsidRPr="00AD647D">
        <w:rPr>
          <w:rFonts w:asciiTheme="minorHAnsi" w:hAnsiTheme="minorHAnsi" w:cstheme="minorHAnsi"/>
          <w:b/>
        </w:rPr>
        <w:t xml:space="preserve"> 24. </w:t>
      </w:r>
      <w:r w:rsidR="00F21D05" w:rsidRPr="00AD647D">
        <w:rPr>
          <w:rFonts w:asciiTheme="minorHAnsi" w:hAnsiTheme="minorHAnsi" w:cstheme="minorHAnsi"/>
          <w:b/>
        </w:rPr>
        <w:t xml:space="preserve">března 2023 - Hodnota Broker Consulting Indexu spotřebitelských úvěrů v březnu zaznamenala pokles o 0,44 procentního bodu na úroveň 8,89 procenta. Úrokové sazby tak zůstávají nadále stabilní a neměly by se podle expertů příliš měnit ani v následujícím období. </w:t>
      </w:r>
      <w:r w:rsidR="00BC331D" w:rsidRPr="00AD647D">
        <w:rPr>
          <w:rFonts w:asciiTheme="minorHAnsi" w:hAnsiTheme="minorHAnsi" w:cstheme="minorHAnsi"/>
          <w:b/>
        </w:rPr>
        <w:t xml:space="preserve">Výkyvy by mohl přinést pouze </w:t>
      </w:r>
      <w:r w:rsidR="00F21D05" w:rsidRPr="00AD647D">
        <w:rPr>
          <w:rFonts w:asciiTheme="minorHAnsi" w:hAnsiTheme="minorHAnsi" w:cstheme="minorHAnsi"/>
          <w:b/>
        </w:rPr>
        <w:t xml:space="preserve">konkurenční boj bank, jejich časově </w:t>
      </w:r>
      <w:r w:rsidR="00F21D05" w:rsidRPr="00AD647D">
        <w:rPr>
          <w:rFonts w:ascii="Calibri" w:hAnsi="Calibri" w:cs="Calibri"/>
          <w:b/>
        </w:rPr>
        <w:t>omezené promoční akce a příprava veřejnosti na letní dovolené.</w:t>
      </w:r>
    </w:p>
    <w:p w14:paraId="7E4701CC" w14:textId="77777777" w:rsidR="00F21D05" w:rsidRPr="00AD647D" w:rsidRDefault="00F21D05" w:rsidP="00F21D05">
      <w:pPr>
        <w:jc w:val="both"/>
        <w:rPr>
          <w:rFonts w:ascii="Calibri" w:hAnsi="Calibri" w:cs="Calibri"/>
        </w:rPr>
      </w:pPr>
    </w:p>
    <w:p w14:paraId="051CF66F" w14:textId="6BA3815A" w:rsidR="00F21D05" w:rsidRPr="00AD647D" w:rsidRDefault="00F21D05" w:rsidP="00F21D05">
      <w:pPr>
        <w:jc w:val="both"/>
        <w:rPr>
          <w:rFonts w:ascii="Calibri" w:hAnsi="Calibri" w:cs="Calibri"/>
        </w:rPr>
      </w:pPr>
      <w:r w:rsidRPr="00AD647D">
        <w:rPr>
          <w:rFonts w:ascii="Calibri" w:hAnsi="Calibri" w:cs="Calibri"/>
        </w:rPr>
        <w:t>Hodnota Broker Consulting Indexu spotřebitelských úvěrů v březnu klesla na 8,89 procenta. To představuje oproti únorovým hodnotám snížení o 0,44 procentního bodu. Od počátku minulého roku přitom uvedený ukazatel vzrostl z původních 6,1 (leden 2022) až na 9,49 procenta (prosinec 2022). Od ledna letošního roku však dochází k jeho postupnému pomalému snižování.</w:t>
      </w:r>
    </w:p>
    <w:p w14:paraId="1A9776DB" w14:textId="77777777" w:rsidR="00AD647D" w:rsidRPr="00AD647D" w:rsidRDefault="00AD647D" w:rsidP="00F21D05">
      <w:pPr>
        <w:jc w:val="both"/>
        <w:rPr>
          <w:rFonts w:ascii="Calibri" w:hAnsi="Calibri" w:cs="Calibri"/>
        </w:rPr>
      </w:pPr>
    </w:p>
    <w:p w14:paraId="4326B599" w14:textId="628EC7E5" w:rsidR="00F21D05" w:rsidRPr="00AD647D" w:rsidRDefault="00F21D05" w:rsidP="00F21D05">
      <w:pPr>
        <w:jc w:val="both"/>
        <w:rPr>
          <w:rFonts w:ascii="Calibri" w:hAnsi="Calibri" w:cs="Calibri"/>
          <w:b/>
        </w:rPr>
      </w:pPr>
      <w:r w:rsidRPr="00AD647D">
        <w:rPr>
          <w:rFonts w:ascii="Calibri" w:hAnsi="Calibri" w:cs="Calibri"/>
        </w:rPr>
        <w:t>„</w:t>
      </w:r>
      <w:r w:rsidRPr="00AD647D">
        <w:rPr>
          <w:rFonts w:ascii="Calibri" w:hAnsi="Calibri" w:cs="Calibri"/>
          <w:i/>
        </w:rPr>
        <w:t>I přes mírný pokles zůstávají úrokové sazby dlouhodobě stabilní. Větší změny neočekáváme ani v příštích měsících</w:t>
      </w:r>
      <w:r w:rsidRPr="00AD647D">
        <w:rPr>
          <w:rFonts w:ascii="Calibri" w:hAnsi="Calibri" w:cs="Calibri"/>
        </w:rPr>
        <w:t xml:space="preserve">,“ říká </w:t>
      </w:r>
      <w:r w:rsidRPr="00AD647D">
        <w:rPr>
          <w:rFonts w:ascii="Calibri" w:hAnsi="Calibri" w:cs="Calibri"/>
          <w:b/>
        </w:rPr>
        <w:t xml:space="preserve">Michaela Pudilová, analytička hypotečních a spotřebitelských úvěrů ze společnosti Broker Consulting. </w:t>
      </w:r>
    </w:p>
    <w:p w14:paraId="7DE2ADF3" w14:textId="77777777" w:rsidR="00AD647D" w:rsidRDefault="00AD647D" w:rsidP="00F21D05">
      <w:pPr>
        <w:jc w:val="both"/>
        <w:rPr>
          <w:rFonts w:ascii="Arial" w:hAnsi="Arial" w:cs="Arial"/>
        </w:rPr>
      </w:pPr>
    </w:p>
    <w:p w14:paraId="3F118E0B" w14:textId="23183A4C" w:rsidR="00F21D05" w:rsidRPr="00AD647D" w:rsidRDefault="00AD647D" w:rsidP="00F21D05">
      <w:pPr>
        <w:jc w:val="both"/>
        <w:rPr>
          <w:rFonts w:asciiTheme="minorHAnsi" w:hAnsiTheme="minorHAnsi" w:cstheme="minorHAnsi"/>
        </w:rPr>
      </w:pPr>
      <w:r w:rsidRPr="00AD647D">
        <w:rPr>
          <w:rFonts w:asciiTheme="minorHAnsi" w:hAnsiTheme="minorHAnsi" w:cstheme="minorHAnsi"/>
        </w:rPr>
        <w:t>Analytici upozorňují</w:t>
      </w:r>
      <w:r w:rsidR="00F21D05" w:rsidRPr="00AD647D">
        <w:rPr>
          <w:rFonts w:asciiTheme="minorHAnsi" w:hAnsiTheme="minorHAnsi" w:cstheme="minorHAnsi"/>
        </w:rPr>
        <w:t>, případné lehké výkyvy mohou přesto nastat. „</w:t>
      </w:r>
      <w:r w:rsidR="00F21D05" w:rsidRPr="00AD647D">
        <w:rPr>
          <w:rFonts w:asciiTheme="minorHAnsi" w:hAnsiTheme="minorHAnsi" w:cstheme="minorHAnsi"/>
          <w:i/>
        </w:rPr>
        <w:t>Po sezóně úvěrů na vánoční dárky se pozvolně přeléváme do dalšího velmi častého účelu úvěru, a tím jsou letní dovolené. Je dobré, abychom klienta upozornili na fakt, že splátky úvěrů se budou strhávat ještě dlouho poté, co on sám bude z dovolené již dávno zpět. Neustálé půjčky na uspokojení krátkodobých potřeb však mohou být cestou do dluhové pasti</w:t>
      </w:r>
      <w:r w:rsidR="00F21D05" w:rsidRPr="00AD647D">
        <w:rPr>
          <w:rFonts w:asciiTheme="minorHAnsi" w:hAnsiTheme="minorHAnsi" w:cstheme="minorHAnsi"/>
        </w:rPr>
        <w:t>,“ dodává Pudilová.</w:t>
      </w:r>
    </w:p>
    <w:p w14:paraId="3D4B8014" w14:textId="77777777" w:rsidR="00AD647D" w:rsidRPr="00AD647D" w:rsidRDefault="00AD647D" w:rsidP="00F21D05">
      <w:pPr>
        <w:jc w:val="both"/>
        <w:rPr>
          <w:rFonts w:asciiTheme="minorHAnsi" w:hAnsiTheme="minorHAnsi" w:cstheme="minorHAnsi"/>
        </w:rPr>
      </w:pPr>
    </w:p>
    <w:p w14:paraId="1F82FF36" w14:textId="73812A95" w:rsidR="00F21D05" w:rsidRPr="00AD647D" w:rsidRDefault="00F21D05" w:rsidP="00F21D05">
      <w:pPr>
        <w:jc w:val="both"/>
        <w:rPr>
          <w:rFonts w:asciiTheme="minorHAnsi" w:hAnsiTheme="minorHAnsi" w:cstheme="minorHAnsi"/>
        </w:rPr>
      </w:pPr>
      <w:r w:rsidRPr="00AD647D">
        <w:rPr>
          <w:rFonts w:asciiTheme="minorHAnsi" w:hAnsiTheme="minorHAnsi" w:cstheme="minorHAnsi"/>
        </w:rPr>
        <w:t>K dalším výkyvům hodnoty Broker Consulting Indexu spotřebitelských úvěrů může podle Pudilové dojít kvůli marketingovým akcím bank, které mohou veřejnos</w:t>
      </w:r>
      <w:r w:rsidR="00D57CA6" w:rsidRPr="00AD647D">
        <w:rPr>
          <w:rFonts w:asciiTheme="minorHAnsi" w:hAnsiTheme="minorHAnsi" w:cstheme="minorHAnsi"/>
        </w:rPr>
        <w:t>t lákat na další půjčování</w:t>
      </w:r>
      <w:r w:rsidRPr="00AD647D">
        <w:rPr>
          <w:rFonts w:asciiTheme="minorHAnsi" w:hAnsiTheme="minorHAnsi" w:cstheme="minorHAnsi"/>
        </w:rPr>
        <w:t xml:space="preserve"> a kvůli přípravě lidí na dovolenou, kdy budou potřebovat více peněz najednou.</w:t>
      </w:r>
    </w:p>
    <w:p w14:paraId="60C5A413" w14:textId="77777777" w:rsidR="00AD647D" w:rsidRPr="00AD647D" w:rsidRDefault="00AD647D" w:rsidP="00F21D05">
      <w:pPr>
        <w:jc w:val="both"/>
        <w:rPr>
          <w:rFonts w:asciiTheme="minorHAnsi" w:hAnsiTheme="minorHAnsi" w:cstheme="minorHAnsi"/>
        </w:rPr>
      </w:pPr>
    </w:p>
    <w:p w14:paraId="7F856B78" w14:textId="2F600092" w:rsidR="00F21D05" w:rsidRPr="00AD647D" w:rsidRDefault="00AD647D" w:rsidP="00F21D05">
      <w:pPr>
        <w:jc w:val="both"/>
        <w:rPr>
          <w:rFonts w:asciiTheme="minorHAnsi" w:hAnsiTheme="minorHAnsi" w:cstheme="minorHAnsi"/>
        </w:rPr>
      </w:pPr>
      <w:r w:rsidRPr="00AD647D">
        <w:rPr>
          <w:rFonts w:asciiTheme="minorHAnsi" w:hAnsiTheme="minorHAnsi" w:cstheme="minorHAnsi"/>
        </w:rPr>
        <w:t>Doposud</w:t>
      </w:r>
      <w:r w:rsidR="00F21D05" w:rsidRPr="00AD647D">
        <w:rPr>
          <w:rFonts w:asciiTheme="minorHAnsi" w:hAnsiTheme="minorHAnsi" w:cstheme="minorHAnsi"/>
        </w:rPr>
        <w:t xml:space="preserve"> ne</w:t>
      </w:r>
      <w:r w:rsidR="00313A87" w:rsidRPr="00AD647D">
        <w:rPr>
          <w:rFonts w:asciiTheme="minorHAnsi" w:hAnsiTheme="minorHAnsi" w:cstheme="minorHAnsi"/>
        </w:rPr>
        <w:t>jvyšších hodnot dosáhl Broker Consulting Index</w:t>
      </w:r>
      <w:r w:rsidR="00F21D05" w:rsidRPr="00AD647D">
        <w:rPr>
          <w:rFonts w:asciiTheme="minorHAnsi" w:hAnsiTheme="minorHAnsi" w:cstheme="minorHAnsi"/>
        </w:rPr>
        <w:t xml:space="preserve"> spotřebitelských úvěrů na samém počátk</w:t>
      </w:r>
      <w:r w:rsidR="00313A87" w:rsidRPr="00AD647D">
        <w:rPr>
          <w:rFonts w:asciiTheme="minorHAnsi" w:hAnsiTheme="minorHAnsi" w:cstheme="minorHAnsi"/>
        </w:rPr>
        <w:t>u měření. V lednu roku 2017 byl</w:t>
      </w:r>
      <w:r w:rsidR="00F21D05" w:rsidRPr="00AD647D">
        <w:rPr>
          <w:rFonts w:asciiTheme="minorHAnsi" w:hAnsiTheme="minorHAnsi" w:cstheme="minorHAnsi"/>
        </w:rPr>
        <w:t xml:space="preserve"> ve výši 10,91 procenta. Naopak nejnižší hodnoty měl tento ukazatel v červnu roku 2021, kdy se dostal na 5,67 procenta.</w:t>
      </w:r>
    </w:p>
    <w:p w14:paraId="06A748C3" w14:textId="77777777" w:rsidR="00F21D05" w:rsidRPr="00F21D05" w:rsidRDefault="00F21D05" w:rsidP="00F21D05">
      <w:pPr>
        <w:jc w:val="both"/>
        <w:rPr>
          <w:rFonts w:ascii="Arial" w:hAnsi="Arial" w:cs="Arial"/>
          <w:i/>
        </w:rPr>
      </w:pPr>
    </w:p>
    <w:p w14:paraId="147111FB" w14:textId="1B3E7E05" w:rsidR="00F21D05" w:rsidRPr="00F21D05" w:rsidRDefault="00C73AA7" w:rsidP="00F21D05">
      <w:pPr>
        <w:spacing w:line="360" w:lineRule="auto"/>
        <w:jc w:val="both"/>
        <w:rPr>
          <w:rFonts w:ascii="Arial" w:hAnsi="Arial" w:cs="Arial"/>
          <w:b/>
        </w:rPr>
      </w:pPr>
      <w:r>
        <w:rPr>
          <w:rFonts w:ascii="Arial" w:hAnsi="Arial" w:cs="Arial"/>
          <w:b/>
          <w:noProof/>
          <w:lang w:bidi="ar-SA"/>
        </w:rPr>
        <w:drawing>
          <wp:inline distT="0" distB="0" distL="0" distR="0" wp14:anchorId="47753B17" wp14:editId="17E83E1C">
            <wp:extent cx="6635750" cy="2451100"/>
            <wp:effectExtent l="19050" t="19050" r="12700" b="2540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 BC Index spotřebitelských úvěrů - březen 2023.png"/>
                    <pic:cNvPicPr/>
                  </pic:nvPicPr>
                  <pic:blipFill>
                    <a:blip r:embed="rId24">
                      <a:extLst>
                        <a:ext uri="{28A0092B-C50C-407E-A947-70E740481C1C}">
                          <a14:useLocalDpi xmlns:a14="http://schemas.microsoft.com/office/drawing/2010/main" val="0"/>
                        </a:ext>
                      </a:extLst>
                    </a:blip>
                    <a:stretch>
                      <a:fillRect/>
                    </a:stretch>
                  </pic:blipFill>
                  <pic:spPr>
                    <a:xfrm>
                      <a:off x="0" y="0"/>
                      <a:ext cx="6635750" cy="2451100"/>
                    </a:xfrm>
                    <a:prstGeom prst="rect">
                      <a:avLst/>
                    </a:prstGeom>
                    <a:ln>
                      <a:solidFill>
                        <a:schemeClr val="tx1"/>
                      </a:solidFill>
                    </a:ln>
                  </pic:spPr>
                </pic:pic>
              </a:graphicData>
            </a:graphic>
          </wp:inline>
        </w:drawing>
      </w:r>
    </w:p>
    <w:p w14:paraId="5B2F26CC" w14:textId="3AF04E68" w:rsidR="00F10A3C" w:rsidRDefault="00F10A3C" w:rsidP="00F10A3C">
      <w:pPr>
        <w:pBdr>
          <w:bottom w:val="single" w:sz="2" w:space="1" w:color="auto"/>
        </w:pBdr>
        <w:jc w:val="both"/>
        <w:rPr>
          <w:rFonts w:ascii="Arial" w:hAnsi="Arial" w:cs="Arial"/>
          <w:b/>
          <w14:textOutline w14:w="6350" w14:cap="rnd" w14:cmpd="sng" w14:algn="ctr">
            <w14:solidFill>
              <w14:schemeClr w14:val="tx1"/>
            </w14:solidFill>
            <w14:prstDash w14:val="solid"/>
            <w14:bevel/>
          </w14:textOutline>
        </w:rPr>
      </w:pPr>
    </w:p>
    <w:p w14:paraId="0B4992BC" w14:textId="082DAC14" w:rsidR="00BE768F" w:rsidRPr="00AD647D" w:rsidRDefault="008F3C6D" w:rsidP="00F10A3C">
      <w:pPr>
        <w:spacing w:before="100" w:beforeAutospacing="1" w:after="120"/>
        <w:jc w:val="both"/>
        <w:rPr>
          <w:rFonts w:asciiTheme="minorHAnsi" w:hAnsiTheme="minorHAnsi" w:cstheme="minorHAnsi"/>
        </w:rPr>
      </w:pPr>
      <w:r w:rsidRPr="00AD647D">
        <w:rPr>
          <w:rFonts w:asciiTheme="minorHAnsi" w:hAnsiTheme="minorHAnsi" w:cstheme="minorHAnsi"/>
        </w:rPr>
        <w:t xml:space="preserve">Broker Consulting Index spotřebitelských úvěrů je analytický nástroj, který ukazuje průměrnou úrokovou sazbu </w:t>
      </w:r>
      <w:r w:rsidR="00BE768F" w:rsidRPr="00AD647D">
        <w:rPr>
          <w:rFonts w:asciiTheme="minorHAnsi" w:hAnsiTheme="minorHAnsi" w:cstheme="minorHAnsi"/>
        </w:rPr>
        <w:br/>
      </w:r>
      <w:r w:rsidRPr="00AD647D">
        <w:rPr>
          <w:rFonts w:asciiTheme="minorHAnsi" w:hAnsiTheme="minorHAnsi" w:cstheme="minorHAnsi"/>
        </w:rPr>
        <w:t xml:space="preserve">u spotřebitelských úvěrů, jež zprostředkovali konzultanti Broker Consulting a pobočky OK POINT u kteréhokoli poskytovatele bankovních úvěrů. Jedná se o vážený aritmetický průměr, kdy hlavní vahou je objem úvěru. Tedy čím vyšší úvěr, tím jeho sazba do Indexu vstupuje větší vahou. Výhodou metody výpočtu je to, že se do statistiky dostávají pouze  skutečně  schválené  </w:t>
      </w:r>
      <w:bookmarkStart w:id="0" w:name="_GoBack"/>
      <w:bookmarkEnd w:id="0"/>
      <w:r w:rsidRPr="00AD647D">
        <w:rPr>
          <w:rFonts w:asciiTheme="minorHAnsi" w:hAnsiTheme="minorHAnsi" w:cstheme="minorHAnsi"/>
        </w:rPr>
        <w:t xml:space="preserve">úvěry, a to bez výjimky všechny. Nemůže tak dojít ke zkreslení informací a Index není </w:t>
      </w:r>
      <w:r w:rsidRPr="00AD647D">
        <w:rPr>
          <w:rFonts w:asciiTheme="minorHAnsi" w:hAnsiTheme="minorHAnsi" w:cstheme="minorHAnsi"/>
        </w:rPr>
        <w:lastRenderedPageBreak/>
        <w:t>závislý na datech dodávaných třetími stranami.</w:t>
      </w:r>
    </w:p>
    <w:p w14:paraId="2FA3FD44" w14:textId="6D26D12D" w:rsidR="008F3C6D" w:rsidRPr="00AD647D" w:rsidRDefault="008F3C6D" w:rsidP="00B51F55">
      <w:pPr>
        <w:tabs>
          <w:tab w:val="left" w:pos="7152"/>
        </w:tabs>
        <w:jc w:val="both"/>
        <w:rPr>
          <w:rFonts w:asciiTheme="minorHAnsi" w:hAnsiTheme="minorHAnsi" w:cstheme="minorHAnsi"/>
          <w:b/>
        </w:rPr>
      </w:pPr>
      <w:r w:rsidRPr="00AD647D">
        <w:rPr>
          <w:rFonts w:asciiTheme="minorHAnsi" w:hAnsiTheme="minorHAnsi" w:cstheme="minorHAnsi"/>
          <w:b/>
        </w:rPr>
        <w:tab/>
      </w:r>
      <w:r w:rsidR="00EB1036" w:rsidRPr="00AD647D">
        <w:rPr>
          <w:rFonts w:asciiTheme="minorHAnsi" w:hAnsiTheme="minorHAnsi" w:cstheme="minorHAnsi"/>
          <w:b/>
        </w:rPr>
        <w:br/>
      </w:r>
      <w:r w:rsidRPr="00AD647D">
        <w:rPr>
          <w:rFonts w:asciiTheme="minorHAnsi" w:hAnsiTheme="minorHAnsi" w:cstheme="minorHAnsi"/>
          <w:b/>
        </w:rPr>
        <w:t>Proč je dobré Index sledovat</w:t>
      </w:r>
      <w:r w:rsidRPr="00AD647D">
        <w:rPr>
          <w:rFonts w:asciiTheme="minorHAnsi" w:hAnsiTheme="minorHAnsi" w:cstheme="minorHAnsi"/>
          <w:b/>
        </w:rPr>
        <w:tab/>
      </w:r>
    </w:p>
    <w:p w14:paraId="19369C4D" w14:textId="072B9F25" w:rsidR="008F3C6D" w:rsidRPr="00AD647D" w:rsidRDefault="008F3C6D" w:rsidP="008F3C6D">
      <w:pPr>
        <w:jc w:val="both"/>
        <w:rPr>
          <w:rFonts w:asciiTheme="minorHAnsi" w:hAnsiTheme="minorHAnsi" w:cstheme="minorHAnsi"/>
        </w:rPr>
      </w:pPr>
      <w:r w:rsidRPr="00AD647D">
        <w:rPr>
          <w:rFonts w:asciiTheme="minorHAnsi" w:hAnsiTheme="minorHAnsi" w:cstheme="minorHAnsi"/>
        </w:rPr>
        <w:t>Broker Consulting Index spotřebitelských úvěrů zachycuje vývoj úrokových sazeb u spotřebitelských bankovních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 bance, nebo v nebankovní instituci a úroková sazba je výrazněji vyšší než aktuální index, je potřeba zpozornět.</w:t>
      </w:r>
      <w:r w:rsidRPr="00AD647D">
        <w:rPr>
          <w:rFonts w:asciiTheme="minorHAnsi" w:hAnsiTheme="minorHAnsi" w:cstheme="minorHAnsi"/>
        </w:rPr>
        <w:tab/>
      </w:r>
    </w:p>
    <w:p w14:paraId="081149DD" w14:textId="1A4B59FC" w:rsidR="00CF7819" w:rsidRPr="0060554F" w:rsidRDefault="00CF7819" w:rsidP="00CF7819">
      <w:pPr>
        <w:pBdr>
          <w:bottom w:val="single" w:sz="4" w:space="1" w:color="auto"/>
        </w:pBdr>
        <w:jc w:val="both"/>
        <w:rPr>
          <w:rFonts w:ascii="Arial" w:hAnsi="Arial" w:cs="Arial"/>
          <w:sz w:val="20"/>
          <w:szCs w:val="20"/>
        </w:rPr>
      </w:pPr>
    </w:p>
    <w:p w14:paraId="5F16FECD" w14:textId="69AB3698" w:rsidR="008F3C6D" w:rsidRDefault="008F3C6D" w:rsidP="008F3C6D">
      <w:pPr>
        <w:jc w:val="both"/>
        <w:rPr>
          <w:sz w:val="20"/>
        </w:rPr>
      </w:pPr>
    </w:p>
    <w:p w14:paraId="6AF53FD1" w14:textId="77777777" w:rsidR="00B51F55" w:rsidRPr="00AD647D" w:rsidRDefault="00B51F55" w:rsidP="00B51F55">
      <w:pPr>
        <w:jc w:val="both"/>
        <w:rPr>
          <w:rFonts w:asciiTheme="minorHAnsi" w:hAnsiTheme="minorHAnsi" w:cstheme="minorHAnsi"/>
        </w:rPr>
      </w:pPr>
      <w:r w:rsidRPr="00AD647D">
        <w:rPr>
          <w:rFonts w:asciiTheme="minorHAnsi" w:hAnsiTheme="minorHAnsi" w:cstheme="minorHAnsi"/>
          <w:b/>
        </w:rPr>
        <w:t>Poznámka pro média:</w:t>
      </w:r>
      <w:r w:rsidRPr="00AD647D">
        <w:rPr>
          <w:rFonts w:asciiTheme="minorHAnsi" w:hAnsiTheme="minorHAnsi" w:cstheme="minorHAnsi"/>
        </w:rPr>
        <w:t xml:space="preserve"> </w:t>
      </w:r>
      <w:r w:rsidRPr="00AD647D">
        <w:rPr>
          <w:rFonts w:asciiTheme="minorHAnsi" w:hAnsiTheme="minorHAnsi" w:cstheme="minorHAnsi"/>
          <w:color w:val="1D1D1B"/>
          <w:w w:val="105"/>
        </w:rPr>
        <w:t>Broker</w:t>
      </w:r>
      <w:r w:rsidRPr="00AD647D">
        <w:rPr>
          <w:rFonts w:asciiTheme="minorHAnsi" w:hAnsiTheme="minorHAnsi" w:cstheme="minorHAnsi"/>
          <w:color w:val="1D1D1B"/>
          <w:spacing w:val="-9"/>
          <w:w w:val="105"/>
        </w:rPr>
        <w:t xml:space="preserve"> </w:t>
      </w:r>
      <w:r w:rsidRPr="00AD647D">
        <w:rPr>
          <w:rFonts w:asciiTheme="minorHAnsi" w:hAnsiTheme="minorHAnsi" w:cstheme="minorHAnsi"/>
          <w:color w:val="1D1D1B"/>
          <w:w w:val="105"/>
        </w:rPr>
        <w:t>Consulting</w:t>
      </w:r>
      <w:r w:rsidRPr="00AD647D">
        <w:rPr>
          <w:rFonts w:asciiTheme="minorHAnsi" w:hAnsiTheme="minorHAnsi" w:cstheme="minorHAnsi"/>
          <w:color w:val="1D1D1B"/>
          <w:spacing w:val="-8"/>
          <w:w w:val="105"/>
        </w:rPr>
        <w:t xml:space="preserve"> </w:t>
      </w:r>
      <w:r w:rsidRPr="00AD647D">
        <w:rPr>
          <w:rFonts w:asciiTheme="minorHAnsi" w:hAnsiTheme="minorHAnsi" w:cstheme="minorHAnsi"/>
          <w:color w:val="1D1D1B"/>
          <w:w w:val="105"/>
        </w:rPr>
        <w:t>Indexy</w:t>
      </w:r>
      <w:r w:rsidRPr="00AD647D">
        <w:rPr>
          <w:rFonts w:asciiTheme="minorHAnsi" w:hAnsiTheme="minorHAnsi" w:cstheme="minorHAnsi"/>
          <w:color w:val="1D1D1B"/>
          <w:spacing w:val="-9"/>
          <w:w w:val="105"/>
        </w:rPr>
        <w:t xml:space="preserve"> </w:t>
      </w:r>
      <w:r w:rsidRPr="00AD647D">
        <w:rPr>
          <w:rFonts w:asciiTheme="minorHAnsi" w:hAnsiTheme="minorHAnsi" w:cstheme="minorHAnsi"/>
          <w:color w:val="1D1D1B"/>
          <w:w w:val="105"/>
        </w:rPr>
        <w:t>je</w:t>
      </w:r>
      <w:r w:rsidRPr="00AD647D">
        <w:rPr>
          <w:rFonts w:asciiTheme="minorHAnsi" w:hAnsiTheme="minorHAnsi" w:cstheme="minorHAnsi"/>
          <w:color w:val="1D1D1B"/>
          <w:spacing w:val="-8"/>
          <w:w w:val="105"/>
        </w:rPr>
        <w:t xml:space="preserve"> </w:t>
      </w:r>
      <w:r w:rsidRPr="00AD647D">
        <w:rPr>
          <w:rFonts w:asciiTheme="minorHAnsi" w:hAnsiTheme="minorHAnsi" w:cstheme="minorHAnsi"/>
          <w:color w:val="1D1D1B"/>
          <w:w w:val="105"/>
        </w:rPr>
        <w:t>možné</w:t>
      </w:r>
      <w:r w:rsidRPr="00AD647D">
        <w:rPr>
          <w:rFonts w:asciiTheme="minorHAnsi" w:hAnsiTheme="minorHAnsi" w:cstheme="minorHAnsi"/>
          <w:color w:val="1D1D1B"/>
          <w:spacing w:val="-9"/>
          <w:w w:val="105"/>
        </w:rPr>
        <w:t xml:space="preserve"> </w:t>
      </w:r>
      <w:r w:rsidRPr="00AD647D">
        <w:rPr>
          <w:rFonts w:asciiTheme="minorHAnsi" w:hAnsiTheme="minorHAnsi" w:cstheme="minorHAnsi"/>
          <w:color w:val="1D1D1B"/>
          <w:w w:val="105"/>
        </w:rPr>
        <w:t>volně</w:t>
      </w:r>
      <w:r w:rsidRPr="00AD647D">
        <w:rPr>
          <w:rFonts w:asciiTheme="minorHAnsi" w:hAnsiTheme="minorHAnsi" w:cstheme="minorHAnsi"/>
          <w:color w:val="1D1D1B"/>
          <w:spacing w:val="-8"/>
          <w:w w:val="105"/>
        </w:rPr>
        <w:t xml:space="preserve"> </w:t>
      </w:r>
      <w:r w:rsidRPr="00AD647D">
        <w:rPr>
          <w:rFonts w:asciiTheme="minorHAnsi" w:hAnsiTheme="minorHAnsi" w:cstheme="minorHAnsi"/>
          <w:color w:val="1D1D1B"/>
          <w:spacing w:val="2"/>
          <w:w w:val="105"/>
        </w:rPr>
        <w:t>publikovat</w:t>
      </w:r>
      <w:r w:rsidRPr="00AD647D">
        <w:rPr>
          <w:rFonts w:asciiTheme="minorHAnsi" w:hAnsiTheme="minorHAnsi" w:cstheme="minorHAnsi"/>
          <w:color w:val="1D1D1B"/>
          <w:spacing w:val="-9"/>
          <w:w w:val="105"/>
        </w:rPr>
        <w:t xml:space="preserve"> </w:t>
      </w:r>
      <w:r w:rsidRPr="00AD647D">
        <w:rPr>
          <w:rFonts w:asciiTheme="minorHAnsi" w:hAnsiTheme="minorHAnsi" w:cstheme="minorHAnsi"/>
          <w:color w:val="1D1D1B"/>
          <w:w w:val="105"/>
        </w:rPr>
        <w:t>pouze</w:t>
      </w:r>
      <w:r w:rsidRPr="00AD647D">
        <w:rPr>
          <w:rFonts w:asciiTheme="minorHAnsi" w:hAnsiTheme="minorHAnsi" w:cstheme="minorHAnsi"/>
          <w:color w:val="1D1D1B"/>
          <w:spacing w:val="-8"/>
          <w:w w:val="105"/>
        </w:rPr>
        <w:t xml:space="preserve"> </w:t>
      </w:r>
      <w:r w:rsidRPr="00AD647D">
        <w:rPr>
          <w:rFonts w:asciiTheme="minorHAnsi" w:hAnsiTheme="minorHAnsi" w:cstheme="minorHAnsi"/>
          <w:color w:val="1D1D1B"/>
          <w:w w:val="105"/>
        </w:rPr>
        <w:t>s</w:t>
      </w:r>
      <w:r w:rsidRPr="00AD647D">
        <w:rPr>
          <w:rFonts w:asciiTheme="minorHAnsi" w:hAnsiTheme="minorHAnsi" w:cstheme="minorHAnsi"/>
          <w:color w:val="1D1D1B"/>
          <w:spacing w:val="-9"/>
          <w:w w:val="105"/>
        </w:rPr>
        <w:t xml:space="preserve"> </w:t>
      </w:r>
      <w:r w:rsidRPr="00AD647D">
        <w:rPr>
          <w:rFonts w:asciiTheme="minorHAnsi" w:hAnsiTheme="minorHAnsi" w:cstheme="minorHAnsi"/>
          <w:color w:val="1D1D1B"/>
          <w:w w:val="105"/>
        </w:rPr>
        <w:t>označením</w:t>
      </w:r>
      <w:r w:rsidRPr="00AD647D">
        <w:rPr>
          <w:rFonts w:asciiTheme="minorHAnsi" w:hAnsiTheme="minorHAnsi" w:cstheme="minorHAnsi"/>
          <w:color w:val="1D1D1B"/>
          <w:spacing w:val="-8"/>
          <w:w w:val="105"/>
        </w:rPr>
        <w:t xml:space="preserve"> </w:t>
      </w:r>
      <w:r w:rsidRPr="00AD647D">
        <w:rPr>
          <w:rFonts w:asciiTheme="minorHAnsi" w:hAnsiTheme="minorHAnsi" w:cstheme="minorHAnsi"/>
          <w:color w:val="1D1D1B"/>
          <w:w w:val="105"/>
        </w:rPr>
        <w:t>„Broker</w:t>
      </w:r>
      <w:r w:rsidRPr="00AD647D">
        <w:rPr>
          <w:rFonts w:asciiTheme="minorHAnsi" w:hAnsiTheme="minorHAnsi" w:cstheme="minorHAnsi"/>
          <w:color w:val="1D1D1B"/>
          <w:spacing w:val="-9"/>
          <w:w w:val="105"/>
        </w:rPr>
        <w:t xml:space="preserve"> </w:t>
      </w:r>
      <w:r w:rsidRPr="00AD647D">
        <w:rPr>
          <w:rFonts w:asciiTheme="minorHAnsi" w:hAnsiTheme="minorHAnsi" w:cstheme="minorHAnsi"/>
          <w:color w:val="1D1D1B"/>
          <w:w w:val="105"/>
        </w:rPr>
        <w:t>Consulting</w:t>
      </w:r>
      <w:r w:rsidRPr="00AD647D">
        <w:rPr>
          <w:rFonts w:asciiTheme="minorHAnsi" w:hAnsiTheme="minorHAnsi" w:cstheme="minorHAnsi"/>
          <w:color w:val="1D1D1B"/>
          <w:spacing w:val="-8"/>
          <w:w w:val="105"/>
        </w:rPr>
        <w:t xml:space="preserve"> </w:t>
      </w:r>
      <w:r w:rsidRPr="00AD647D">
        <w:rPr>
          <w:rFonts w:asciiTheme="minorHAnsi" w:hAnsiTheme="minorHAnsi" w:cstheme="minorHAnsi"/>
          <w:color w:val="1D1D1B"/>
          <w:w w:val="105"/>
        </w:rPr>
        <w:t>Index“</w:t>
      </w:r>
      <w:r w:rsidRPr="00AD647D">
        <w:rPr>
          <w:rFonts w:asciiTheme="minorHAnsi" w:hAnsiTheme="minorHAnsi" w:cstheme="minorHAnsi"/>
          <w:color w:val="1D1D1B"/>
          <w:spacing w:val="-9"/>
          <w:w w:val="105"/>
        </w:rPr>
        <w:t xml:space="preserve"> </w:t>
      </w:r>
      <w:r w:rsidRPr="00AD647D">
        <w:rPr>
          <w:rFonts w:asciiTheme="minorHAnsi" w:hAnsiTheme="minorHAnsi" w:cstheme="minorHAnsi"/>
          <w:color w:val="1D1D1B"/>
          <w:spacing w:val="-3"/>
          <w:w w:val="105"/>
        </w:rPr>
        <w:t>(</w:t>
      </w:r>
      <w:r w:rsidRPr="00AD647D">
        <w:rPr>
          <w:rFonts w:asciiTheme="minorHAnsi" w:hAnsiTheme="minorHAnsi" w:cstheme="minorHAnsi"/>
          <w:i/>
          <w:color w:val="1D1D1B"/>
          <w:spacing w:val="-3"/>
          <w:w w:val="105"/>
        </w:rPr>
        <w:t>např.</w:t>
      </w:r>
      <w:r w:rsidRPr="00AD647D">
        <w:rPr>
          <w:rFonts w:asciiTheme="minorHAnsi" w:hAnsiTheme="minorHAnsi" w:cstheme="minorHAnsi"/>
          <w:i/>
          <w:color w:val="1D1D1B"/>
          <w:spacing w:val="-8"/>
          <w:w w:val="105"/>
        </w:rPr>
        <w:t xml:space="preserve"> </w:t>
      </w:r>
      <w:r w:rsidRPr="00AD647D">
        <w:rPr>
          <w:rFonts w:asciiTheme="minorHAnsi" w:hAnsiTheme="minorHAnsi" w:cstheme="minorHAnsi"/>
          <w:i/>
          <w:color w:val="1D1D1B"/>
          <w:w w:val="105"/>
        </w:rPr>
        <w:t>Broker</w:t>
      </w:r>
      <w:r w:rsidRPr="00AD647D">
        <w:rPr>
          <w:rFonts w:asciiTheme="minorHAnsi" w:hAnsiTheme="minorHAnsi" w:cstheme="minorHAnsi"/>
          <w:i/>
          <w:color w:val="1D1D1B"/>
          <w:spacing w:val="-9"/>
          <w:w w:val="105"/>
        </w:rPr>
        <w:t xml:space="preserve"> </w:t>
      </w:r>
      <w:r w:rsidRPr="00AD647D">
        <w:rPr>
          <w:rFonts w:asciiTheme="minorHAnsi" w:hAnsiTheme="minorHAnsi" w:cstheme="minorHAnsi"/>
          <w:i/>
          <w:color w:val="1D1D1B"/>
          <w:w w:val="105"/>
        </w:rPr>
        <w:t>Consulting</w:t>
      </w:r>
      <w:r w:rsidRPr="00AD647D">
        <w:rPr>
          <w:rFonts w:asciiTheme="minorHAnsi" w:hAnsiTheme="minorHAnsi" w:cstheme="minorHAnsi"/>
          <w:i/>
          <w:color w:val="1D1D1B"/>
          <w:spacing w:val="-8"/>
          <w:w w:val="105"/>
        </w:rPr>
        <w:t xml:space="preserve"> Index </w:t>
      </w:r>
      <w:r w:rsidRPr="00AD647D">
        <w:rPr>
          <w:rFonts w:asciiTheme="minorHAnsi" w:hAnsiTheme="minorHAnsi" w:cstheme="minorHAnsi"/>
          <w:i/>
          <w:color w:val="1D1D1B"/>
          <w:w w:val="105"/>
        </w:rPr>
        <w:t>hypoteční</w:t>
      </w:r>
      <w:r w:rsidRPr="00AD647D">
        <w:rPr>
          <w:rFonts w:asciiTheme="minorHAnsi" w:hAnsiTheme="minorHAnsi" w:cstheme="minorHAnsi"/>
          <w:i/>
          <w:color w:val="1D1D1B"/>
          <w:spacing w:val="-9"/>
          <w:w w:val="105"/>
        </w:rPr>
        <w:t>ch úvěrů</w:t>
      </w:r>
      <w:r w:rsidRPr="00AD647D">
        <w:rPr>
          <w:rFonts w:asciiTheme="minorHAnsi" w:hAnsiTheme="minorHAnsi" w:cstheme="minorHAnsi"/>
          <w:i/>
          <w:color w:val="1D1D1B"/>
          <w:w w:val="105"/>
        </w:rPr>
        <w:t xml:space="preserve">). Více informací najdete též na webu </w:t>
      </w:r>
      <w:r w:rsidRPr="00AD647D">
        <w:rPr>
          <w:rStyle w:val="Hypertextovodkaz"/>
          <w:rFonts w:asciiTheme="minorHAnsi" w:hAnsiTheme="minorHAnsi" w:cstheme="minorHAnsi"/>
          <w:i/>
          <w:w w:val="105"/>
        </w:rPr>
        <w:t>https://www.bcas.cz/onas/pro-media/</w:t>
      </w:r>
      <w:r w:rsidRPr="00AD647D">
        <w:rPr>
          <w:rFonts w:asciiTheme="minorHAnsi" w:hAnsiTheme="minorHAnsi" w:cstheme="minorHAnsi"/>
          <w:i/>
          <w:color w:val="1D1D1B"/>
          <w:w w:val="105"/>
        </w:rPr>
        <w:t xml:space="preserve">. </w:t>
      </w:r>
    </w:p>
    <w:p w14:paraId="685A4AD2" w14:textId="77777777" w:rsidR="00B51F55" w:rsidRPr="00AD647D" w:rsidRDefault="00B51F55" w:rsidP="008F3C6D">
      <w:pPr>
        <w:jc w:val="both"/>
        <w:rPr>
          <w:rFonts w:asciiTheme="minorHAnsi" w:hAnsiTheme="minorHAnsi" w:cstheme="minorHAnsi"/>
        </w:rPr>
      </w:pPr>
    </w:p>
    <w:p w14:paraId="1039ED98" w14:textId="77777777" w:rsidR="008F3C6D" w:rsidRPr="00AD647D" w:rsidRDefault="008F3C6D" w:rsidP="008F3C6D">
      <w:pPr>
        <w:jc w:val="both"/>
        <w:rPr>
          <w:rFonts w:asciiTheme="minorHAnsi" w:eastAsia="Calibri" w:hAnsiTheme="minorHAnsi" w:cstheme="minorHAnsi"/>
          <w:b/>
          <w:bCs/>
          <w:noProof/>
        </w:rPr>
      </w:pPr>
    </w:p>
    <w:p w14:paraId="195CA202" w14:textId="77777777" w:rsidR="008F3C6D" w:rsidRPr="00AD647D" w:rsidRDefault="008F3C6D" w:rsidP="008F3C6D">
      <w:pPr>
        <w:rPr>
          <w:rFonts w:asciiTheme="minorHAnsi" w:eastAsia="Calibri" w:hAnsiTheme="minorHAnsi" w:cstheme="minorHAnsi"/>
          <w:b/>
          <w:bCs/>
          <w:noProof/>
        </w:rPr>
      </w:pPr>
      <w:r w:rsidRPr="00AD647D">
        <w:rPr>
          <w:rFonts w:asciiTheme="minorHAnsi" w:eastAsia="Calibri" w:hAnsiTheme="minorHAnsi" w:cstheme="minorHAnsi"/>
          <w:b/>
          <w:bCs/>
          <w:noProof/>
        </w:rPr>
        <w:t>Kontakt pro média:</w:t>
      </w:r>
    </w:p>
    <w:p w14:paraId="78012E24" w14:textId="77777777" w:rsidR="0053079B" w:rsidRPr="00AD647D" w:rsidRDefault="0053079B" w:rsidP="0053079B">
      <w:pPr>
        <w:rPr>
          <w:rFonts w:asciiTheme="minorHAnsi" w:eastAsia="Calibri" w:hAnsiTheme="minorHAnsi" w:cstheme="minorHAnsi"/>
          <w:bCs/>
          <w:noProof/>
        </w:rPr>
      </w:pPr>
    </w:p>
    <w:p w14:paraId="60542279" w14:textId="77777777" w:rsidR="0053079B" w:rsidRPr="00AD647D" w:rsidRDefault="0053079B" w:rsidP="0053079B">
      <w:pPr>
        <w:spacing w:after="60"/>
        <w:rPr>
          <w:rFonts w:asciiTheme="minorHAnsi" w:eastAsia="Calibri" w:hAnsiTheme="minorHAnsi" w:cstheme="minorHAnsi"/>
          <w:bCs/>
          <w:noProof/>
          <w:lang w:bidi="ar-SA"/>
        </w:rPr>
      </w:pPr>
      <w:r w:rsidRPr="00AD647D">
        <w:rPr>
          <w:rFonts w:asciiTheme="minorHAnsi" w:eastAsia="Calibri" w:hAnsiTheme="minorHAnsi" w:cstheme="minorHAnsi"/>
          <w:bCs/>
          <w:noProof/>
        </w:rPr>
        <w:t>Michaela Sahulová</w:t>
      </w:r>
    </w:p>
    <w:p w14:paraId="16BB5E7E" w14:textId="77777777" w:rsidR="0053079B" w:rsidRPr="00AD647D" w:rsidRDefault="0053079B" w:rsidP="0053079B">
      <w:pPr>
        <w:pStyle w:val="Bezmezer"/>
        <w:rPr>
          <w:rFonts w:eastAsia="Calibri" w:cstheme="minorHAnsi"/>
          <w:noProof/>
        </w:rPr>
      </w:pPr>
      <w:r w:rsidRPr="00AD647D">
        <w:rPr>
          <w:rFonts w:eastAsia="Calibri" w:cstheme="minorHAnsi"/>
          <w:noProof/>
        </w:rPr>
        <w:t>Specialistka PR a externí komunikace</w:t>
      </w:r>
    </w:p>
    <w:p w14:paraId="2D24B5C8" w14:textId="77777777" w:rsidR="0053079B" w:rsidRPr="00AD647D" w:rsidRDefault="0053079B" w:rsidP="0053079B">
      <w:pPr>
        <w:rPr>
          <w:rFonts w:asciiTheme="minorHAnsi" w:eastAsiaTheme="minorEastAsia" w:hAnsiTheme="minorHAnsi" w:cstheme="minorHAnsi"/>
          <w:noProof/>
          <w:color w:val="000000" w:themeColor="text1"/>
          <w:lang w:bidi="ar-SA"/>
        </w:rPr>
      </w:pPr>
      <w:r w:rsidRPr="00AD647D">
        <w:rPr>
          <w:rFonts w:asciiTheme="minorHAnsi" w:eastAsiaTheme="minorEastAsia" w:hAnsiTheme="minorHAnsi" w:cstheme="minorHAnsi"/>
          <w:noProof/>
          <w:color w:val="000000" w:themeColor="text1"/>
        </w:rPr>
        <w:t>tel.: +420 731 538 373</w:t>
      </w:r>
    </w:p>
    <w:p w14:paraId="745E815C" w14:textId="77777777" w:rsidR="0053079B" w:rsidRPr="00AD647D" w:rsidRDefault="0053079B" w:rsidP="0053079B">
      <w:pPr>
        <w:rPr>
          <w:rFonts w:asciiTheme="minorHAnsi" w:eastAsia="Calibri" w:hAnsiTheme="minorHAnsi" w:cstheme="minorHAnsi"/>
          <w:noProof/>
        </w:rPr>
      </w:pPr>
      <w:r w:rsidRPr="00AD647D">
        <w:rPr>
          <w:rFonts w:asciiTheme="minorHAnsi" w:eastAsia="Calibri" w:hAnsiTheme="minorHAnsi" w:cstheme="minorHAnsi"/>
          <w:noProof/>
        </w:rPr>
        <w:t xml:space="preserve">E-mail: </w:t>
      </w:r>
      <w:hyperlink r:id="rId25" w:history="1">
        <w:r w:rsidRPr="00AD647D">
          <w:rPr>
            <w:rStyle w:val="Hypertextovodkaz"/>
            <w:rFonts w:asciiTheme="minorHAnsi" w:eastAsia="Calibri" w:hAnsiTheme="minorHAnsi" w:cstheme="minorHAnsi"/>
            <w:noProof/>
          </w:rPr>
          <w:t>michaela.sahulova@bcas.cz</w:t>
        </w:r>
      </w:hyperlink>
      <w:r w:rsidRPr="00AD647D">
        <w:rPr>
          <w:rFonts w:asciiTheme="minorHAnsi" w:eastAsia="Calibri" w:hAnsiTheme="minorHAnsi" w:cstheme="minorHAnsi"/>
          <w:noProof/>
        </w:rPr>
        <w:t xml:space="preserve"> </w:t>
      </w:r>
    </w:p>
    <w:p w14:paraId="1FBC071D" w14:textId="77777777" w:rsidR="00FA6B22" w:rsidRPr="00AD647D" w:rsidRDefault="00FA6B22" w:rsidP="008F3C6D">
      <w:pPr>
        <w:rPr>
          <w:rFonts w:asciiTheme="minorHAnsi" w:eastAsia="Calibri" w:hAnsiTheme="minorHAnsi" w:cstheme="minorHAnsi"/>
          <w:noProof/>
        </w:rPr>
      </w:pPr>
    </w:p>
    <w:p w14:paraId="5BCE3D52" w14:textId="77777777" w:rsidR="008F3C6D" w:rsidRPr="00AD647D" w:rsidRDefault="008F3C6D" w:rsidP="008F3C6D">
      <w:pPr>
        <w:jc w:val="both"/>
        <w:rPr>
          <w:rFonts w:asciiTheme="minorHAnsi" w:hAnsiTheme="minorHAnsi" w:cstheme="minorHAnsi"/>
        </w:rPr>
      </w:pPr>
    </w:p>
    <w:p w14:paraId="12134AC2" w14:textId="77777777" w:rsidR="008F3C6D" w:rsidRPr="00AD647D" w:rsidRDefault="008F3C6D" w:rsidP="008F3C6D">
      <w:pPr>
        <w:jc w:val="both"/>
        <w:rPr>
          <w:rFonts w:asciiTheme="minorHAnsi" w:hAnsiTheme="minorHAnsi" w:cstheme="minorHAnsi"/>
          <w:b/>
          <w:bCs/>
          <w:color w:val="FF0000"/>
        </w:rPr>
      </w:pPr>
    </w:p>
    <w:sectPr w:rsidR="008F3C6D" w:rsidRPr="00AD647D"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8546FE" w14:textId="77777777" w:rsidR="00871CBD" w:rsidRDefault="00871CBD">
      <w:r>
        <w:separator/>
      </w:r>
    </w:p>
  </w:endnote>
  <w:endnote w:type="continuationSeparator" w:id="0">
    <w:p w14:paraId="650B744B" w14:textId="77777777" w:rsidR="00871CBD" w:rsidRDefault="00871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871CBD"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A14701"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871CBD"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A14701"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871CBD"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A14701"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C13338" w14:textId="77777777" w:rsidR="00871CBD" w:rsidRDefault="00871CBD">
      <w:r>
        <w:separator/>
      </w:r>
    </w:p>
  </w:footnote>
  <w:footnote w:type="continuationSeparator" w:id="0">
    <w:p w14:paraId="67354651" w14:textId="77777777" w:rsidR="00871CBD" w:rsidRDefault="00871C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BC331D" w:rsidRDefault="00D80B6D" w:rsidP="00E95698">
    <w:pPr>
      <w:tabs>
        <w:tab w:val="left" w:pos="8633"/>
      </w:tabs>
      <w:spacing w:before="80"/>
      <w:ind w:firstLine="2880"/>
      <w:rPr>
        <w:rFonts w:asciiTheme="minorHAnsi" w:hAnsiTheme="minorHAnsi" w:cstheme="minorHAnsi"/>
        <w:sz w:val="52"/>
      </w:rPr>
    </w:pPr>
    <w:r w:rsidRPr="00BC331D">
      <w:rPr>
        <w:rFonts w:asciiTheme="minorHAnsi" w:hAnsiTheme="minorHAnsi" w:cstheme="minorHAnsi"/>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BC331D">
      <w:rPr>
        <w:rFonts w:asciiTheme="minorHAnsi" w:hAnsiTheme="minorHAnsi" w:cstheme="minorHAnsi"/>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BC331D">
      <w:rPr>
        <w:rFonts w:asciiTheme="minorHAnsi" w:hAnsiTheme="minorHAnsi" w:cstheme="minorHAnsi"/>
        <w:color w:val="1D1D1B"/>
        <w:sz w:val="48"/>
      </w:rPr>
      <w:t xml:space="preserve">BROKER CONSULTING </w:t>
    </w:r>
    <w:r w:rsidRPr="00BC331D">
      <w:rPr>
        <w:rFonts w:asciiTheme="minorHAnsi" w:hAnsiTheme="minorHAnsi" w:cstheme="minorHAnsi"/>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2ECB10A3" w:rsidR="00B65A3B" w:rsidRDefault="00B65A3B" w:rsidP="00B65A3B">
    <w:pPr>
      <w:spacing w:before="85"/>
      <w:ind w:left="1440" w:firstLine="720"/>
      <w:rPr>
        <w:rFonts w:ascii="Arial" w:hAnsi="Arial" w:cs="Arial"/>
        <w:color w:val="E52713"/>
        <w:sz w:val="28"/>
        <w:szCs w:val="28"/>
      </w:rPr>
    </w:pPr>
    <w:r w:rsidRPr="00B65A3B">
      <w:rPr>
        <w:rFonts w:ascii="Arial" w:hAnsi="Arial" w:cs="Arial"/>
        <w:color w:val="E52713"/>
        <w:sz w:val="28"/>
        <w:szCs w:val="28"/>
      </w:rPr>
      <w:t>INDEX SPOTŘEBITELSKÝCH ÚVĚRŮ</w:t>
    </w:r>
  </w:p>
  <w:p w14:paraId="3F4A0BE4" w14:textId="77777777" w:rsidR="00480982" w:rsidRPr="00B65A3B" w:rsidRDefault="00480982" w:rsidP="00B65A3B">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489"/>
    <w:rsid w:val="0000406E"/>
    <w:rsid w:val="00005076"/>
    <w:rsid w:val="000058F2"/>
    <w:rsid w:val="00017A80"/>
    <w:rsid w:val="00020EC7"/>
    <w:rsid w:val="00022715"/>
    <w:rsid w:val="00024AC6"/>
    <w:rsid w:val="00026F23"/>
    <w:rsid w:val="000276A7"/>
    <w:rsid w:val="000277AC"/>
    <w:rsid w:val="00032D94"/>
    <w:rsid w:val="00036C73"/>
    <w:rsid w:val="000374D7"/>
    <w:rsid w:val="000400E4"/>
    <w:rsid w:val="00045B39"/>
    <w:rsid w:val="0005252A"/>
    <w:rsid w:val="0005423A"/>
    <w:rsid w:val="00057018"/>
    <w:rsid w:val="000611E3"/>
    <w:rsid w:val="000618FE"/>
    <w:rsid w:val="00061ABB"/>
    <w:rsid w:val="00070675"/>
    <w:rsid w:val="000766E7"/>
    <w:rsid w:val="00080552"/>
    <w:rsid w:val="00080ADE"/>
    <w:rsid w:val="00081616"/>
    <w:rsid w:val="000853D4"/>
    <w:rsid w:val="00087263"/>
    <w:rsid w:val="0009776B"/>
    <w:rsid w:val="000B0D84"/>
    <w:rsid w:val="000B2E5D"/>
    <w:rsid w:val="000B2F39"/>
    <w:rsid w:val="000B5339"/>
    <w:rsid w:val="000B54E5"/>
    <w:rsid w:val="000C0090"/>
    <w:rsid w:val="000C1853"/>
    <w:rsid w:val="000C4C77"/>
    <w:rsid w:val="000D145E"/>
    <w:rsid w:val="000D14E2"/>
    <w:rsid w:val="000D5F5D"/>
    <w:rsid w:val="000D7A4D"/>
    <w:rsid w:val="000E0EEC"/>
    <w:rsid w:val="000E168E"/>
    <w:rsid w:val="000E3D86"/>
    <w:rsid w:val="000F0BA4"/>
    <w:rsid w:val="000F1EC4"/>
    <w:rsid w:val="000F29D1"/>
    <w:rsid w:val="000F6249"/>
    <w:rsid w:val="00103543"/>
    <w:rsid w:val="001069A1"/>
    <w:rsid w:val="0010739A"/>
    <w:rsid w:val="00111C28"/>
    <w:rsid w:val="00112079"/>
    <w:rsid w:val="00112D65"/>
    <w:rsid w:val="001130B7"/>
    <w:rsid w:val="00114F7B"/>
    <w:rsid w:val="00123939"/>
    <w:rsid w:val="0013044E"/>
    <w:rsid w:val="00131A69"/>
    <w:rsid w:val="00136C97"/>
    <w:rsid w:val="00137003"/>
    <w:rsid w:val="0013717C"/>
    <w:rsid w:val="00137474"/>
    <w:rsid w:val="00143EFE"/>
    <w:rsid w:val="00156082"/>
    <w:rsid w:val="00161D10"/>
    <w:rsid w:val="00164597"/>
    <w:rsid w:val="001675AF"/>
    <w:rsid w:val="00170556"/>
    <w:rsid w:val="00170D87"/>
    <w:rsid w:val="001767A5"/>
    <w:rsid w:val="00180051"/>
    <w:rsid w:val="00182B07"/>
    <w:rsid w:val="0018460D"/>
    <w:rsid w:val="001901D0"/>
    <w:rsid w:val="00191B34"/>
    <w:rsid w:val="001925C8"/>
    <w:rsid w:val="00192716"/>
    <w:rsid w:val="00192C2A"/>
    <w:rsid w:val="00193550"/>
    <w:rsid w:val="00194C95"/>
    <w:rsid w:val="001A54DD"/>
    <w:rsid w:val="001B296D"/>
    <w:rsid w:val="001B29C7"/>
    <w:rsid w:val="001B501B"/>
    <w:rsid w:val="001B745F"/>
    <w:rsid w:val="001D015A"/>
    <w:rsid w:val="001D3DFC"/>
    <w:rsid w:val="001D4EA8"/>
    <w:rsid w:val="001D6965"/>
    <w:rsid w:val="001E22F1"/>
    <w:rsid w:val="001E3D5F"/>
    <w:rsid w:val="001E3FBF"/>
    <w:rsid w:val="001E4209"/>
    <w:rsid w:val="001E5D83"/>
    <w:rsid w:val="001F045E"/>
    <w:rsid w:val="001F25C4"/>
    <w:rsid w:val="001F2BE0"/>
    <w:rsid w:val="001F3CF1"/>
    <w:rsid w:val="001F7194"/>
    <w:rsid w:val="001F71BA"/>
    <w:rsid w:val="001F7D30"/>
    <w:rsid w:val="00200B65"/>
    <w:rsid w:val="002141AF"/>
    <w:rsid w:val="00220944"/>
    <w:rsid w:val="002227D9"/>
    <w:rsid w:val="00223A4A"/>
    <w:rsid w:val="0023042D"/>
    <w:rsid w:val="00232F1A"/>
    <w:rsid w:val="0023469F"/>
    <w:rsid w:val="002368F3"/>
    <w:rsid w:val="002404A1"/>
    <w:rsid w:val="002406A8"/>
    <w:rsid w:val="00241313"/>
    <w:rsid w:val="00242D4D"/>
    <w:rsid w:val="00243075"/>
    <w:rsid w:val="00243C49"/>
    <w:rsid w:val="0024551C"/>
    <w:rsid w:val="0025264B"/>
    <w:rsid w:val="0025428A"/>
    <w:rsid w:val="002542AA"/>
    <w:rsid w:val="00255182"/>
    <w:rsid w:val="00263C8C"/>
    <w:rsid w:val="002645E4"/>
    <w:rsid w:val="002679C9"/>
    <w:rsid w:val="00270DB3"/>
    <w:rsid w:val="00281834"/>
    <w:rsid w:val="0028590C"/>
    <w:rsid w:val="002A0285"/>
    <w:rsid w:val="002A3F19"/>
    <w:rsid w:val="002A6FA3"/>
    <w:rsid w:val="002A7325"/>
    <w:rsid w:val="002B0728"/>
    <w:rsid w:val="002B1317"/>
    <w:rsid w:val="002B7DA9"/>
    <w:rsid w:val="002B7F6D"/>
    <w:rsid w:val="002C0240"/>
    <w:rsid w:val="002C4A25"/>
    <w:rsid w:val="002D1619"/>
    <w:rsid w:val="002D6D20"/>
    <w:rsid w:val="002E1ABC"/>
    <w:rsid w:val="002E633F"/>
    <w:rsid w:val="002F002B"/>
    <w:rsid w:val="002F05B2"/>
    <w:rsid w:val="002F3FCA"/>
    <w:rsid w:val="002F485A"/>
    <w:rsid w:val="002F56BD"/>
    <w:rsid w:val="002F7EC2"/>
    <w:rsid w:val="003001F4"/>
    <w:rsid w:val="003028DB"/>
    <w:rsid w:val="003055CB"/>
    <w:rsid w:val="00306EEA"/>
    <w:rsid w:val="00306FE1"/>
    <w:rsid w:val="00307E95"/>
    <w:rsid w:val="00310BEB"/>
    <w:rsid w:val="00311F45"/>
    <w:rsid w:val="0031287A"/>
    <w:rsid w:val="003128F8"/>
    <w:rsid w:val="00313A87"/>
    <w:rsid w:val="00316FA6"/>
    <w:rsid w:val="0031712D"/>
    <w:rsid w:val="0031752C"/>
    <w:rsid w:val="00320455"/>
    <w:rsid w:val="00321518"/>
    <w:rsid w:val="00321E19"/>
    <w:rsid w:val="003247B0"/>
    <w:rsid w:val="00330918"/>
    <w:rsid w:val="003358BA"/>
    <w:rsid w:val="0034184F"/>
    <w:rsid w:val="00342F85"/>
    <w:rsid w:val="00345686"/>
    <w:rsid w:val="00347557"/>
    <w:rsid w:val="003502B4"/>
    <w:rsid w:val="00355366"/>
    <w:rsid w:val="00356752"/>
    <w:rsid w:val="00361D44"/>
    <w:rsid w:val="003629B6"/>
    <w:rsid w:val="003705A1"/>
    <w:rsid w:val="00370C35"/>
    <w:rsid w:val="003721AD"/>
    <w:rsid w:val="0037300C"/>
    <w:rsid w:val="00374182"/>
    <w:rsid w:val="00383942"/>
    <w:rsid w:val="00383DC5"/>
    <w:rsid w:val="00385325"/>
    <w:rsid w:val="00385EED"/>
    <w:rsid w:val="00390B58"/>
    <w:rsid w:val="00392024"/>
    <w:rsid w:val="003948A1"/>
    <w:rsid w:val="003A1549"/>
    <w:rsid w:val="003A2887"/>
    <w:rsid w:val="003A375A"/>
    <w:rsid w:val="003A43AB"/>
    <w:rsid w:val="003A6435"/>
    <w:rsid w:val="003B0E4E"/>
    <w:rsid w:val="003B0E4F"/>
    <w:rsid w:val="003B3F0C"/>
    <w:rsid w:val="003C0CBE"/>
    <w:rsid w:val="003C2A23"/>
    <w:rsid w:val="003C5664"/>
    <w:rsid w:val="003C59A8"/>
    <w:rsid w:val="003C6F57"/>
    <w:rsid w:val="003C7F98"/>
    <w:rsid w:val="003D157E"/>
    <w:rsid w:val="003D1987"/>
    <w:rsid w:val="003E0649"/>
    <w:rsid w:val="003E6537"/>
    <w:rsid w:val="003F0CAF"/>
    <w:rsid w:val="003F324C"/>
    <w:rsid w:val="003F7018"/>
    <w:rsid w:val="003F79EC"/>
    <w:rsid w:val="0040257E"/>
    <w:rsid w:val="004041EF"/>
    <w:rsid w:val="004053BB"/>
    <w:rsid w:val="004075C9"/>
    <w:rsid w:val="004116FD"/>
    <w:rsid w:val="0042193A"/>
    <w:rsid w:val="0043347D"/>
    <w:rsid w:val="004336E4"/>
    <w:rsid w:val="00433F20"/>
    <w:rsid w:val="00435342"/>
    <w:rsid w:val="004376B0"/>
    <w:rsid w:val="00445D0A"/>
    <w:rsid w:val="004501B9"/>
    <w:rsid w:val="00453CFE"/>
    <w:rsid w:val="00454843"/>
    <w:rsid w:val="004556BB"/>
    <w:rsid w:val="00455F65"/>
    <w:rsid w:val="00457FFE"/>
    <w:rsid w:val="00460FA7"/>
    <w:rsid w:val="00461BF2"/>
    <w:rsid w:val="004627B9"/>
    <w:rsid w:val="004678E9"/>
    <w:rsid w:val="00467E69"/>
    <w:rsid w:val="00471166"/>
    <w:rsid w:val="00473E24"/>
    <w:rsid w:val="00480982"/>
    <w:rsid w:val="00486655"/>
    <w:rsid w:val="00492BA9"/>
    <w:rsid w:val="004935C2"/>
    <w:rsid w:val="004A59C1"/>
    <w:rsid w:val="004B2DF6"/>
    <w:rsid w:val="004B2FF6"/>
    <w:rsid w:val="004B4E91"/>
    <w:rsid w:val="004B5797"/>
    <w:rsid w:val="004B7412"/>
    <w:rsid w:val="004C222D"/>
    <w:rsid w:val="004C3DD1"/>
    <w:rsid w:val="004C3F71"/>
    <w:rsid w:val="004D5CC6"/>
    <w:rsid w:val="004E09B8"/>
    <w:rsid w:val="004E1737"/>
    <w:rsid w:val="004F303D"/>
    <w:rsid w:val="004F5D36"/>
    <w:rsid w:val="004F6195"/>
    <w:rsid w:val="00504EBB"/>
    <w:rsid w:val="0050659B"/>
    <w:rsid w:val="005130A9"/>
    <w:rsid w:val="00514932"/>
    <w:rsid w:val="005153F7"/>
    <w:rsid w:val="00515952"/>
    <w:rsid w:val="005224C1"/>
    <w:rsid w:val="005231DA"/>
    <w:rsid w:val="0053079B"/>
    <w:rsid w:val="0053153F"/>
    <w:rsid w:val="00531C9F"/>
    <w:rsid w:val="005361AF"/>
    <w:rsid w:val="00536822"/>
    <w:rsid w:val="00536954"/>
    <w:rsid w:val="0053728E"/>
    <w:rsid w:val="00540606"/>
    <w:rsid w:val="00541870"/>
    <w:rsid w:val="005436EC"/>
    <w:rsid w:val="00544A37"/>
    <w:rsid w:val="00545971"/>
    <w:rsid w:val="00550147"/>
    <w:rsid w:val="00551FDB"/>
    <w:rsid w:val="00554D18"/>
    <w:rsid w:val="0056501A"/>
    <w:rsid w:val="00571AD4"/>
    <w:rsid w:val="00573886"/>
    <w:rsid w:val="00573EE2"/>
    <w:rsid w:val="00577D19"/>
    <w:rsid w:val="005907CD"/>
    <w:rsid w:val="005A2139"/>
    <w:rsid w:val="005A37E5"/>
    <w:rsid w:val="005A4EB8"/>
    <w:rsid w:val="005A5BBA"/>
    <w:rsid w:val="005A5F08"/>
    <w:rsid w:val="005B3143"/>
    <w:rsid w:val="005B31D7"/>
    <w:rsid w:val="005C150C"/>
    <w:rsid w:val="005C318A"/>
    <w:rsid w:val="005D52F3"/>
    <w:rsid w:val="005E1193"/>
    <w:rsid w:val="005E5A67"/>
    <w:rsid w:val="005E7865"/>
    <w:rsid w:val="005F2D95"/>
    <w:rsid w:val="005F6BD8"/>
    <w:rsid w:val="005F7E72"/>
    <w:rsid w:val="005F7EAE"/>
    <w:rsid w:val="0060554F"/>
    <w:rsid w:val="006135FD"/>
    <w:rsid w:val="0061438C"/>
    <w:rsid w:val="006166CE"/>
    <w:rsid w:val="006218E4"/>
    <w:rsid w:val="00623C47"/>
    <w:rsid w:val="0062747C"/>
    <w:rsid w:val="0062786E"/>
    <w:rsid w:val="00636142"/>
    <w:rsid w:val="006365D5"/>
    <w:rsid w:val="0064160C"/>
    <w:rsid w:val="00646E6F"/>
    <w:rsid w:val="00650123"/>
    <w:rsid w:val="006509E8"/>
    <w:rsid w:val="006542CA"/>
    <w:rsid w:val="006548C4"/>
    <w:rsid w:val="0066135D"/>
    <w:rsid w:val="00662758"/>
    <w:rsid w:val="00664259"/>
    <w:rsid w:val="00664867"/>
    <w:rsid w:val="00667012"/>
    <w:rsid w:val="006768F0"/>
    <w:rsid w:val="00677078"/>
    <w:rsid w:val="00681F49"/>
    <w:rsid w:val="00682D62"/>
    <w:rsid w:val="006839FB"/>
    <w:rsid w:val="00683F9A"/>
    <w:rsid w:val="006859AC"/>
    <w:rsid w:val="006859FD"/>
    <w:rsid w:val="00685AF9"/>
    <w:rsid w:val="0068617E"/>
    <w:rsid w:val="006902C0"/>
    <w:rsid w:val="00690415"/>
    <w:rsid w:val="00691527"/>
    <w:rsid w:val="006939E7"/>
    <w:rsid w:val="006A2F6C"/>
    <w:rsid w:val="006A3BE2"/>
    <w:rsid w:val="006A4E81"/>
    <w:rsid w:val="006A5A20"/>
    <w:rsid w:val="006B2F00"/>
    <w:rsid w:val="006B4027"/>
    <w:rsid w:val="006B58D8"/>
    <w:rsid w:val="006B7185"/>
    <w:rsid w:val="006C5ED3"/>
    <w:rsid w:val="006C61E8"/>
    <w:rsid w:val="006D2B43"/>
    <w:rsid w:val="006D39DF"/>
    <w:rsid w:val="006D65EC"/>
    <w:rsid w:val="006E26DC"/>
    <w:rsid w:val="006E6A2F"/>
    <w:rsid w:val="006E70A0"/>
    <w:rsid w:val="006F32FB"/>
    <w:rsid w:val="007046C5"/>
    <w:rsid w:val="00704D83"/>
    <w:rsid w:val="007052FC"/>
    <w:rsid w:val="00705D83"/>
    <w:rsid w:val="00710AF5"/>
    <w:rsid w:val="00710E0C"/>
    <w:rsid w:val="0072112F"/>
    <w:rsid w:val="00724267"/>
    <w:rsid w:val="00725BF5"/>
    <w:rsid w:val="007320FB"/>
    <w:rsid w:val="007362E3"/>
    <w:rsid w:val="007408D1"/>
    <w:rsid w:val="00743627"/>
    <w:rsid w:val="00743E6A"/>
    <w:rsid w:val="0074636A"/>
    <w:rsid w:val="00753B64"/>
    <w:rsid w:val="0076114C"/>
    <w:rsid w:val="00762590"/>
    <w:rsid w:val="0076280C"/>
    <w:rsid w:val="007648F0"/>
    <w:rsid w:val="0076667F"/>
    <w:rsid w:val="007672BB"/>
    <w:rsid w:val="00771B91"/>
    <w:rsid w:val="00772415"/>
    <w:rsid w:val="007725B8"/>
    <w:rsid w:val="00772FF0"/>
    <w:rsid w:val="007748AF"/>
    <w:rsid w:val="007753A0"/>
    <w:rsid w:val="00776CDE"/>
    <w:rsid w:val="007815BB"/>
    <w:rsid w:val="007824F4"/>
    <w:rsid w:val="00782848"/>
    <w:rsid w:val="00784109"/>
    <w:rsid w:val="0078410A"/>
    <w:rsid w:val="0078525A"/>
    <w:rsid w:val="00785FC5"/>
    <w:rsid w:val="0078631B"/>
    <w:rsid w:val="0078653C"/>
    <w:rsid w:val="00791A2B"/>
    <w:rsid w:val="00792EE9"/>
    <w:rsid w:val="0079572A"/>
    <w:rsid w:val="007969EF"/>
    <w:rsid w:val="007A1121"/>
    <w:rsid w:val="007A1122"/>
    <w:rsid w:val="007A15A6"/>
    <w:rsid w:val="007A41BD"/>
    <w:rsid w:val="007A6A4D"/>
    <w:rsid w:val="007A74F9"/>
    <w:rsid w:val="007A7C7B"/>
    <w:rsid w:val="007B152D"/>
    <w:rsid w:val="007B358E"/>
    <w:rsid w:val="007B48B8"/>
    <w:rsid w:val="007C0F6D"/>
    <w:rsid w:val="007D14AE"/>
    <w:rsid w:val="007E3027"/>
    <w:rsid w:val="007E38CD"/>
    <w:rsid w:val="007E5614"/>
    <w:rsid w:val="007E768B"/>
    <w:rsid w:val="007F2DE8"/>
    <w:rsid w:val="007F4493"/>
    <w:rsid w:val="007F4C72"/>
    <w:rsid w:val="007F71F9"/>
    <w:rsid w:val="008011E7"/>
    <w:rsid w:val="0080323F"/>
    <w:rsid w:val="008063BB"/>
    <w:rsid w:val="008123FF"/>
    <w:rsid w:val="0081387C"/>
    <w:rsid w:val="0081474E"/>
    <w:rsid w:val="0083053E"/>
    <w:rsid w:val="00831B5E"/>
    <w:rsid w:val="00832F5B"/>
    <w:rsid w:val="00841AC4"/>
    <w:rsid w:val="00845A34"/>
    <w:rsid w:val="00852BBB"/>
    <w:rsid w:val="00856806"/>
    <w:rsid w:val="00856D3C"/>
    <w:rsid w:val="00860609"/>
    <w:rsid w:val="00863FC3"/>
    <w:rsid w:val="0087199F"/>
    <w:rsid w:val="00871CBD"/>
    <w:rsid w:val="00874C1A"/>
    <w:rsid w:val="00881800"/>
    <w:rsid w:val="00883A3E"/>
    <w:rsid w:val="0088579E"/>
    <w:rsid w:val="00885B2F"/>
    <w:rsid w:val="008875C1"/>
    <w:rsid w:val="00891E25"/>
    <w:rsid w:val="008926E5"/>
    <w:rsid w:val="008926F3"/>
    <w:rsid w:val="008A04D3"/>
    <w:rsid w:val="008B4F0F"/>
    <w:rsid w:val="008C1795"/>
    <w:rsid w:val="008C2254"/>
    <w:rsid w:val="008C3938"/>
    <w:rsid w:val="008C3A59"/>
    <w:rsid w:val="008C4B0D"/>
    <w:rsid w:val="008E1286"/>
    <w:rsid w:val="008E19F3"/>
    <w:rsid w:val="008F36CB"/>
    <w:rsid w:val="008F3C6D"/>
    <w:rsid w:val="008F6AAF"/>
    <w:rsid w:val="00901DB4"/>
    <w:rsid w:val="00901E1F"/>
    <w:rsid w:val="0090292E"/>
    <w:rsid w:val="00906E67"/>
    <w:rsid w:val="009144B1"/>
    <w:rsid w:val="00915ADA"/>
    <w:rsid w:val="0092097A"/>
    <w:rsid w:val="009222C9"/>
    <w:rsid w:val="009228CF"/>
    <w:rsid w:val="00925499"/>
    <w:rsid w:val="00930569"/>
    <w:rsid w:val="00932625"/>
    <w:rsid w:val="009343CC"/>
    <w:rsid w:val="009344C2"/>
    <w:rsid w:val="009412B0"/>
    <w:rsid w:val="0094645B"/>
    <w:rsid w:val="0094705C"/>
    <w:rsid w:val="00957739"/>
    <w:rsid w:val="00957B41"/>
    <w:rsid w:val="009631E0"/>
    <w:rsid w:val="009649D2"/>
    <w:rsid w:val="009660BD"/>
    <w:rsid w:val="009674F1"/>
    <w:rsid w:val="00977540"/>
    <w:rsid w:val="009834E2"/>
    <w:rsid w:val="00985DC8"/>
    <w:rsid w:val="009A52BA"/>
    <w:rsid w:val="009A69B1"/>
    <w:rsid w:val="009A700C"/>
    <w:rsid w:val="009C0ECA"/>
    <w:rsid w:val="009C45BA"/>
    <w:rsid w:val="009C7948"/>
    <w:rsid w:val="009C79BD"/>
    <w:rsid w:val="009D01A2"/>
    <w:rsid w:val="009D24BB"/>
    <w:rsid w:val="009D44DD"/>
    <w:rsid w:val="009D64B2"/>
    <w:rsid w:val="009D729E"/>
    <w:rsid w:val="009D7493"/>
    <w:rsid w:val="009E317D"/>
    <w:rsid w:val="009E31C0"/>
    <w:rsid w:val="009E3B52"/>
    <w:rsid w:val="009F2CB2"/>
    <w:rsid w:val="009F342D"/>
    <w:rsid w:val="009F3DA2"/>
    <w:rsid w:val="009F59EE"/>
    <w:rsid w:val="009F6CFC"/>
    <w:rsid w:val="00A069E2"/>
    <w:rsid w:val="00A07639"/>
    <w:rsid w:val="00A10289"/>
    <w:rsid w:val="00A106F8"/>
    <w:rsid w:val="00A11C90"/>
    <w:rsid w:val="00A1395B"/>
    <w:rsid w:val="00A13D4D"/>
    <w:rsid w:val="00A14701"/>
    <w:rsid w:val="00A16A29"/>
    <w:rsid w:val="00A16E82"/>
    <w:rsid w:val="00A252BA"/>
    <w:rsid w:val="00A26285"/>
    <w:rsid w:val="00A27A7B"/>
    <w:rsid w:val="00A36CBA"/>
    <w:rsid w:val="00A36D79"/>
    <w:rsid w:val="00A41EA4"/>
    <w:rsid w:val="00A44FE0"/>
    <w:rsid w:val="00A4618A"/>
    <w:rsid w:val="00A50D03"/>
    <w:rsid w:val="00A624BA"/>
    <w:rsid w:val="00A712B2"/>
    <w:rsid w:val="00A74214"/>
    <w:rsid w:val="00A7796E"/>
    <w:rsid w:val="00A9085F"/>
    <w:rsid w:val="00A92C95"/>
    <w:rsid w:val="00A93A25"/>
    <w:rsid w:val="00AA0920"/>
    <w:rsid w:val="00AA3055"/>
    <w:rsid w:val="00AA469A"/>
    <w:rsid w:val="00AA6E6D"/>
    <w:rsid w:val="00AA715C"/>
    <w:rsid w:val="00AA7977"/>
    <w:rsid w:val="00AA79D9"/>
    <w:rsid w:val="00AB50FF"/>
    <w:rsid w:val="00AC4BEC"/>
    <w:rsid w:val="00AC57BB"/>
    <w:rsid w:val="00AC614D"/>
    <w:rsid w:val="00AD1F39"/>
    <w:rsid w:val="00AD4BC3"/>
    <w:rsid w:val="00AD647D"/>
    <w:rsid w:val="00AE313F"/>
    <w:rsid w:val="00AE34F4"/>
    <w:rsid w:val="00AF042F"/>
    <w:rsid w:val="00B00C49"/>
    <w:rsid w:val="00B03105"/>
    <w:rsid w:val="00B03461"/>
    <w:rsid w:val="00B0766F"/>
    <w:rsid w:val="00B07F42"/>
    <w:rsid w:val="00B10787"/>
    <w:rsid w:val="00B11974"/>
    <w:rsid w:val="00B12CF8"/>
    <w:rsid w:val="00B13035"/>
    <w:rsid w:val="00B244B9"/>
    <w:rsid w:val="00B24559"/>
    <w:rsid w:val="00B27020"/>
    <w:rsid w:val="00B27178"/>
    <w:rsid w:val="00B310C3"/>
    <w:rsid w:val="00B42229"/>
    <w:rsid w:val="00B43ABC"/>
    <w:rsid w:val="00B44FA9"/>
    <w:rsid w:val="00B51125"/>
    <w:rsid w:val="00B51F55"/>
    <w:rsid w:val="00B52CDF"/>
    <w:rsid w:val="00B60D60"/>
    <w:rsid w:val="00B63CDD"/>
    <w:rsid w:val="00B65687"/>
    <w:rsid w:val="00B65A3B"/>
    <w:rsid w:val="00B67AF0"/>
    <w:rsid w:val="00B72C6B"/>
    <w:rsid w:val="00B72E16"/>
    <w:rsid w:val="00B73012"/>
    <w:rsid w:val="00B83D7B"/>
    <w:rsid w:val="00B91131"/>
    <w:rsid w:val="00B94E88"/>
    <w:rsid w:val="00B95BB2"/>
    <w:rsid w:val="00B95EBA"/>
    <w:rsid w:val="00BA04AB"/>
    <w:rsid w:val="00BA23D8"/>
    <w:rsid w:val="00BA35C9"/>
    <w:rsid w:val="00BA3EE0"/>
    <w:rsid w:val="00BB4D49"/>
    <w:rsid w:val="00BB6439"/>
    <w:rsid w:val="00BB675F"/>
    <w:rsid w:val="00BC331B"/>
    <w:rsid w:val="00BC331D"/>
    <w:rsid w:val="00BC3E08"/>
    <w:rsid w:val="00BD17B0"/>
    <w:rsid w:val="00BD3E59"/>
    <w:rsid w:val="00BD56B7"/>
    <w:rsid w:val="00BD5A47"/>
    <w:rsid w:val="00BD5FB6"/>
    <w:rsid w:val="00BE2BCC"/>
    <w:rsid w:val="00BE3896"/>
    <w:rsid w:val="00BE7068"/>
    <w:rsid w:val="00BE768F"/>
    <w:rsid w:val="00C03192"/>
    <w:rsid w:val="00C23E32"/>
    <w:rsid w:val="00C251C4"/>
    <w:rsid w:val="00C266F9"/>
    <w:rsid w:val="00C314C1"/>
    <w:rsid w:val="00C31917"/>
    <w:rsid w:val="00C40571"/>
    <w:rsid w:val="00C40D7F"/>
    <w:rsid w:val="00C41741"/>
    <w:rsid w:val="00C41DD9"/>
    <w:rsid w:val="00C427DA"/>
    <w:rsid w:val="00C42C49"/>
    <w:rsid w:val="00C42FAF"/>
    <w:rsid w:val="00C568FB"/>
    <w:rsid w:val="00C56D0A"/>
    <w:rsid w:val="00C72FDA"/>
    <w:rsid w:val="00C73AA7"/>
    <w:rsid w:val="00C73DAB"/>
    <w:rsid w:val="00C85569"/>
    <w:rsid w:val="00C863A3"/>
    <w:rsid w:val="00C864DC"/>
    <w:rsid w:val="00C90075"/>
    <w:rsid w:val="00C915B4"/>
    <w:rsid w:val="00C94EEA"/>
    <w:rsid w:val="00CA1722"/>
    <w:rsid w:val="00CA172B"/>
    <w:rsid w:val="00CA452F"/>
    <w:rsid w:val="00CA6098"/>
    <w:rsid w:val="00CA7673"/>
    <w:rsid w:val="00CB1227"/>
    <w:rsid w:val="00CB1255"/>
    <w:rsid w:val="00CB18B1"/>
    <w:rsid w:val="00CB38CA"/>
    <w:rsid w:val="00CB66A2"/>
    <w:rsid w:val="00CB6F2B"/>
    <w:rsid w:val="00CC1067"/>
    <w:rsid w:val="00CC2EC2"/>
    <w:rsid w:val="00CD3324"/>
    <w:rsid w:val="00CD6162"/>
    <w:rsid w:val="00CE4309"/>
    <w:rsid w:val="00CE6C6E"/>
    <w:rsid w:val="00CF42B9"/>
    <w:rsid w:val="00CF580B"/>
    <w:rsid w:val="00CF7819"/>
    <w:rsid w:val="00D01832"/>
    <w:rsid w:val="00D04527"/>
    <w:rsid w:val="00D21C96"/>
    <w:rsid w:val="00D30854"/>
    <w:rsid w:val="00D31127"/>
    <w:rsid w:val="00D33134"/>
    <w:rsid w:val="00D366B5"/>
    <w:rsid w:val="00D4052C"/>
    <w:rsid w:val="00D447AC"/>
    <w:rsid w:val="00D4538C"/>
    <w:rsid w:val="00D4539F"/>
    <w:rsid w:val="00D458F0"/>
    <w:rsid w:val="00D472C6"/>
    <w:rsid w:val="00D5079D"/>
    <w:rsid w:val="00D54957"/>
    <w:rsid w:val="00D55BD2"/>
    <w:rsid w:val="00D57CA6"/>
    <w:rsid w:val="00D6041B"/>
    <w:rsid w:val="00D60D98"/>
    <w:rsid w:val="00D61018"/>
    <w:rsid w:val="00D6265B"/>
    <w:rsid w:val="00D72F33"/>
    <w:rsid w:val="00D7707C"/>
    <w:rsid w:val="00D80B6D"/>
    <w:rsid w:val="00D80CAD"/>
    <w:rsid w:val="00D8513A"/>
    <w:rsid w:val="00D85BBB"/>
    <w:rsid w:val="00D90628"/>
    <w:rsid w:val="00D92D49"/>
    <w:rsid w:val="00D930E7"/>
    <w:rsid w:val="00D93623"/>
    <w:rsid w:val="00D93D7A"/>
    <w:rsid w:val="00D9690A"/>
    <w:rsid w:val="00DA073A"/>
    <w:rsid w:val="00DA08E6"/>
    <w:rsid w:val="00DA50BA"/>
    <w:rsid w:val="00DA55A8"/>
    <w:rsid w:val="00DA7B87"/>
    <w:rsid w:val="00DB0266"/>
    <w:rsid w:val="00DB63D9"/>
    <w:rsid w:val="00DB7E77"/>
    <w:rsid w:val="00DC0B27"/>
    <w:rsid w:val="00DC1667"/>
    <w:rsid w:val="00DC30D0"/>
    <w:rsid w:val="00DC7E88"/>
    <w:rsid w:val="00DD3AB0"/>
    <w:rsid w:val="00DD68B5"/>
    <w:rsid w:val="00DD7FC1"/>
    <w:rsid w:val="00DF0000"/>
    <w:rsid w:val="00DF020C"/>
    <w:rsid w:val="00DF05CC"/>
    <w:rsid w:val="00DF5A2C"/>
    <w:rsid w:val="00DF7D1B"/>
    <w:rsid w:val="00E00DC6"/>
    <w:rsid w:val="00E01A0A"/>
    <w:rsid w:val="00E02B4A"/>
    <w:rsid w:val="00E058A3"/>
    <w:rsid w:val="00E06422"/>
    <w:rsid w:val="00E11439"/>
    <w:rsid w:val="00E151F3"/>
    <w:rsid w:val="00E161C6"/>
    <w:rsid w:val="00E17539"/>
    <w:rsid w:val="00E2483C"/>
    <w:rsid w:val="00E26CF0"/>
    <w:rsid w:val="00E31346"/>
    <w:rsid w:val="00E376F8"/>
    <w:rsid w:val="00E40550"/>
    <w:rsid w:val="00E41C99"/>
    <w:rsid w:val="00E423B5"/>
    <w:rsid w:val="00E43F59"/>
    <w:rsid w:val="00E518BB"/>
    <w:rsid w:val="00E57F9B"/>
    <w:rsid w:val="00E6726D"/>
    <w:rsid w:val="00E77BCA"/>
    <w:rsid w:val="00E81433"/>
    <w:rsid w:val="00E81C95"/>
    <w:rsid w:val="00E852A3"/>
    <w:rsid w:val="00E93958"/>
    <w:rsid w:val="00EA01CC"/>
    <w:rsid w:val="00EA0C1C"/>
    <w:rsid w:val="00EA3819"/>
    <w:rsid w:val="00EA477A"/>
    <w:rsid w:val="00EA4F68"/>
    <w:rsid w:val="00EB1036"/>
    <w:rsid w:val="00EB4785"/>
    <w:rsid w:val="00EB48E6"/>
    <w:rsid w:val="00EB716B"/>
    <w:rsid w:val="00EC3BED"/>
    <w:rsid w:val="00EC7BC1"/>
    <w:rsid w:val="00EC7F0E"/>
    <w:rsid w:val="00ED1BBB"/>
    <w:rsid w:val="00ED2D1F"/>
    <w:rsid w:val="00ED47B9"/>
    <w:rsid w:val="00ED58E9"/>
    <w:rsid w:val="00ED79D6"/>
    <w:rsid w:val="00EE1831"/>
    <w:rsid w:val="00EE63BE"/>
    <w:rsid w:val="00EE6922"/>
    <w:rsid w:val="00EF0284"/>
    <w:rsid w:val="00EF18D9"/>
    <w:rsid w:val="00EF1AE7"/>
    <w:rsid w:val="00EF2F7C"/>
    <w:rsid w:val="00EF318B"/>
    <w:rsid w:val="00F01A8D"/>
    <w:rsid w:val="00F01BFC"/>
    <w:rsid w:val="00F101B3"/>
    <w:rsid w:val="00F10A3C"/>
    <w:rsid w:val="00F13FDA"/>
    <w:rsid w:val="00F14982"/>
    <w:rsid w:val="00F14B6E"/>
    <w:rsid w:val="00F20D55"/>
    <w:rsid w:val="00F21D05"/>
    <w:rsid w:val="00F250B8"/>
    <w:rsid w:val="00F253CD"/>
    <w:rsid w:val="00F2598D"/>
    <w:rsid w:val="00F259AE"/>
    <w:rsid w:val="00F30F02"/>
    <w:rsid w:val="00F31B7E"/>
    <w:rsid w:val="00F336A2"/>
    <w:rsid w:val="00F33826"/>
    <w:rsid w:val="00F34E7C"/>
    <w:rsid w:val="00F3561E"/>
    <w:rsid w:val="00F36EC6"/>
    <w:rsid w:val="00F4229F"/>
    <w:rsid w:val="00F44AEB"/>
    <w:rsid w:val="00F45620"/>
    <w:rsid w:val="00F46BBD"/>
    <w:rsid w:val="00F51B95"/>
    <w:rsid w:val="00F5432C"/>
    <w:rsid w:val="00F5470D"/>
    <w:rsid w:val="00F5611C"/>
    <w:rsid w:val="00F637FB"/>
    <w:rsid w:val="00F66B41"/>
    <w:rsid w:val="00F712AB"/>
    <w:rsid w:val="00F77D7D"/>
    <w:rsid w:val="00F80CD0"/>
    <w:rsid w:val="00F82DDB"/>
    <w:rsid w:val="00F838FF"/>
    <w:rsid w:val="00F83CDB"/>
    <w:rsid w:val="00F8771B"/>
    <w:rsid w:val="00F90003"/>
    <w:rsid w:val="00F9173C"/>
    <w:rsid w:val="00F94180"/>
    <w:rsid w:val="00FA1C73"/>
    <w:rsid w:val="00FA6B22"/>
    <w:rsid w:val="00FA73E5"/>
    <w:rsid w:val="00FB18D0"/>
    <w:rsid w:val="00FB2ED6"/>
    <w:rsid w:val="00FB3309"/>
    <w:rsid w:val="00FB53F1"/>
    <w:rsid w:val="00FC0973"/>
    <w:rsid w:val="00FC23FE"/>
    <w:rsid w:val="00FC2522"/>
    <w:rsid w:val="00FC5B56"/>
    <w:rsid w:val="00FC7D97"/>
    <w:rsid w:val="00FD4B12"/>
    <w:rsid w:val="00FD7195"/>
    <w:rsid w:val="00FD747A"/>
    <w:rsid w:val="00FE10BB"/>
    <w:rsid w:val="00FE3038"/>
    <w:rsid w:val="00FE4313"/>
    <w:rsid w:val="00FF38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34"/>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78525A"/>
    <w:rPr>
      <w:i/>
      <w:iCs/>
    </w:rPr>
  </w:style>
  <w:style w:type="character" w:customStyle="1" w:styleId="apple-converted-space">
    <w:name w:val="apple-converted-space"/>
    <w:basedOn w:val="Standardnpsmoodstavce"/>
    <w:rsid w:val="0078525A"/>
  </w:style>
  <w:style w:type="character" w:customStyle="1" w:styleId="UnresolvedMention">
    <w:name w:val="Unresolved Mention"/>
    <w:basedOn w:val="Standardnpsmoodstavce"/>
    <w:uiPriority w:val="99"/>
    <w:semiHidden/>
    <w:unhideWhenUsed/>
    <w:rsid w:val="00FA6B22"/>
    <w:rPr>
      <w:color w:val="605E5C"/>
      <w:shd w:val="clear" w:color="auto" w:fill="E1DFDD"/>
    </w:rPr>
  </w:style>
  <w:style w:type="paragraph" w:styleId="Revize">
    <w:name w:val="Revision"/>
    <w:hidden/>
    <w:uiPriority w:val="99"/>
    <w:semiHidden/>
    <w:rsid w:val="00EA4F68"/>
    <w:pPr>
      <w:widowControl/>
      <w:autoSpaceDE/>
      <w:autoSpaceDN/>
    </w:pPr>
    <w:rPr>
      <w:rFonts w:ascii="F015TEELig" w:eastAsia="F015TEELig" w:hAnsi="F015TEELig" w:cs="F015TEELig"/>
      <w:lang w:val="cs-CZ" w:eastAsia="cs-CZ" w:bidi="cs-CZ"/>
    </w:rPr>
  </w:style>
  <w:style w:type="character" w:styleId="Siln">
    <w:name w:val="Strong"/>
    <w:basedOn w:val="Standardnpsmoodstavce"/>
    <w:uiPriority w:val="22"/>
    <w:qFormat/>
    <w:rsid w:val="009649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36460">
      <w:bodyDiv w:val="1"/>
      <w:marLeft w:val="0"/>
      <w:marRight w:val="0"/>
      <w:marTop w:val="0"/>
      <w:marBottom w:val="0"/>
      <w:divBdr>
        <w:top w:val="none" w:sz="0" w:space="0" w:color="auto"/>
        <w:left w:val="none" w:sz="0" w:space="0" w:color="auto"/>
        <w:bottom w:val="none" w:sz="0" w:space="0" w:color="auto"/>
        <w:right w:val="none" w:sz="0" w:space="0" w:color="auto"/>
      </w:divBdr>
    </w:div>
    <w:div w:id="104665014">
      <w:bodyDiv w:val="1"/>
      <w:marLeft w:val="0"/>
      <w:marRight w:val="0"/>
      <w:marTop w:val="0"/>
      <w:marBottom w:val="0"/>
      <w:divBdr>
        <w:top w:val="none" w:sz="0" w:space="0" w:color="auto"/>
        <w:left w:val="none" w:sz="0" w:space="0" w:color="auto"/>
        <w:bottom w:val="none" w:sz="0" w:space="0" w:color="auto"/>
        <w:right w:val="none" w:sz="0" w:space="0" w:color="auto"/>
      </w:divBdr>
    </w:div>
    <w:div w:id="134376578">
      <w:bodyDiv w:val="1"/>
      <w:marLeft w:val="0"/>
      <w:marRight w:val="0"/>
      <w:marTop w:val="0"/>
      <w:marBottom w:val="0"/>
      <w:divBdr>
        <w:top w:val="none" w:sz="0" w:space="0" w:color="auto"/>
        <w:left w:val="none" w:sz="0" w:space="0" w:color="auto"/>
        <w:bottom w:val="none" w:sz="0" w:space="0" w:color="auto"/>
        <w:right w:val="none" w:sz="0" w:space="0" w:color="auto"/>
      </w:divBdr>
    </w:div>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768620487">
      <w:bodyDiv w:val="1"/>
      <w:marLeft w:val="0"/>
      <w:marRight w:val="0"/>
      <w:marTop w:val="0"/>
      <w:marBottom w:val="0"/>
      <w:divBdr>
        <w:top w:val="none" w:sz="0" w:space="0" w:color="auto"/>
        <w:left w:val="none" w:sz="0" w:space="0" w:color="auto"/>
        <w:bottom w:val="none" w:sz="0" w:space="0" w:color="auto"/>
        <w:right w:val="none" w:sz="0" w:space="0" w:color="auto"/>
      </w:divBdr>
    </w:div>
    <w:div w:id="996148203">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165975158">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258439728">
      <w:bodyDiv w:val="1"/>
      <w:marLeft w:val="0"/>
      <w:marRight w:val="0"/>
      <w:marTop w:val="0"/>
      <w:marBottom w:val="0"/>
      <w:divBdr>
        <w:top w:val="none" w:sz="0" w:space="0" w:color="auto"/>
        <w:left w:val="none" w:sz="0" w:space="0" w:color="auto"/>
        <w:bottom w:val="none" w:sz="0" w:space="0" w:color="auto"/>
        <w:right w:val="none" w:sz="0" w:space="0" w:color="auto"/>
      </w:divBdr>
    </w:div>
    <w:div w:id="1398286368">
      <w:bodyDiv w:val="1"/>
      <w:marLeft w:val="0"/>
      <w:marRight w:val="0"/>
      <w:marTop w:val="0"/>
      <w:marBottom w:val="0"/>
      <w:divBdr>
        <w:top w:val="none" w:sz="0" w:space="0" w:color="auto"/>
        <w:left w:val="none" w:sz="0" w:space="0" w:color="auto"/>
        <w:bottom w:val="none" w:sz="0" w:space="0" w:color="auto"/>
        <w:right w:val="none" w:sz="0" w:space="0" w:color="auto"/>
      </w:divBdr>
    </w:div>
    <w:div w:id="1506087631">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48906999">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638217657">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mailto:michaela.sahulova@bcas.cz"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9C696A-C631-407F-BF4D-E7D0803B6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823</Words>
  <Characters>4862</Characters>
  <Application>Microsoft Office Word</Application>
  <DocSecurity>0</DocSecurity>
  <Lines>40</Lines>
  <Paragraphs>11</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Michaela Sahulová</cp:lastModifiedBy>
  <cp:revision>3</cp:revision>
  <dcterms:created xsi:type="dcterms:W3CDTF">2023-03-24T13:43:00Z</dcterms:created>
  <dcterms:modified xsi:type="dcterms:W3CDTF">2023-03-24T13:49:00Z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