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0149BA26" w:rsidR="00D31127" w:rsidRPr="00EC23B6" w:rsidRDefault="00D31127" w:rsidP="0025264B">
      <w:pPr>
        <w:rPr>
          <w:rFonts w:ascii="Arial" w:hAnsi="Arial" w:cs="Arial"/>
          <w:b/>
          <w:sz w:val="20"/>
          <w:szCs w:val="20"/>
        </w:rPr>
        <w:sectPr w:rsidR="00D31127" w:rsidRPr="00EC23B6" w:rsidSect="00D80B6D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2B0B0AA9" w14:textId="68501085" w:rsidR="003F061B" w:rsidRPr="00EC23B6" w:rsidRDefault="00956FDD" w:rsidP="00956FDD">
      <w:pPr>
        <w:tabs>
          <w:tab w:val="left" w:pos="20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450ACBE" w14:textId="071A7828" w:rsidR="0038401E" w:rsidRPr="007F7DBD" w:rsidRDefault="00924A06" w:rsidP="00141972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7F7DBD">
        <w:rPr>
          <w:rFonts w:asciiTheme="minorHAnsi" w:hAnsiTheme="minorHAnsi" w:cstheme="minorHAnsi"/>
          <w:b/>
          <w:sz w:val="30"/>
          <w:szCs w:val="30"/>
        </w:rPr>
        <w:t>S</w:t>
      </w:r>
      <w:r w:rsidR="00833D5E">
        <w:rPr>
          <w:rFonts w:asciiTheme="minorHAnsi" w:hAnsiTheme="minorHAnsi" w:cstheme="minorHAnsi"/>
          <w:b/>
          <w:sz w:val="30"/>
          <w:szCs w:val="30"/>
        </w:rPr>
        <w:t>kupina</w:t>
      </w:r>
      <w:r w:rsidRPr="007F7DBD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D53527" w:rsidRPr="007F7DBD">
        <w:rPr>
          <w:rFonts w:asciiTheme="minorHAnsi" w:hAnsiTheme="minorHAnsi" w:cstheme="minorHAnsi"/>
          <w:b/>
          <w:sz w:val="30"/>
          <w:szCs w:val="30"/>
        </w:rPr>
        <w:t xml:space="preserve">Broker </w:t>
      </w:r>
      <w:proofErr w:type="spellStart"/>
      <w:r w:rsidR="00D53527" w:rsidRPr="007F7DBD">
        <w:rPr>
          <w:rFonts w:asciiTheme="minorHAnsi" w:hAnsiTheme="minorHAnsi" w:cstheme="minorHAnsi"/>
          <w:b/>
          <w:sz w:val="30"/>
          <w:szCs w:val="30"/>
        </w:rPr>
        <w:t>Consulting</w:t>
      </w:r>
      <w:proofErr w:type="spellEnd"/>
      <w:r w:rsidR="00D53527" w:rsidRPr="007F7DBD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227C05" w:rsidRPr="007F7DBD">
        <w:rPr>
          <w:rFonts w:asciiTheme="minorHAnsi" w:hAnsiTheme="minorHAnsi" w:cstheme="minorHAnsi"/>
          <w:b/>
          <w:sz w:val="30"/>
          <w:szCs w:val="30"/>
        </w:rPr>
        <w:t>dosáhla mez</w:t>
      </w:r>
      <w:r w:rsidR="00A2356A">
        <w:rPr>
          <w:rFonts w:asciiTheme="minorHAnsi" w:hAnsiTheme="minorHAnsi" w:cstheme="minorHAnsi"/>
          <w:b/>
          <w:sz w:val="30"/>
          <w:szCs w:val="30"/>
        </w:rPr>
        <w:t>iročního růst</w:t>
      </w:r>
      <w:r w:rsidR="002D5D62">
        <w:rPr>
          <w:rFonts w:asciiTheme="minorHAnsi" w:hAnsiTheme="minorHAnsi" w:cstheme="minorHAnsi"/>
          <w:b/>
          <w:sz w:val="30"/>
          <w:szCs w:val="30"/>
        </w:rPr>
        <w:t>u</w:t>
      </w:r>
      <w:r w:rsidR="00A2356A">
        <w:rPr>
          <w:rFonts w:asciiTheme="minorHAnsi" w:hAnsiTheme="minorHAnsi" w:cstheme="minorHAnsi"/>
          <w:b/>
          <w:sz w:val="30"/>
          <w:szCs w:val="30"/>
        </w:rPr>
        <w:t xml:space="preserve"> obratu </w:t>
      </w:r>
      <w:r w:rsidR="00833D5E">
        <w:rPr>
          <w:rFonts w:asciiTheme="minorHAnsi" w:hAnsiTheme="minorHAnsi" w:cstheme="minorHAnsi"/>
          <w:b/>
          <w:sz w:val="30"/>
          <w:szCs w:val="30"/>
        </w:rPr>
        <w:t>o 5,6 procenta. Hlavním</w:t>
      </w:r>
      <w:r w:rsidR="002D5D62">
        <w:rPr>
          <w:rFonts w:asciiTheme="minorHAnsi" w:hAnsiTheme="minorHAnsi" w:cstheme="minorHAnsi"/>
          <w:b/>
          <w:sz w:val="30"/>
          <w:szCs w:val="30"/>
        </w:rPr>
        <w:t>i tahouny</w:t>
      </w:r>
      <w:r w:rsidR="00833D5E">
        <w:rPr>
          <w:rFonts w:asciiTheme="minorHAnsi" w:hAnsiTheme="minorHAnsi" w:cstheme="minorHAnsi"/>
          <w:b/>
          <w:sz w:val="30"/>
          <w:szCs w:val="30"/>
        </w:rPr>
        <w:t xml:space="preserve"> roku byly investice</w:t>
      </w:r>
    </w:p>
    <w:p w14:paraId="3F006940" w14:textId="77777777" w:rsidR="00956FDD" w:rsidRPr="00EC23B6" w:rsidRDefault="00956FDD" w:rsidP="00956FDD">
      <w:pPr>
        <w:jc w:val="center"/>
        <w:rPr>
          <w:rFonts w:ascii="Arial" w:hAnsi="Arial" w:cs="Arial"/>
          <w:bCs/>
          <w:sz w:val="20"/>
          <w:szCs w:val="20"/>
        </w:rPr>
      </w:pPr>
    </w:p>
    <w:p w14:paraId="69AB25F2" w14:textId="77777777" w:rsidR="00AF6BAA" w:rsidRDefault="00AF6BAA" w:rsidP="001E00D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30492A7" w14:textId="1EBDD454" w:rsidR="00CA228E" w:rsidRPr="00722E1B" w:rsidRDefault="0038398B" w:rsidP="005244A9">
      <w:pPr>
        <w:jc w:val="both"/>
        <w:rPr>
          <w:rFonts w:asciiTheme="minorHAnsi" w:hAnsiTheme="minorHAnsi" w:cstheme="minorHAnsi"/>
          <w:b/>
        </w:rPr>
      </w:pPr>
      <w:r w:rsidRPr="00722E1B">
        <w:rPr>
          <w:rFonts w:asciiTheme="minorHAnsi" w:hAnsiTheme="minorHAnsi" w:cstheme="minorHAnsi"/>
          <w:i/>
          <w:iCs/>
        </w:rPr>
        <w:t xml:space="preserve">Praha, </w:t>
      </w:r>
      <w:r w:rsidR="008A5615">
        <w:rPr>
          <w:rFonts w:asciiTheme="minorHAnsi" w:hAnsiTheme="minorHAnsi" w:cstheme="minorHAnsi"/>
          <w:i/>
          <w:iCs/>
        </w:rPr>
        <w:t>27</w:t>
      </w:r>
      <w:r w:rsidR="002D5D62" w:rsidRPr="002D5D62">
        <w:rPr>
          <w:rFonts w:asciiTheme="minorHAnsi" w:hAnsiTheme="minorHAnsi" w:cstheme="minorHAnsi"/>
          <w:i/>
          <w:iCs/>
        </w:rPr>
        <w:t>.</w:t>
      </w:r>
      <w:r w:rsidR="003B3EAF" w:rsidRPr="002D5D62">
        <w:rPr>
          <w:rFonts w:asciiTheme="minorHAnsi" w:hAnsiTheme="minorHAnsi" w:cstheme="minorHAnsi"/>
          <w:i/>
          <w:iCs/>
        </w:rPr>
        <w:t xml:space="preserve"> </w:t>
      </w:r>
      <w:r w:rsidR="00010F78" w:rsidRPr="002D5D62">
        <w:rPr>
          <w:rFonts w:asciiTheme="minorHAnsi" w:hAnsiTheme="minorHAnsi" w:cstheme="minorHAnsi"/>
          <w:i/>
          <w:iCs/>
        </w:rPr>
        <w:t>února</w:t>
      </w:r>
      <w:r w:rsidR="00A3181A" w:rsidRPr="00722E1B">
        <w:rPr>
          <w:rFonts w:asciiTheme="minorHAnsi" w:hAnsiTheme="minorHAnsi" w:cstheme="minorHAnsi"/>
          <w:i/>
          <w:iCs/>
        </w:rPr>
        <w:t xml:space="preserve"> </w:t>
      </w:r>
      <w:r w:rsidRPr="00722E1B">
        <w:rPr>
          <w:rFonts w:asciiTheme="minorHAnsi" w:hAnsiTheme="minorHAnsi" w:cstheme="minorHAnsi"/>
          <w:i/>
          <w:iCs/>
        </w:rPr>
        <w:t>202</w:t>
      </w:r>
      <w:r w:rsidR="00010F78" w:rsidRPr="00722E1B">
        <w:rPr>
          <w:rFonts w:asciiTheme="minorHAnsi" w:hAnsiTheme="minorHAnsi" w:cstheme="minorHAnsi"/>
          <w:i/>
          <w:iCs/>
        </w:rPr>
        <w:t>3</w:t>
      </w:r>
      <w:r w:rsidRPr="00722E1B">
        <w:rPr>
          <w:rFonts w:asciiTheme="minorHAnsi" w:hAnsiTheme="minorHAnsi" w:cstheme="minorHAnsi"/>
        </w:rPr>
        <w:t xml:space="preserve"> –</w:t>
      </w:r>
      <w:r w:rsidRPr="00722E1B">
        <w:rPr>
          <w:rFonts w:asciiTheme="minorHAnsi" w:hAnsiTheme="minorHAnsi" w:cstheme="minorHAnsi"/>
          <w:b/>
        </w:rPr>
        <w:t xml:space="preserve"> </w:t>
      </w:r>
      <w:r w:rsidR="00B246B6" w:rsidRPr="00722E1B">
        <w:rPr>
          <w:rFonts w:asciiTheme="minorHAnsi" w:hAnsiTheme="minorHAnsi" w:cstheme="minorHAnsi"/>
          <w:b/>
        </w:rPr>
        <w:t xml:space="preserve">Podle předběžných hospodářských výsledků </w:t>
      </w:r>
      <w:r w:rsidR="00555EC2" w:rsidRPr="00722E1B">
        <w:rPr>
          <w:rFonts w:asciiTheme="minorHAnsi" w:hAnsiTheme="minorHAnsi" w:cstheme="minorHAnsi"/>
          <w:b/>
        </w:rPr>
        <w:t>vzrostl za předchozí rok obrat</w:t>
      </w:r>
      <w:r w:rsidR="00A2356A" w:rsidRPr="00722E1B">
        <w:rPr>
          <w:rFonts w:asciiTheme="minorHAnsi" w:hAnsiTheme="minorHAnsi" w:cstheme="minorHAnsi"/>
          <w:b/>
        </w:rPr>
        <w:t xml:space="preserve"> širší</w:t>
      </w:r>
      <w:r w:rsidR="00555EC2" w:rsidRPr="00722E1B">
        <w:rPr>
          <w:rFonts w:asciiTheme="minorHAnsi" w:hAnsiTheme="minorHAnsi" w:cstheme="minorHAnsi"/>
          <w:b/>
        </w:rPr>
        <w:t xml:space="preserve"> skupiny Broker </w:t>
      </w:r>
      <w:proofErr w:type="spellStart"/>
      <w:r w:rsidR="00555EC2" w:rsidRPr="00722E1B">
        <w:rPr>
          <w:rFonts w:asciiTheme="minorHAnsi" w:hAnsiTheme="minorHAnsi" w:cstheme="minorHAnsi"/>
          <w:b/>
        </w:rPr>
        <w:t>Consulting</w:t>
      </w:r>
      <w:proofErr w:type="spellEnd"/>
      <w:r w:rsidR="00555EC2" w:rsidRPr="00722E1B">
        <w:rPr>
          <w:rFonts w:asciiTheme="minorHAnsi" w:hAnsiTheme="minorHAnsi" w:cstheme="minorHAnsi"/>
          <w:b/>
        </w:rPr>
        <w:t xml:space="preserve"> </w:t>
      </w:r>
      <w:r w:rsidR="002D5D62">
        <w:rPr>
          <w:rFonts w:asciiTheme="minorHAnsi" w:hAnsiTheme="minorHAnsi" w:cstheme="minorHAnsi"/>
          <w:b/>
        </w:rPr>
        <w:t>v Česku</w:t>
      </w:r>
      <w:r w:rsidR="00082EA8">
        <w:rPr>
          <w:rFonts w:asciiTheme="minorHAnsi" w:hAnsiTheme="minorHAnsi" w:cstheme="minorHAnsi"/>
          <w:b/>
        </w:rPr>
        <w:t xml:space="preserve"> a na Slovenku </w:t>
      </w:r>
      <w:r w:rsidR="00555EC2" w:rsidRPr="00722E1B">
        <w:rPr>
          <w:rFonts w:asciiTheme="minorHAnsi" w:hAnsiTheme="minorHAnsi" w:cstheme="minorHAnsi"/>
          <w:b/>
        </w:rPr>
        <w:t>o 5,6 procen</w:t>
      </w:r>
      <w:r w:rsidR="00A2356A" w:rsidRPr="00722E1B">
        <w:rPr>
          <w:rFonts w:asciiTheme="minorHAnsi" w:hAnsiTheme="minorHAnsi" w:cstheme="minorHAnsi"/>
          <w:b/>
        </w:rPr>
        <w:t xml:space="preserve">ta na 2,8 miliardy korun. </w:t>
      </w:r>
      <w:r w:rsidR="00082EA8">
        <w:rPr>
          <w:rFonts w:asciiTheme="minorHAnsi" w:hAnsiTheme="minorHAnsi" w:cstheme="minorHAnsi"/>
          <w:b/>
        </w:rPr>
        <w:t xml:space="preserve">Broker </w:t>
      </w:r>
      <w:proofErr w:type="spellStart"/>
      <w:r w:rsidR="00082EA8">
        <w:rPr>
          <w:rFonts w:asciiTheme="minorHAnsi" w:hAnsiTheme="minorHAnsi" w:cstheme="minorHAnsi"/>
          <w:b/>
        </w:rPr>
        <w:t>Consulting</w:t>
      </w:r>
      <w:proofErr w:type="spellEnd"/>
      <w:r w:rsidR="00082EA8">
        <w:rPr>
          <w:rFonts w:asciiTheme="minorHAnsi" w:hAnsiTheme="minorHAnsi" w:cstheme="minorHAnsi"/>
          <w:b/>
        </w:rPr>
        <w:t xml:space="preserve"> Česk</w:t>
      </w:r>
      <w:r w:rsidR="0003280E">
        <w:rPr>
          <w:rFonts w:asciiTheme="minorHAnsi" w:hAnsiTheme="minorHAnsi" w:cstheme="minorHAnsi"/>
          <w:b/>
        </w:rPr>
        <w:t>á</w:t>
      </w:r>
      <w:r w:rsidR="00082EA8">
        <w:rPr>
          <w:rFonts w:asciiTheme="minorHAnsi" w:hAnsiTheme="minorHAnsi" w:cstheme="minorHAnsi"/>
          <w:b/>
        </w:rPr>
        <w:t xml:space="preserve"> republi</w:t>
      </w:r>
      <w:r w:rsidR="0003280E">
        <w:rPr>
          <w:rFonts w:asciiTheme="minorHAnsi" w:hAnsiTheme="minorHAnsi" w:cstheme="minorHAnsi"/>
          <w:b/>
        </w:rPr>
        <w:t>ka</w:t>
      </w:r>
      <w:r w:rsidR="00A2356A" w:rsidRPr="00722E1B">
        <w:rPr>
          <w:rFonts w:asciiTheme="minorHAnsi" w:hAnsiTheme="minorHAnsi" w:cstheme="minorHAnsi"/>
          <w:b/>
        </w:rPr>
        <w:t xml:space="preserve"> registruje obdobný </w:t>
      </w:r>
      <w:r w:rsidR="00D874AE" w:rsidRPr="00722E1B">
        <w:rPr>
          <w:rFonts w:asciiTheme="minorHAnsi" w:hAnsiTheme="minorHAnsi" w:cstheme="minorHAnsi"/>
          <w:b/>
        </w:rPr>
        <w:t xml:space="preserve">meziroční </w:t>
      </w:r>
      <w:r w:rsidR="00082EA8">
        <w:rPr>
          <w:rFonts w:asciiTheme="minorHAnsi" w:hAnsiTheme="minorHAnsi" w:cstheme="minorHAnsi"/>
          <w:b/>
        </w:rPr>
        <w:t xml:space="preserve">růst, konkrétně ve výši 5,4 procenta. </w:t>
      </w:r>
      <w:r w:rsidR="00CA228E" w:rsidRPr="00722E1B">
        <w:rPr>
          <w:rFonts w:asciiTheme="minorHAnsi" w:hAnsiTheme="minorHAnsi" w:cstheme="minorHAnsi"/>
          <w:b/>
        </w:rPr>
        <w:t>Širší skupina</w:t>
      </w:r>
      <w:r w:rsidR="002D5D62">
        <w:rPr>
          <w:rFonts w:asciiTheme="minorHAnsi" w:hAnsiTheme="minorHAnsi" w:cstheme="minorHAnsi"/>
          <w:b/>
        </w:rPr>
        <w:t>, ale</w:t>
      </w:r>
      <w:r w:rsidR="009041AB">
        <w:rPr>
          <w:rFonts w:asciiTheme="minorHAnsi" w:hAnsiTheme="minorHAnsi" w:cstheme="minorHAnsi"/>
          <w:b/>
        </w:rPr>
        <w:t xml:space="preserve"> i</w:t>
      </w:r>
      <w:r w:rsidR="00CA228E" w:rsidRPr="00722E1B">
        <w:rPr>
          <w:rFonts w:asciiTheme="minorHAnsi" w:hAnsiTheme="minorHAnsi" w:cstheme="minorHAnsi"/>
          <w:b/>
        </w:rPr>
        <w:t xml:space="preserve"> akciová společnost</w:t>
      </w:r>
      <w:r w:rsidR="002D5D62">
        <w:rPr>
          <w:rFonts w:asciiTheme="minorHAnsi" w:hAnsiTheme="minorHAnsi" w:cstheme="minorHAnsi"/>
          <w:b/>
        </w:rPr>
        <w:t xml:space="preserve"> Broker </w:t>
      </w:r>
      <w:proofErr w:type="spellStart"/>
      <w:r w:rsidR="002D5D62">
        <w:rPr>
          <w:rFonts w:asciiTheme="minorHAnsi" w:hAnsiTheme="minorHAnsi" w:cstheme="minorHAnsi"/>
          <w:b/>
        </w:rPr>
        <w:t>Consulting</w:t>
      </w:r>
      <w:proofErr w:type="spellEnd"/>
      <w:r w:rsidR="00CA228E" w:rsidRPr="00722E1B">
        <w:rPr>
          <w:rFonts w:asciiTheme="minorHAnsi" w:hAnsiTheme="minorHAnsi" w:cstheme="minorHAnsi"/>
          <w:b/>
        </w:rPr>
        <w:t xml:space="preserve"> </w:t>
      </w:r>
      <w:r w:rsidR="00A2356A" w:rsidRPr="00722E1B">
        <w:rPr>
          <w:rFonts w:asciiTheme="minorHAnsi" w:hAnsiTheme="minorHAnsi" w:cstheme="minorHAnsi"/>
          <w:b/>
        </w:rPr>
        <w:t xml:space="preserve">tak </w:t>
      </w:r>
      <w:r w:rsidR="009C3BFA" w:rsidRPr="00722E1B">
        <w:rPr>
          <w:rFonts w:asciiTheme="minorHAnsi" w:hAnsiTheme="minorHAnsi" w:cstheme="minorHAnsi"/>
          <w:b/>
        </w:rPr>
        <w:t>rostly</w:t>
      </w:r>
      <w:r w:rsidR="00CA228E" w:rsidRPr="00722E1B">
        <w:rPr>
          <w:rFonts w:asciiTheme="minorHAnsi" w:hAnsiTheme="minorHAnsi" w:cstheme="minorHAnsi"/>
          <w:b/>
        </w:rPr>
        <w:t xml:space="preserve"> již po </w:t>
      </w:r>
      <w:r w:rsidR="009C3BFA" w:rsidRPr="00722E1B">
        <w:rPr>
          <w:rFonts w:asciiTheme="minorHAnsi" w:hAnsiTheme="minorHAnsi" w:cstheme="minorHAnsi"/>
          <w:b/>
        </w:rPr>
        <w:t>čtyřia</w:t>
      </w:r>
      <w:r w:rsidR="00CA228E" w:rsidRPr="00722E1B">
        <w:rPr>
          <w:rFonts w:asciiTheme="minorHAnsi" w:hAnsiTheme="minorHAnsi" w:cstheme="minorHAnsi"/>
          <w:b/>
        </w:rPr>
        <w:t>dvacáté v</w:t>
      </w:r>
      <w:r w:rsidR="009C3BFA" w:rsidRPr="00722E1B">
        <w:rPr>
          <w:rFonts w:asciiTheme="minorHAnsi" w:hAnsiTheme="minorHAnsi" w:cstheme="minorHAnsi"/>
          <w:b/>
        </w:rPr>
        <w:t> </w:t>
      </w:r>
      <w:r w:rsidR="00CA228E" w:rsidRPr="00722E1B">
        <w:rPr>
          <w:rFonts w:asciiTheme="minorHAnsi" w:hAnsiTheme="minorHAnsi" w:cstheme="minorHAnsi"/>
          <w:b/>
        </w:rPr>
        <w:t>řadě</w:t>
      </w:r>
      <w:r w:rsidR="00AA68D5">
        <w:rPr>
          <w:rFonts w:asciiTheme="minorHAnsi" w:hAnsiTheme="minorHAnsi" w:cstheme="minorHAnsi"/>
          <w:b/>
        </w:rPr>
        <w:t xml:space="preserve">, a to </w:t>
      </w:r>
      <w:r w:rsidR="009C3BFA" w:rsidRPr="00722E1B">
        <w:rPr>
          <w:rFonts w:asciiTheme="minorHAnsi" w:hAnsiTheme="minorHAnsi" w:cstheme="minorHAnsi"/>
          <w:b/>
        </w:rPr>
        <w:t xml:space="preserve">navzdory </w:t>
      </w:r>
      <w:r w:rsidR="00AA68D5">
        <w:rPr>
          <w:rFonts w:asciiTheme="minorHAnsi" w:hAnsiTheme="minorHAnsi" w:cstheme="minorHAnsi"/>
          <w:b/>
        </w:rPr>
        <w:t>negativním</w:t>
      </w:r>
      <w:r w:rsidR="0003280E">
        <w:rPr>
          <w:rFonts w:asciiTheme="minorHAnsi" w:hAnsiTheme="minorHAnsi" w:cstheme="minorHAnsi"/>
          <w:b/>
        </w:rPr>
        <w:t>u vývoji na trhu hypoték i ekonomickým a společenským nejistotám v roce 2022</w:t>
      </w:r>
      <w:r w:rsidR="00CA228E" w:rsidRPr="00722E1B">
        <w:rPr>
          <w:rFonts w:asciiTheme="minorHAnsi" w:hAnsiTheme="minorHAnsi" w:cstheme="minorHAnsi"/>
          <w:b/>
        </w:rPr>
        <w:t xml:space="preserve">.  </w:t>
      </w:r>
      <w:r w:rsidR="00C74DD9">
        <w:rPr>
          <w:rFonts w:asciiTheme="minorHAnsi" w:hAnsiTheme="minorHAnsi" w:cstheme="minorHAnsi"/>
          <w:b/>
        </w:rPr>
        <w:t>Největším</w:t>
      </w:r>
      <w:r w:rsidR="002D5D62">
        <w:rPr>
          <w:rFonts w:asciiTheme="minorHAnsi" w:hAnsiTheme="minorHAnsi" w:cstheme="minorHAnsi"/>
          <w:b/>
        </w:rPr>
        <w:t>i tahouny</w:t>
      </w:r>
      <w:r w:rsidR="00C74DD9">
        <w:rPr>
          <w:rFonts w:asciiTheme="minorHAnsi" w:hAnsiTheme="minorHAnsi" w:cstheme="minorHAnsi"/>
          <w:b/>
        </w:rPr>
        <w:t xml:space="preserve"> loňského roku byly</w:t>
      </w:r>
      <w:r w:rsidR="00D874AE" w:rsidRPr="00722E1B">
        <w:rPr>
          <w:rFonts w:asciiTheme="minorHAnsi" w:hAnsiTheme="minorHAnsi" w:cstheme="minorHAnsi"/>
          <w:b/>
        </w:rPr>
        <w:t> </w:t>
      </w:r>
      <w:r w:rsidR="00727F33">
        <w:rPr>
          <w:rFonts w:asciiTheme="minorHAnsi" w:hAnsiTheme="minorHAnsi" w:cstheme="minorHAnsi"/>
          <w:b/>
        </w:rPr>
        <w:t>investic</w:t>
      </w:r>
      <w:r w:rsidR="00C74DD9">
        <w:rPr>
          <w:rFonts w:asciiTheme="minorHAnsi" w:hAnsiTheme="minorHAnsi" w:cstheme="minorHAnsi"/>
          <w:b/>
        </w:rPr>
        <w:t>e</w:t>
      </w:r>
      <w:r w:rsidR="00D874AE" w:rsidRPr="00722E1B">
        <w:rPr>
          <w:rFonts w:asciiTheme="minorHAnsi" w:hAnsiTheme="minorHAnsi" w:cstheme="minorHAnsi"/>
          <w:b/>
        </w:rPr>
        <w:t xml:space="preserve">, v porovnání s rokem </w:t>
      </w:r>
      <w:r w:rsidR="00727F33">
        <w:rPr>
          <w:rFonts w:asciiTheme="minorHAnsi" w:hAnsiTheme="minorHAnsi" w:cstheme="minorHAnsi"/>
          <w:b/>
        </w:rPr>
        <w:t xml:space="preserve">2021 se </w:t>
      </w:r>
      <w:r w:rsidR="007E0ED0">
        <w:rPr>
          <w:rFonts w:asciiTheme="minorHAnsi" w:hAnsiTheme="minorHAnsi" w:cstheme="minorHAnsi"/>
          <w:b/>
        </w:rPr>
        <w:t xml:space="preserve">počet </w:t>
      </w:r>
      <w:r w:rsidR="00833140">
        <w:rPr>
          <w:rFonts w:asciiTheme="minorHAnsi" w:hAnsiTheme="minorHAnsi" w:cstheme="minorHAnsi"/>
          <w:b/>
        </w:rPr>
        <w:t xml:space="preserve">zprostředkovaných smluv </w:t>
      </w:r>
      <w:r w:rsidR="007E0ED0">
        <w:rPr>
          <w:rFonts w:asciiTheme="minorHAnsi" w:hAnsiTheme="minorHAnsi" w:cstheme="minorHAnsi"/>
          <w:b/>
        </w:rPr>
        <w:t>zvýšil o polovinu</w:t>
      </w:r>
      <w:r w:rsidR="00C5564E" w:rsidRPr="00722E1B">
        <w:rPr>
          <w:rFonts w:asciiTheme="minorHAnsi" w:hAnsiTheme="minorHAnsi" w:cstheme="minorHAnsi"/>
          <w:b/>
        </w:rPr>
        <w:t xml:space="preserve">. </w:t>
      </w:r>
      <w:r w:rsidR="00CA228E" w:rsidRPr="00722E1B">
        <w:rPr>
          <w:rFonts w:asciiTheme="minorHAnsi" w:hAnsiTheme="minorHAnsi" w:cstheme="minorHAnsi"/>
          <w:b/>
        </w:rPr>
        <w:t xml:space="preserve">I </w:t>
      </w:r>
      <w:r w:rsidR="00D874AE" w:rsidRPr="00722E1B">
        <w:rPr>
          <w:rFonts w:asciiTheme="minorHAnsi" w:hAnsiTheme="minorHAnsi" w:cstheme="minorHAnsi"/>
          <w:b/>
        </w:rPr>
        <w:t>po turbulencích</w:t>
      </w:r>
      <w:r w:rsidR="009C3BFA" w:rsidRPr="00722E1B">
        <w:rPr>
          <w:rFonts w:asciiTheme="minorHAnsi" w:hAnsiTheme="minorHAnsi" w:cstheme="minorHAnsi"/>
          <w:b/>
        </w:rPr>
        <w:t xml:space="preserve"> na trzích tak</w:t>
      </w:r>
      <w:r w:rsidR="00C5564E" w:rsidRPr="00722E1B">
        <w:rPr>
          <w:rFonts w:asciiTheme="minorHAnsi" w:hAnsiTheme="minorHAnsi" w:cstheme="minorHAnsi"/>
          <w:b/>
        </w:rPr>
        <w:t xml:space="preserve"> společnost</w:t>
      </w:r>
      <w:r w:rsidR="009C3BFA" w:rsidRPr="00722E1B">
        <w:rPr>
          <w:rFonts w:asciiTheme="minorHAnsi" w:hAnsiTheme="minorHAnsi" w:cstheme="minorHAnsi"/>
          <w:b/>
        </w:rPr>
        <w:t xml:space="preserve"> znovu potvrdila </w:t>
      </w:r>
      <w:r w:rsidR="00CA228E" w:rsidRPr="00722E1B">
        <w:rPr>
          <w:rFonts w:asciiTheme="minorHAnsi" w:hAnsiTheme="minorHAnsi" w:cstheme="minorHAnsi"/>
          <w:b/>
        </w:rPr>
        <w:t>silnou pozici lídra na poli finančníh</w:t>
      </w:r>
      <w:r w:rsidR="001E29B9" w:rsidRPr="00722E1B">
        <w:rPr>
          <w:rFonts w:asciiTheme="minorHAnsi" w:hAnsiTheme="minorHAnsi" w:cstheme="minorHAnsi"/>
          <w:b/>
        </w:rPr>
        <w:t>o a reali</w:t>
      </w:r>
      <w:r w:rsidR="007E0ED0">
        <w:rPr>
          <w:rFonts w:asciiTheme="minorHAnsi" w:hAnsiTheme="minorHAnsi" w:cstheme="minorHAnsi"/>
          <w:b/>
        </w:rPr>
        <w:t>tního zprostředkování</w:t>
      </w:r>
      <w:r w:rsidR="001E29B9" w:rsidRPr="00722E1B">
        <w:rPr>
          <w:rFonts w:asciiTheme="minorHAnsi" w:hAnsiTheme="minorHAnsi" w:cstheme="minorHAnsi"/>
          <w:b/>
        </w:rPr>
        <w:t xml:space="preserve">. </w:t>
      </w:r>
    </w:p>
    <w:p w14:paraId="602CED6F" w14:textId="77777777" w:rsidR="00474E5D" w:rsidRPr="00722E1B" w:rsidRDefault="00474E5D" w:rsidP="005244A9">
      <w:pPr>
        <w:jc w:val="both"/>
        <w:rPr>
          <w:rFonts w:asciiTheme="minorHAnsi" w:hAnsiTheme="minorHAnsi" w:cstheme="minorHAnsi"/>
          <w:b/>
        </w:rPr>
      </w:pPr>
    </w:p>
    <w:p w14:paraId="435C1281" w14:textId="5C681893" w:rsidR="00207868" w:rsidRPr="00722E1B" w:rsidRDefault="00207868" w:rsidP="005244A9">
      <w:pPr>
        <w:jc w:val="both"/>
        <w:rPr>
          <w:rFonts w:asciiTheme="minorHAnsi" w:hAnsiTheme="minorHAnsi" w:cstheme="minorHAnsi"/>
        </w:rPr>
      </w:pPr>
      <w:r w:rsidRPr="00A45D76">
        <w:rPr>
          <w:rFonts w:asciiTheme="minorHAnsi" w:hAnsiTheme="minorHAnsi" w:cstheme="minorHAnsi"/>
        </w:rPr>
        <w:t>„</w:t>
      </w:r>
      <w:r w:rsidRPr="00A45D76">
        <w:rPr>
          <w:rFonts w:asciiTheme="minorHAnsi" w:hAnsiTheme="minorHAnsi" w:cstheme="minorHAnsi"/>
          <w:i/>
        </w:rPr>
        <w:t xml:space="preserve">Koronavirová pandemie odstartovala v Čechách výrazný trend v zájmu o vlastní </w:t>
      </w:r>
      <w:r w:rsidR="00152C35">
        <w:rPr>
          <w:rFonts w:asciiTheme="minorHAnsi" w:hAnsiTheme="minorHAnsi" w:cstheme="minorHAnsi"/>
          <w:i/>
        </w:rPr>
        <w:t>finance.</w:t>
      </w:r>
      <w:r w:rsidR="00266F4E" w:rsidRPr="00A45D76">
        <w:rPr>
          <w:rFonts w:asciiTheme="minorHAnsi" w:hAnsiTheme="minorHAnsi" w:cstheme="minorHAnsi"/>
          <w:i/>
        </w:rPr>
        <w:t xml:space="preserve"> </w:t>
      </w:r>
      <w:r w:rsidR="00A45D76" w:rsidRPr="00A45D76">
        <w:rPr>
          <w:rFonts w:asciiTheme="minorHAnsi" w:hAnsiTheme="minorHAnsi" w:cstheme="minorHAnsi"/>
          <w:i/>
        </w:rPr>
        <w:t xml:space="preserve">Díky našim službám, </w:t>
      </w:r>
      <w:r w:rsidR="00A34511" w:rsidRPr="00A45D76">
        <w:rPr>
          <w:rFonts w:asciiTheme="minorHAnsi" w:hAnsiTheme="minorHAnsi" w:cstheme="minorHAnsi"/>
          <w:i/>
        </w:rPr>
        <w:t xml:space="preserve">zejména dlouhodobé strategii v podobě finančního plánu, byli klienti na </w:t>
      </w:r>
      <w:r w:rsidR="005965E3">
        <w:rPr>
          <w:rFonts w:asciiTheme="minorHAnsi" w:hAnsiTheme="minorHAnsi" w:cstheme="minorHAnsi"/>
          <w:i/>
        </w:rPr>
        <w:t>náročnější</w:t>
      </w:r>
      <w:r w:rsidR="00A34511" w:rsidRPr="00A45D76">
        <w:rPr>
          <w:rFonts w:asciiTheme="minorHAnsi" w:hAnsiTheme="minorHAnsi" w:cstheme="minorHAnsi"/>
          <w:i/>
        </w:rPr>
        <w:t xml:space="preserve"> časy lépe připraveni. </w:t>
      </w:r>
      <w:r w:rsidR="00A34511" w:rsidRPr="00A45D76">
        <w:rPr>
          <w:rFonts w:asciiTheme="minorHAnsi" w:eastAsia="Times New Roman" w:hAnsiTheme="minorHAnsi" w:cs="Arial"/>
          <w:i/>
          <w:color w:val="0D0D0D" w:themeColor="text1" w:themeTint="F2"/>
        </w:rPr>
        <w:t>Dříve byly díky výhodným úrokovým sazbám v hledáčku jejich zájmu hlavně nemovitosti</w:t>
      </w:r>
      <w:r w:rsidR="005965E3">
        <w:rPr>
          <w:rFonts w:asciiTheme="minorHAnsi" w:eastAsia="Times New Roman" w:hAnsiTheme="minorHAnsi" w:cs="Arial"/>
          <w:i/>
          <w:color w:val="0D0D0D" w:themeColor="text1" w:themeTint="F2"/>
        </w:rPr>
        <w:t xml:space="preserve"> a jejich financování</w:t>
      </w:r>
      <w:r w:rsidR="00A34511" w:rsidRPr="00A45D76">
        <w:rPr>
          <w:rFonts w:asciiTheme="minorHAnsi" w:eastAsia="Times New Roman" w:hAnsiTheme="minorHAnsi" w:cs="Arial"/>
          <w:i/>
          <w:color w:val="0D0D0D" w:themeColor="text1" w:themeTint="F2"/>
        </w:rPr>
        <w:t xml:space="preserve">, </w:t>
      </w:r>
      <w:r w:rsidR="005965E3">
        <w:rPr>
          <w:rFonts w:asciiTheme="minorHAnsi" w:eastAsia="Times New Roman" w:hAnsiTheme="minorHAnsi" w:cs="Arial"/>
          <w:i/>
          <w:color w:val="0D0D0D" w:themeColor="text1" w:themeTint="F2"/>
        </w:rPr>
        <w:t>v loňském roce</w:t>
      </w:r>
      <w:r w:rsidR="00A34511" w:rsidRPr="00A45D76">
        <w:rPr>
          <w:rFonts w:asciiTheme="minorHAnsi" w:eastAsia="Times New Roman" w:hAnsiTheme="minorHAnsi" w:cs="Arial"/>
          <w:i/>
          <w:color w:val="0D0D0D" w:themeColor="text1" w:themeTint="F2"/>
        </w:rPr>
        <w:t xml:space="preserve"> dáva</w:t>
      </w:r>
      <w:r w:rsidR="005965E3">
        <w:rPr>
          <w:rFonts w:asciiTheme="minorHAnsi" w:eastAsia="Times New Roman" w:hAnsiTheme="minorHAnsi" w:cs="Arial"/>
          <w:i/>
          <w:color w:val="0D0D0D" w:themeColor="text1" w:themeTint="F2"/>
        </w:rPr>
        <w:t>li</w:t>
      </w:r>
      <w:r w:rsidR="00A34511" w:rsidRPr="00A45D76">
        <w:rPr>
          <w:rFonts w:asciiTheme="minorHAnsi" w:eastAsia="Times New Roman" w:hAnsiTheme="minorHAnsi" w:cs="Arial"/>
          <w:i/>
          <w:color w:val="0D0D0D" w:themeColor="text1" w:themeTint="F2"/>
        </w:rPr>
        <w:t xml:space="preserve"> přednost </w:t>
      </w:r>
      <w:r w:rsidR="0090568A">
        <w:rPr>
          <w:rFonts w:asciiTheme="minorHAnsi" w:eastAsia="Times New Roman" w:hAnsiTheme="minorHAnsi" w:cs="Arial"/>
          <w:i/>
          <w:color w:val="0D0D0D" w:themeColor="text1" w:themeTint="F2"/>
        </w:rPr>
        <w:t>tradičním témat</w:t>
      </w:r>
      <w:r w:rsidR="00CA0E85">
        <w:rPr>
          <w:rFonts w:asciiTheme="minorHAnsi" w:eastAsia="Times New Roman" w:hAnsiTheme="minorHAnsi" w:cs="Arial"/>
          <w:i/>
          <w:color w:val="0D0D0D" w:themeColor="text1" w:themeTint="F2"/>
        </w:rPr>
        <w:t>ům</w:t>
      </w:r>
      <w:r w:rsidR="0090568A">
        <w:rPr>
          <w:rFonts w:asciiTheme="minorHAnsi" w:eastAsia="Times New Roman" w:hAnsiTheme="minorHAnsi" w:cs="Arial"/>
          <w:i/>
          <w:color w:val="0D0D0D" w:themeColor="text1" w:themeTint="F2"/>
        </w:rPr>
        <w:t xml:space="preserve"> </w:t>
      </w:r>
      <w:r w:rsidR="0090568A">
        <w:rPr>
          <w:rStyle w:val="Siln"/>
          <w:rFonts w:ascii="Helvetica" w:hAnsi="Helvetica"/>
          <w:color w:val="757575"/>
          <w:sz w:val="18"/>
          <w:szCs w:val="18"/>
          <w:bdr w:val="none" w:sz="0" w:space="0" w:color="auto" w:frame="1"/>
          <w:shd w:val="clear" w:color="auto" w:fill="FFFFFF"/>
        </w:rPr>
        <w:t xml:space="preserve">— </w:t>
      </w:r>
      <w:r w:rsidR="00A34511" w:rsidRPr="00A45D76">
        <w:rPr>
          <w:rFonts w:asciiTheme="minorHAnsi" w:eastAsia="Times New Roman" w:hAnsiTheme="minorHAnsi" w:cs="Arial"/>
          <w:i/>
          <w:color w:val="0D0D0D" w:themeColor="text1" w:themeTint="F2"/>
        </w:rPr>
        <w:t xml:space="preserve">zabezpečení a ochraně </w:t>
      </w:r>
      <w:r w:rsidR="005965E3">
        <w:rPr>
          <w:rFonts w:asciiTheme="minorHAnsi" w:eastAsia="Times New Roman" w:hAnsiTheme="minorHAnsi" w:cs="Arial"/>
          <w:i/>
          <w:color w:val="0D0D0D" w:themeColor="text1" w:themeTint="F2"/>
        </w:rPr>
        <w:t>úspor</w:t>
      </w:r>
      <w:r w:rsidR="00A34511" w:rsidRPr="00A45D76">
        <w:rPr>
          <w:rFonts w:asciiTheme="minorHAnsi" w:eastAsia="Times New Roman" w:hAnsiTheme="minorHAnsi" w:cs="Arial"/>
          <w:i/>
          <w:color w:val="0D0D0D" w:themeColor="text1" w:themeTint="F2"/>
        </w:rPr>
        <w:t xml:space="preserve"> před inflací</w:t>
      </w:r>
      <w:r w:rsidR="00266F4E" w:rsidRPr="00A45D76">
        <w:rPr>
          <w:rFonts w:asciiTheme="minorHAnsi" w:eastAsia="Times New Roman" w:hAnsiTheme="minorHAnsi" w:cs="Arial"/>
          <w:i/>
          <w:color w:val="0D0D0D" w:themeColor="text1" w:themeTint="F2"/>
        </w:rPr>
        <w:t>,“</w:t>
      </w:r>
      <w:r w:rsidR="00A34511" w:rsidRPr="00A45D76">
        <w:rPr>
          <w:rFonts w:asciiTheme="minorHAnsi" w:eastAsia="Times New Roman" w:hAnsiTheme="minorHAnsi" w:cs="Arial"/>
          <w:color w:val="0D0D0D" w:themeColor="text1" w:themeTint="F2"/>
        </w:rPr>
        <w:t xml:space="preserve"> </w:t>
      </w:r>
      <w:r w:rsidRPr="00A45D76">
        <w:rPr>
          <w:rFonts w:asciiTheme="minorHAnsi" w:hAnsiTheme="minorHAnsi" w:cstheme="minorHAnsi"/>
        </w:rPr>
        <w:t>říká</w:t>
      </w:r>
      <w:r w:rsidRPr="00722E1B">
        <w:rPr>
          <w:rFonts w:asciiTheme="minorHAnsi" w:hAnsiTheme="minorHAnsi" w:cstheme="minorHAnsi"/>
        </w:rPr>
        <w:t xml:space="preserve"> k ekonomickým výsledkům </w:t>
      </w:r>
      <w:r w:rsidR="0090568A">
        <w:rPr>
          <w:rFonts w:asciiTheme="minorHAnsi" w:hAnsiTheme="minorHAnsi" w:cstheme="minorHAnsi"/>
        </w:rPr>
        <w:t xml:space="preserve">společnosti </w:t>
      </w:r>
      <w:r w:rsidRPr="00722E1B">
        <w:rPr>
          <w:rFonts w:asciiTheme="minorHAnsi" w:hAnsiTheme="minorHAnsi" w:cs="Arial"/>
          <w:b/>
        </w:rPr>
        <w:t xml:space="preserve">Broker </w:t>
      </w:r>
      <w:proofErr w:type="spellStart"/>
      <w:r w:rsidRPr="00722E1B">
        <w:rPr>
          <w:rFonts w:asciiTheme="minorHAnsi" w:hAnsiTheme="minorHAnsi" w:cs="Arial"/>
          <w:b/>
        </w:rPr>
        <w:t>Consulting</w:t>
      </w:r>
      <w:proofErr w:type="spellEnd"/>
      <w:r w:rsidRPr="00722E1B">
        <w:rPr>
          <w:rFonts w:asciiTheme="minorHAnsi" w:hAnsiTheme="minorHAnsi" w:cs="Arial"/>
          <w:b/>
        </w:rPr>
        <w:t xml:space="preserve"> její zakladatel Petr Hrubý</w:t>
      </w:r>
      <w:r w:rsidRPr="00722E1B">
        <w:rPr>
          <w:rFonts w:asciiTheme="minorHAnsi" w:hAnsiTheme="minorHAnsi" w:cs="Arial"/>
        </w:rPr>
        <w:t xml:space="preserve">. </w:t>
      </w:r>
    </w:p>
    <w:p w14:paraId="04E21E5B" w14:textId="77777777" w:rsidR="00207868" w:rsidRPr="00722E1B" w:rsidRDefault="00207868" w:rsidP="005244A9">
      <w:pPr>
        <w:jc w:val="both"/>
        <w:rPr>
          <w:rFonts w:asciiTheme="minorHAnsi" w:hAnsiTheme="minorHAnsi" w:cs="Arial"/>
        </w:rPr>
      </w:pPr>
    </w:p>
    <w:p w14:paraId="666C5BE0" w14:textId="132B3DBE" w:rsidR="007C7D41" w:rsidRPr="00353D3E" w:rsidRDefault="007C7D41" w:rsidP="00353D3E">
      <w:pPr>
        <w:spacing w:after="60"/>
        <w:jc w:val="both"/>
        <w:rPr>
          <w:rFonts w:asciiTheme="minorHAnsi" w:hAnsiTheme="minorHAnsi" w:cs="Arial"/>
          <w:b/>
        </w:rPr>
      </w:pPr>
      <w:r w:rsidRPr="007C7D41">
        <w:rPr>
          <w:rFonts w:asciiTheme="minorHAnsi" w:hAnsiTheme="minorHAnsi" w:cs="Arial"/>
          <w:b/>
        </w:rPr>
        <w:t>Výsledek ročního hospodaření</w:t>
      </w:r>
    </w:p>
    <w:p w14:paraId="3560971A" w14:textId="29ED72F3" w:rsidR="00722E1B" w:rsidRDefault="00722E1B" w:rsidP="005244A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="Arial"/>
        </w:rPr>
        <w:t>Neauditované hospodářské výsledky společnosti</w:t>
      </w:r>
      <w:r w:rsidR="004F49FC">
        <w:rPr>
          <w:rFonts w:asciiTheme="minorHAnsi" w:hAnsiTheme="minorHAnsi" w:cs="Arial"/>
        </w:rPr>
        <w:t xml:space="preserve"> potvrdily </w:t>
      </w:r>
      <w:r w:rsidR="00B4223E">
        <w:rPr>
          <w:rFonts w:asciiTheme="minorHAnsi" w:hAnsiTheme="minorHAnsi" w:cs="Arial"/>
        </w:rPr>
        <w:t xml:space="preserve">opětovné navázání na růstové tempo, které si Broker </w:t>
      </w:r>
      <w:proofErr w:type="spellStart"/>
      <w:r w:rsidR="00B4223E">
        <w:rPr>
          <w:rFonts w:asciiTheme="minorHAnsi" w:hAnsiTheme="minorHAnsi" w:cs="Arial"/>
        </w:rPr>
        <w:t>Consulting</w:t>
      </w:r>
      <w:proofErr w:type="spellEnd"/>
      <w:r w:rsidR="00B4223E">
        <w:rPr>
          <w:rFonts w:asciiTheme="minorHAnsi" w:hAnsiTheme="minorHAnsi" w:cs="Arial"/>
        </w:rPr>
        <w:t xml:space="preserve"> drží</w:t>
      </w:r>
      <w:r w:rsidR="005965E3">
        <w:rPr>
          <w:rFonts w:asciiTheme="minorHAnsi" w:hAnsiTheme="minorHAnsi" w:cs="Arial"/>
        </w:rPr>
        <w:t xml:space="preserve"> každý rok od svého založení</w:t>
      </w:r>
      <w:r w:rsidR="004F49FC">
        <w:rPr>
          <w:rFonts w:asciiTheme="minorHAnsi" w:hAnsiTheme="minorHAnsi" w:cs="Arial"/>
        </w:rPr>
        <w:t xml:space="preserve">. </w:t>
      </w:r>
      <w:r w:rsidR="002F0ABF">
        <w:rPr>
          <w:rFonts w:asciiTheme="minorHAnsi" w:hAnsiTheme="minorHAnsi" w:cs="Arial"/>
        </w:rPr>
        <w:t>Téměř u v</w:t>
      </w:r>
      <w:r w:rsidR="0090568A">
        <w:rPr>
          <w:rFonts w:asciiTheme="minorHAnsi" w:hAnsiTheme="minorHAnsi" w:cs="Arial"/>
        </w:rPr>
        <w:t xml:space="preserve">šech komplementárních služeb </w:t>
      </w:r>
      <w:r w:rsidR="002F0ABF">
        <w:rPr>
          <w:rFonts w:asciiTheme="minorHAnsi" w:hAnsiTheme="minorHAnsi" w:cs="Arial"/>
        </w:rPr>
        <w:t>registruje</w:t>
      </w:r>
      <w:r w:rsidR="007563B0">
        <w:rPr>
          <w:rFonts w:asciiTheme="minorHAnsi" w:hAnsiTheme="minorHAnsi" w:cs="Arial"/>
        </w:rPr>
        <w:t xml:space="preserve"> skupina</w:t>
      </w:r>
      <w:r w:rsidR="0090568A">
        <w:rPr>
          <w:rFonts w:asciiTheme="minorHAnsi" w:hAnsiTheme="minorHAnsi" w:cs="Arial"/>
        </w:rPr>
        <w:t xml:space="preserve"> za rok 2022 růst</w:t>
      </w:r>
      <w:r w:rsidR="002F0ABF">
        <w:rPr>
          <w:rFonts w:asciiTheme="minorHAnsi" w:hAnsiTheme="minorHAnsi" w:cs="Arial"/>
        </w:rPr>
        <w:t>. Značný u společnosti</w:t>
      </w:r>
      <w:r w:rsidR="002F0ABF" w:rsidRPr="007F7DBD">
        <w:rPr>
          <w:rFonts w:asciiTheme="minorHAnsi" w:hAnsiTheme="minorHAnsi" w:cstheme="minorHAnsi"/>
          <w:bCs/>
        </w:rPr>
        <w:t xml:space="preserve"> </w:t>
      </w:r>
      <w:proofErr w:type="spellStart"/>
      <w:r w:rsidR="002F0ABF" w:rsidRPr="007F7DBD">
        <w:rPr>
          <w:rFonts w:asciiTheme="minorHAnsi" w:hAnsiTheme="minorHAnsi" w:cstheme="minorHAnsi"/>
          <w:bCs/>
        </w:rPr>
        <w:t>ProCredia</w:t>
      </w:r>
      <w:proofErr w:type="spellEnd"/>
      <w:r w:rsidR="002F0ABF" w:rsidRPr="007F7DBD">
        <w:rPr>
          <w:rFonts w:asciiTheme="minorHAnsi" w:hAnsiTheme="minorHAnsi" w:cstheme="minorHAnsi"/>
          <w:bCs/>
        </w:rPr>
        <w:t xml:space="preserve">, </w:t>
      </w:r>
      <w:r w:rsidR="002F0ABF" w:rsidRPr="008E05E5">
        <w:rPr>
          <w:rFonts w:asciiTheme="minorHAnsi" w:hAnsiTheme="minorHAnsi" w:cstheme="minorHAnsi"/>
          <w:bCs/>
        </w:rPr>
        <w:t>která se zaměřuje na komplexní servis při zajiš</w:t>
      </w:r>
      <w:r w:rsidR="00833140" w:rsidRPr="008E05E5">
        <w:rPr>
          <w:rFonts w:asciiTheme="minorHAnsi" w:hAnsiTheme="minorHAnsi" w:cstheme="minorHAnsi"/>
          <w:bCs/>
        </w:rPr>
        <w:t xml:space="preserve">tění </w:t>
      </w:r>
      <w:r w:rsidR="002F0ABF" w:rsidRPr="008E05E5">
        <w:rPr>
          <w:rFonts w:asciiTheme="minorHAnsi" w:hAnsiTheme="minorHAnsi" w:cstheme="minorHAnsi"/>
          <w:bCs/>
        </w:rPr>
        <w:t xml:space="preserve">úvěrů </w:t>
      </w:r>
      <w:r w:rsidR="00833140" w:rsidRPr="008E05E5">
        <w:rPr>
          <w:rFonts w:asciiTheme="minorHAnsi" w:hAnsiTheme="minorHAnsi" w:cstheme="minorHAnsi"/>
          <w:bCs/>
        </w:rPr>
        <w:t xml:space="preserve">klientům, které nemohou nebo nechtějí financovat banky. </w:t>
      </w:r>
      <w:r w:rsidR="002F0ABF">
        <w:rPr>
          <w:rFonts w:asciiTheme="minorHAnsi" w:hAnsiTheme="minorHAnsi" w:cstheme="minorHAnsi"/>
          <w:bCs/>
        </w:rPr>
        <w:t>PRODOMIA Group</w:t>
      </w:r>
      <w:r w:rsidR="009375CA">
        <w:rPr>
          <w:rFonts w:asciiTheme="minorHAnsi" w:hAnsiTheme="minorHAnsi" w:cstheme="minorHAnsi"/>
          <w:bCs/>
        </w:rPr>
        <w:t xml:space="preserve">, specializující se </w:t>
      </w:r>
      <w:r w:rsidR="0090568A">
        <w:rPr>
          <w:rFonts w:asciiTheme="minorHAnsi" w:hAnsiTheme="minorHAnsi" w:cstheme="minorHAnsi"/>
          <w:bCs/>
        </w:rPr>
        <w:t>na správu nemovitostí po celé České republice</w:t>
      </w:r>
      <w:r w:rsidR="009375CA">
        <w:rPr>
          <w:rFonts w:asciiTheme="minorHAnsi" w:hAnsiTheme="minorHAnsi" w:cstheme="minorHAnsi"/>
          <w:bCs/>
        </w:rPr>
        <w:t>, zaregistrovala také významný růst.</w:t>
      </w:r>
      <w:r w:rsidR="007563B0">
        <w:rPr>
          <w:rFonts w:asciiTheme="minorHAnsi" w:hAnsiTheme="minorHAnsi" w:cstheme="minorHAnsi"/>
          <w:bCs/>
        </w:rPr>
        <w:t xml:space="preserve"> </w:t>
      </w:r>
      <w:r w:rsidR="005965E3" w:rsidRPr="007F7DBD">
        <w:rPr>
          <w:rFonts w:asciiTheme="minorHAnsi" w:hAnsiTheme="minorHAnsi" w:cstheme="minorHAnsi"/>
          <w:bCs/>
        </w:rPr>
        <w:t xml:space="preserve">MONECO </w:t>
      </w:r>
      <w:r w:rsidR="0090568A">
        <w:rPr>
          <w:rFonts w:asciiTheme="minorHAnsi" w:hAnsiTheme="minorHAnsi" w:cstheme="minorHAnsi"/>
          <w:bCs/>
        </w:rPr>
        <w:t>i</w:t>
      </w:r>
      <w:r w:rsidR="005965E3" w:rsidRPr="007F7DBD">
        <w:rPr>
          <w:rFonts w:asciiTheme="minorHAnsi" w:hAnsiTheme="minorHAnsi" w:cstheme="minorHAnsi"/>
          <w:bCs/>
        </w:rPr>
        <w:t xml:space="preserve">nvestiční </w:t>
      </w:r>
      <w:r w:rsidR="00601550">
        <w:rPr>
          <w:rFonts w:asciiTheme="minorHAnsi" w:hAnsiTheme="minorHAnsi" w:cstheme="minorHAnsi"/>
          <w:bCs/>
        </w:rPr>
        <w:t>s</w:t>
      </w:r>
      <w:r w:rsidR="005965E3" w:rsidRPr="007F7DBD">
        <w:rPr>
          <w:rFonts w:asciiTheme="minorHAnsi" w:hAnsiTheme="minorHAnsi" w:cstheme="minorHAnsi"/>
          <w:bCs/>
        </w:rPr>
        <w:t>polečnost</w:t>
      </w:r>
      <w:r w:rsidR="005965E3">
        <w:rPr>
          <w:rFonts w:asciiTheme="minorHAnsi" w:hAnsiTheme="minorHAnsi" w:cs="Arial"/>
        </w:rPr>
        <w:t xml:space="preserve"> </w:t>
      </w:r>
      <w:r w:rsidR="008E05E5">
        <w:rPr>
          <w:rFonts w:asciiTheme="minorHAnsi" w:hAnsiTheme="minorHAnsi" w:cs="Arial"/>
        </w:rPr>
        <w:t>rostla o</w:t>
      </w:r>
      <w:r w:rsidR="005965E3">
        <w:rPr>
          <w:rFonts w:asciiTheme="minorHAnsi" w:hAnsiTheme="minorHAnsi" w:cs="Arial"/>
        </w:rPr>
        <w:t xml:space="preserve"> 34 procent. </w:t>
      </w:r>
    </w:p>
    <w:p w14:paraId="099432BE" w14:textId="156B5AFF" w:rsidR="007563B0" w:rsidRDefault="007563B0" w:rsidP="005244A9">
      <w:pPr>
        <w:jc w:val="both"/>
        <w:rPr>
          <w:rFonts w:asciiTheme="minorHAnsi" w:hAnsiTheme="minorHAnsi" w:cs="Arial"/>
          <w:b/>
        </w:rPr>
      </w:pPr>
    </w:p>
    <w:p w14:paraId="6A73678C" w14:textId="3A206D26" w:rsidR="00353D3E" w:rsidRDefault="008E05E5" w:rsidP="00353D3E">
      <w:pPr>
        <w:spacing w:after="6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Klienti požadovali zabezpečení a investice</w:t>
      </w:r>
    </w:p>
    <w:p w14:paraId="3E758198" w14:textId="4D2EDC62" w:rsidR="002F0ABF" w:rsidRPr="004F3A20" w:rsidRDefault="00670F53" w:rsidP="000776B6">
      <w:pPr>
        <w:spacing w:after="60"/>
        <w:jc w:val="both"/>
        <w:rPr>
          <w:rFonts w:asciiTheme="minorHAnsi" w:hAnsiTheme="minorHAnsi" w:cstheme="minorHAnsi"/>
        </w:rPr>
      </w:pPr>
      <w:r w:rsidRPr="004F3A20">
        <w:rPr>
          <w:rFonts w:asciiTheme="minorHAnsi" w:hAnsiTheme="minorHAnsi" w:cstheme="minorHAnsi"/>
        </w:rPr>
        <w:t>„</w:t>
      </w:r>
      <w:r w:rsidR="0090568A" w:rsidRPr="004F3A20">
        <w:rPr>
          <w:rFonts w:asciiTheme="minorHAnsi" w:hAnsiTheme="minorHAnsi" w:cstheme="minorHAnsi"/>
          <w:i/>
        </w:rPr>
        <w:t>Tahouny</w:t>
      </w:r>
      <w:r w:rsidR="007563B0" w:rsidRPr="004F3A20">
        <w:rPr>
          <w:rFonts w:asciiTheme="minorHAnsi" w:hAnsiTheme="minorHAnsi" w:cstheme="minorHAnsi"/>
          <w:i/>
        </w:rPr>
        <w:t xml:space="preserve"> roku </w:t>
      </w:r>
      <w:r w:rsidR="005965E3" w:rsidRPr="004F3A20">
        <w:rPr>
          <w:rFonts w:asciiTheme="minorHAnsi" w:hAnsiTheme="minorHAnsi" w:cstheme="minorHAnsi"/>
          <w:i/>
        </w:rPr>
        <w:t xml:space="preserve">v oblasti finančního plánování a zprostředkování </w:t>
      </w:r>
      <w:r w:rsidR="007563B0" w:rsidRPr="004F3A20">
        <w:rPr>
          <w:rFonts w:asciiTheme="minorHAnsi" w:hAnsiTheme="minorHAnsi" w:cstheme="minorHAnsi"/>
          <w:i/>
        </w:rPr>
        <w:t xml:space="preserve">byly především investiční produkty a životní pojištění. </w:t>
      </w:r>
      <w:r w:rsidR="0090568A" w:rsidRPr="004F3A20">
        <w:rPr>
          <w:rFonts w:asciiTheme="minorHAnsi" w:hAnsiTheme="minorHAnsi" w:cstheme="minorHAnsi"/>
          <w:i/>
        </w:rPr>
        <w:t>Čtyřiadvacetiprocentní</w:t>
      </w:r>
      <w:r w:rsidR="00AE1EFB" w:rsidRPr="004F3A20">
        <w:rPr>
          <w:rFonts w:asciiTheme="minorHAnsi" w:hAnsiTheme="minorHAnsi" w:cstheme="minorHAnsi"/>
          <w:i/>
        </w:rPr>
        <w:t xml:space="preserve"> nárůst u sjednaných produktů životního pojištěn</w:t>
      </w:r>
      <w:r w:rsidR="005965E3" w:rsidRPr="004F3A20">
        <w:rPr>
          <w:rFonts w:asciiTheme="minorHAnsi" w:hAnsiTheme="minorHAnsi" w:cstheme="minorHAnsi"/>
          <w:i/>
        </w:rPr>
        <w:t xml:space="preserve">í </w:t>
      </w:r>
      <w:r w:rsidR="00F952A5" w:rsidRPr="004F3A20">
        <w:rPr>
          <w:rFonts w:asciiTheme="minorHAnsi" w:hAnsiTheme="minorHAnsi" w:cstheme="minorHAnsi"/>
          <w:i/>
        </w:rPr>
        <w:t>se může zdát vysoký, ale 50procentní</w:t>
      </w:r>
      <w:r w:rsidR="005965E3" w:rsidRPr="004F3A20">
        <w:rPr>
          <w:rFonts w:asciiTheme="minorHAnsi" w:hAnsiTheme="minorHAnsi" w:cstheme="minorHAnsi"/>
          <w:i/>
        </w:rPr>
        <w:t xml:space="preserve"> nárůst v počtu uzavřených investičních smluv ukazuje, jak rychle stoupla poptávka ze strany klientů</w:t>
      </w:r>
      <w:r w:rsidR="008E05E5" w:rsidRPr="004F3A20">
        <w:rPr>
          <w:rFonts w:asciiTheme="minorHAnsi" w:hAnsiTheme="minorHAnsi" w:cstheme="minorHAnsi"/>
          <w:i/>
        </w:rPr>
        <w:t>, protože měli potřeb</w:t>
      </w:r>
      <w:r w:rsidRPr="004F3A20">
        <w:rPr>
          <w:rFonts w:asciiTheme="minorHAnsi" w:hAnsiTheme="minorHAnsi" w:cstheme="minorHAnsi"/>
          <w:i/>
        </w:rPr>
        <w:t>u ochránit peníze před inflací</w:t>
      </w:r>
      <w:r w:rsidRPr="004F3A20">
        <w:rPr>
          <w:rFonts w:asciiTheme="minorHAnsi" w:hAnsiTheme="minorHAnsi" w:cstheme="minorHAnsi"/>
        </w:rPr>
        <w:t xml:space="preserve">,“ </w:t>
      </w:r>
      <w:r w:rsidRPr="004F3A20">
        <w:rPr>
          <w:rFonts w:asciiTheme="minorHAnsi" w:hAnsiTheme="minorHAnsi" w:cstheme="minorHAnsi"/>
          <w:bCs/>
        </w:rPr>
        <w:t>sděluje k výsledkům</w:t>
      </w:r>
      <w:r w:rsidRPr="004F3A20">
        <w:rPr>
          <w:rFonts w:asciiTheme="minorHAnsi" w:hAnsiTheme="minorHAnsi" w:cstheme="minorHAnsi"/>
          <w:b/>
          <w:bCs/>
        </w:rPr>
        <w:t xml:space="preserve"> Vilém </w:t>
      </w:r>
      <w:proofErr w:type="spellStart"/>
      <w:r w:rsidRPr="004F3A20">
        <w:rPr>
          <w:rFonts w:asciiTheme="minorHAnsi" w:hAnsiTheme="minorHAnsi" w:cstheme="minorHAnsi"/>
          <w:b/>
          <w:bCs/>
        </w:rPr>
        <w:t>Podliska</w:t>
      </w:r>
      <w:proofErr w:type="spellEnd"/>
      <w:r w:rsidRPr="004F3A20">
        <w:rPr>
          <w:rFonts w:asciiTheme="minorHAnsi" w:hAnsiTheme="minorHAnsi" w:cstheme="minorHAnsi"/>
          <w:b/>
          <w:bCs/>
        </w:rPr>
        <w:t>, generální ředitel a předseda představenstva</w:t>
      </w:r>
      <w:r w:rsidRPr="004F3A20">
        <w:rPr>
          <w:rFonts w:asciiTheme="minorHAnsi" w:hAnsiTheme="minorHAnsi" w:cstheme="minorHAnsi"/>
        </w:rPr>
        <w:t xml:space="preserve">. </w:t>
      </w:r>
      <w:r w:rsidR="008E05E5" w:rsidRPr="004F3A20">
        <w:rPr>
          <w:rFonts w:asciiTheme="minorHAnsi" w:hAnsiTheme="minorHAnsi" w:cstheme="minorHAnsi"/>
        </w:rPr>
        <w:t>Objem aktiv pod radou</w:t>
      </w:r>
      <w:r w:rsidR="004F3A20">
        <w:rPr>
          <w:rFonts w:asciiTheme="minorHAnsi" w:hAnsiTheme="minorHAnsi" w:cstheme="minorHAnsi"/>
        </w:rPr>
        <w:t xml:space="preserve"> vedle toho</w:t>
      </w:r>
      <w:bookmarkStart w:id="0" w:name="_GoBack"/>
      <w:bookmarkEnd w:id="0"/>
      <w:r w:rsidR="008E05E5" w:rsidRPr="004F3A20">
        <w:rPr>
          <w:rFonts w:asciiTheme="minorHAnsi" w:hAnsiTheme="minorHAnsi" w:cstheme="minorHAnsi"/>
        </w:rPr>
        <w:t xml:space="preserve"> stoupl v roce 2022 o 5 miliard na 25 miliard korun. </w:t>
      </w:r>
      <w:r w:rsidR="005965E3" w:rsidRPr="004F3A20">
        <w:rPr>
          <w:rFonts w:asciiTheme="minorHAnsi" w:hAnsiTheme="minorHAnsi" w:cstheme="minorHAnsi"/>
        </w:rPr>
        <w:t xml:space="preserve"> </w:t>
      </w:r>
    </w:p>
    <w:p w14:paraId="188FC259" w14:textId="53D24E88" w:rsidR="007C7D41" w:rsidRDefault="007C7D41" w:rsidP="005244A9">
      <w:pPr>
        <w:jc w:val="both"/>
        <w:rPr>
          <w:rFonts w:asciiTheme="minorHAnsi" w:hAnsiTheme="minorHAnsi" w:cs="Arial"/>
        </w:rPr>
      </w:pPr>
    </w:p>
    <w:p w14:paraId="461B8F5F" w14:textId="2F906BE6" w:rsidR="00353D3E" w:rsidRPr="00353D3E" w:rsidRDefault="00353D3E" w:rsidP="00353D3E">
      <w:pPr>
        <w:spacing w:after="6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Změna na realitním trhu</w:t>
      </w:r>
    </w:p>
    <w:p w14:paraId="79BC7767" w14:textId="0E5F5F88" w:rsidR="00722E1B" w:rsidRDefault="00722E1B" w:rsidP="005244A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Obor realitního zprostředkování loni velmi ovlivnil dramatický pokles na hypotečním trhu, který byl způsoben extrémně ry</w:t>
      </w:r>
      <w:r w:rsidR="00F952A5">
        <w:rPr>
          <w:rFonts w:asciiTheme="minorHAnsi" w:hAnsiTheme="minorHAnsi" w:cs="Arial"/>
        </w:rPr>
        <w:t>chlým</w:t>
      </w:r>
      <w:r w:rsidR="00AE1EFB">
        <w:rPr>
          <w:rFonts w:asciiTheme="minorHAnsi" w:hAnsiTheme="minorHAnsi" w:cs="Arial"/>
        </w:rPr>
        <w:t xml:space="preserve"> nárůstem úrokových sazeb.</w:t>
      </w:r>
      <w:r w:rsidR="00F952A5">
        <w:rPr>
          <w:rFonts w:asciiTheme="minorHAnsi" w:hAnsiTheme="minorHAnsi" w:cs="Arial"/>
        </w:rPr>
        <w:t xml:space="preserve"> P</w:t>
      </w:r>
      <w:r w:rsidR="0053745B">
        <w:rPr>
          <w:rFonts w:asciiTheme="minorHAnsi" w:hAnsiTheme="minorHAnsi" w:cs="Arial"/>
        </w:rPr>
        <w:t>řesto</w:t>
      </w:r>
      <w:r w:rsidR="00F11CE8">
        <w:rPr>
          <w:rFonts w:asciiTheme="minorHAnsi" w:hAnsiTheme="minorHAnsi" w:cs="Arial"/>
        </w:rPr>
        <w:t xml:space="preserve">že trh s nemovitostmi </w:t>
      </w:r>
      <w:r w:rsidR="00684E61">
        <w:rPr>
          <w:rFonts w:asciiTheme="minorHAnsi" w:hAnsiTheme="minorHAnsi" w:cs="Arial"/>
        </w:rPr>
        <w:t xml:space="preserve">z velké části </w:t>
      </w:r>
      <w:r w:rsidR="00EF5A71">
        <w:rPr>
          <w:rFonts w:asciiTheme="minorHAnsi" w:hAnsiTheme="minorHAnsi" w:cs="Arial"/>
        </w:rPr>
        <w:t xml:space="preserve">v druhé polovině loňského roku </w:t>
      </w:r>
      <w:r w:rsidR="00F11CE8">
        <w:rPr>
          <w:rFonts w:asciiTheme="minorHAnsi" w:hAnsiTheme="minorHAnsi" w:cs="Arial"/>
        </w:rPr>
        <w:t>zamrzl</w:t>
      </w:r>
      <w:r w:rsidR="00AE1EFB">
        <w:rPr>
          <w:rFonts w:asciiTheme="minorHAnsi" w:hAnsiTheme="minorHAnsi" w:cs="Arial"/>
        </w:rPr>
        <w:t xml:space="preserve"> a výrazně se změnil</w:t>
      </w:r>
      <w:r w:rsidR="00F11CE8">
        <w:rPr>
          <w:rFonts w:asciiTheme="minorHAnsi" w:hAnsiTheme="minorHAnsi" w:cs="Arial"/>
        </w:rPr>
        <w:t xml:space="preserve">, zajistila </w:t>
      </w:r>
      <w:r w:rsidR="00F952A5">
        <w:rPr>
          <w:rFonts w:asciiTheme="minorHAnsi" w:hAnsiTheme="minorHAnsi" w:cs="Arial"/>
        </w:rPr>
        <w:t xml:space="preserve">naše společnost </w:t>
      </w:r>
      <w:r w:rsidR="00611FB7">
        <w:rPr>
          <w:rFonts w:asciiTheme="minorHAnsi" w:hAnsiTheme="minorHAnsi" w:cs="Arial"/>
        </w:rPr>
        <w:t xml:space="preserve">svým klientům </w:t>
      </w:r>
      <w:r w:rsidR="0053745B">
        <w:rPr>
          <w:rFonts w:asciiTheme="minorHAnsi" w:hAnsiTheme="minorHAnsi" w:cs="Arial"/>
        </w:rPr>
        <w:t xml:space="preserve">prodej nemovitostí </w:t>
      </w:r>
      <w:r w:rsidR="00AE1EFB">
        <w:rPr>
          <w:rFonts w:asciiTheme="minorHAnsi" w:hAnsiTheme="minorHAnsi" w:cs="Arial"/>
        </w:rPr>
        <w:t>ve shodné výši jako v roce 2021, tedy</w:t>
      </w:r>
      <w:r w:rsidR="00F11CE8">
        <w:rPr>
          <w:rFonts w:asciiTheme="minorHAnsi" w:hAnsiTheme="minorHAnsi" w:cs="Arial"/>
        </w:rPr>
        <w:t xml:space="preserve"> </w:t>
      </w:r>
      <w:r w:rsidR="00F952A5">
        <w:rPr>
          <w:rFonts w:asciiTheme="minorHAnsi" w:hAnsiTheme="minorHAnsi" w:cs="Arial"/>
        </w:rPr>
        <w:t xml:space="preserve">za </w:t>
      </w:r>
      <w:r w:rsidR="00F11CE8">
        <w:rPr>
          <w:rFonts w:asciiTheme="minorHAnsi" w:hAnsiTheme="minorHAnsi" w:cs="Arial"/>
        </w:rPr>
        <w:t xml:space="preserve">více než </w:t>
      </w:r>
      <w:r w:rsidR="008B616A">
        <w:rPr>
          <w:rFonts w:asciiTheme="minorHAnsi" w:hAnsiTheme="minorHAnsi" w:cs="Arial"/>
        </w:rPr>
        <w:t>10,3 miliardy korun, společně se Slovenskem téměř za 12 miliard korun.</w:t>
      </w:r>
    </w:p>
    <w:p w14:paraId="4469F9DF" w14:textId="30A3C83D" w:rsidR="00AE1EFB" w:rsidRDefault="00AE1EFB" w:rsidP="005244A9">
      <w:pPr>
        <w:jc w:val="both"/>
        <w:rPr>
          <w:rFonts w:asciiTheme="minorHAnsi" w:hAnsiTheme="minorHAnsi" w:cs="Arial"/>
        </w:rPr>
      </w:pPr>
    </w:p>
    <w:p w14:paraId="1645990A" w14:textId="26DF14DD" w:rsidR="00AE1EFB" w:rsidRDefault="00F952A5" w:rsidP="005244A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Posílila také společnost BC Real</w:t>
      </w:r>
      <w:r w:rsidR="00AE1EFB">
        <w:rPr>
          <w:rFonts w:asciiTheme="minorHAnsi" w:hAnsiTheme="minorHAnsi" w:cs="Arial"/>
        </w:rPr>
        <w:t xml:space="preserve">, která má v Broker </w:t>
      </w:r>
      <w:proofErr w:type="spellStart"/>
      <w:r w:rsidR="00AE1EFB">
        <w:rPr>
          <w:rFonts w:asciiTheme="minorHAnsi" w:hAnsiTheme="minorHAnsi" w:cs="Arial"/>
        </w:rPr>
        <w:t>Consulting</w:t>
      </w:r>
      <w:proofErr w:type="spellEnd"/>
      <w:r w:rsidR="00AE1EFB">
        <w:rPr>
          <w:rFonts w:asciiTheme="minorHAnsi" w:hAnsiTheme="minorHAnsi" w:cs="Arial"/>
        </w:rPr>
        <w:t xml:space="preserve"> dlouholetou tradici v oblasti developmentu. Ta vyrost</w:t>
      </w:r>
      <w:r>
        <w:rPr>
          <w:rFonts w:asciiTheme="minorHAnsi" w:hAnsiTheme="minorHAnsi" w:cs="Arial"/>
        </w:rPr>
        <w:t>la o 1,5 procenta na 402 milionů</w:t>
      </w:r>
      <w:r w:rsidR="00AE1EFB">
        <w:rPr>
          <w:rFonts w:asciiTheme="minorHAnsi" w:hAnsiTheme="minorHAnsi" w:cs="Arial"/>
        </w:rPr>
        <w:t xml:space="preserve"> korun.</w:t>
      </w:r>
    </w:p>
    <w:p w14:paraId="626EEDD7" w14:textId="5EF257CA" w:rsidR="00AE1EFB" w:rsidRDefault="00AE1EFB" w:rsidP="005244A9">
      <w:pPr>
        <w:jc w:val="both"/>
        <w:rPr>
          <w:rFonts w:asciiTheme="minorHAnsi" w:hAnsiTheme="minorHAnsi" w:cs="Arial"/>
        </w:rPr>
      </w:pPr>
    </w:p>
    <w:p w14:paraId="761EBEEA" w14:textId="3B5CE7BA" w:rsidR="007C7D41" w:rsidRPr="007C7D41" w:rsidRDefault="004F49FC" w:rsidP="00353D3E">
      <w:pPr>
        <w:spacing w:after="6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Spokojenost </w:t>
      </w:r>
      <w:r w:rsidR="007C7D41">
        <w:rPr>
          <w:rFonts w:asciiTheme="minorHAnsi" w:hAnsiTheme="minorHAnsi" w:cs="Arial"/>
          <w:b/>
        </w:rPr>
        <w:t>a důvěra klientů stále roste</w:t>
      </w:r>
    </w:p>
    <w:p w14:paraId="7017657D" w14:textId="3D03EAAE" w:rsidR="00207868" w:rsidRDefault="001A1F78" w:rsidP="005244A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Celkový růst společnosti se zvyšuje </w:t>
      </w:r>
      <w:r w:rsidR="00B4223E">
        <w:rPr>
          <w:rFonts w:asciiTheme="minorHAnsi" w:hAnsiTheme="minorHAnsi" w:cs="Arial"/>
        </w:rPr>
        <w:t>ruku v ruce s klient</w:t>
      </w:r>
      <w:r>
        <w:rPr>
          <w:rFonts w:asciiTheme="minorHAnsi" w:hAnsiTheme="minorHAnsi" w:cs="Arial"/>
        </w:rPr>
        <w:t>s</w:t>
      </w:r>
      <w:r w:rsidR="00B4223E">
        <w:rPr>
          <w:rFonts w:asciiTheme="minorHAnsi" w:hAnsiTheme="minorHAnsi" w:cs="Arial"/>
        </w:rPr>
        <w:t xml:space="preserve">kou </w:t>
      </w:r>
      <w:r w:rsidR="00643781">
        <w:rPr>
          <w:rFonts w:asciiTheme="minorHAnsi" w:hAnsiTheme="minorHAnsi" w:cs="Arial"/>
        </w:rPr>
        <w:t xml:space="preserve">spokojeností. Ta </w:t>
      </w:r>
      <w:r w:rsidR="00B4223E">
        <w:rPr>
          <w:rFonts w:asciiTheme="minorHAnsi" w:hAnsiTheme="minorHAnsi" w:cs="Arial"/>
        </w:rPr>
        <w:t>p</w:t>
      </w:r>
      <w:r w:rsidR="00DB1976" w:rsidRPr="00722E1B">
        <w:rPr>
          <w:rFonts w:asciiTheme="minorHAnsi" w:hAnsiTheme="minorHAnsi" w:cs="Arial"/>
        </w:rPr>
        <w:t>odle měřených dat nástroje</w:t>
      </w:r>
      <w:r w:rsidR="00B4223E">
        <w:rPr>
          <w:rFonts w:asciiTheme="minorHAnsi" w:hAnsiTheme="minorHAnsi" w:cs="Arial"/>
        </w:rPr>
        <w:t xml:space="preserve"> NPS (Net </w:t>
      </w:r>
      <w:proofErr w:type="spellStart"/>
      <w:r w:rsidR="00B4223E">
        <w:rPr>
          <w:rFonts w:asciiTheme="minorHAnsi" w:hAnsiTheme="minorHAnsi" w:cs="Arial"/>
        </w:rPr>
        <w:t>Promoter</w:t>
      </w:r>
      <w:proofErr w:type="spellEnd"/>
      <w:r w:rsidR="00B4223E">
        <w:rPr>
          <w:rFonts w:asciiTheme="minorHAnsi" w:hAnsiTheme="minorHAnsi" w:cs="Arial"/>
        </w:rPr>
        <w:t xml:space="preserve"> </w:t>
      </w:r>
      <w:proofErr w:type="spellStart"/>
      <w:r w:rsidR="00B4223E">
        <w:rPr>
          <w:rFonts w:asciiTheme="minorHAnsi" w:hAnsiTheme="minorHAnsi" w:cs="Arial"/>
        </w:rPr>
        <w:t>Score</w:t>
      </w:r>
      <w:proofErr w:type="spellEnd"/>
      <w:r w:rsidR="00B4223E">
        <w:rPr>
          <w:rFonts w:asciiTheme="minorHAnsi" w:hAnsiTheme="minorHAnsi" w:cs="Arial"/>
        </w:rPr>
        <w:t xml:space="preserve">) výrazně </w:t>
      </w:r>
      <w:r w:rsidR="00643781">
        <w:rPr>
          <w:rFonts w:asciiTheme="minorHAnsi" w:hAnsiTheme="minorHAnsi" w:cs="Arial"/>
        </w:rPr>
        <w:t>vzrostla spolu s důvěrou</w:t>
      </w:r>
      <w:r w:rsidR="00DB1976" w:rsidRPr="00722E1B">
        <w:rPr>
          <w:rFonts w:asciiTheme="minorHAnsi" w:hAnsiTheme="minorHAnsi" w:cs="Arial"/>
        </w:rPr>
        <w:t xml:space="preserve"> v kvalitu poskytovaných služeb. </w:t>
      </w:r>
      <w:r w:rsidR="00643781">
        <w:rPr>
          <w:rFonts w:asciiTheme="minorHAnsi" w:hAnsiTheme="minorHAnsi" w:cs="Arial"/>
        </w:rPr>
        <w:t>Za</w:t>
      </w:r>
      <w:r w:rsidR="001D14C7" w:rsidRPr="00722E1B">
        <w:rPr>
          <w:rFonts w:asciiTheme="minorHAnsi" w:hAnsiTheme="minorHAnsi" w:cs="Arial"/>
        </w:rPr>
        <w:t xml:space="preserve"> období </w:t>
      </w:r>
      <w:r w:rsidR="00643781">
        <w:rPr>
          <w:rFonts w:asciiTheme="minorHAnsi" w:hAnsiTheme="minorHAnsi" w:cs="Arial"/>
        </w:rPr>
        <w:t xml:space="preserve">předchozích </w:t>
      </w:r>
      <w:r w:rsidR="00C82A85">
        <w:rPr>
          <w:rFonts w:asciiTheme="minorHAnsi" w:hAnsiTheme="minorHAnsi" w:cs="Arial"/>
        </w:rPr>
        <w:t>12</w:t>
      </w:r>
      <w:r w:rsidR="001D14C7" w:rsidRPr="00722E1B">
        <w:rPr>
          <w:rFonts w:asciiTheme="minorHAnsi" w:hAnsiTheme="minorHAnsi" w:cs="Arial"/>
        </w:rPr>
        <w:t xml:space="preserve"> měsíců </w:t>
      </w:r>
      <w:r w:rsidR="00643781">
        <w:rPr>
          <w:rFonts w:asciiTheme="minorHAnsi" w:hAnsiTheme="minorHAnsi" w:cs="Arial"/>
        </w:rPr>
        <w:t xml:space="preserve">se zvýšila </w:t>
      </w:r>
      <w:r w:rsidR="001D14C7" w:rsidRPr="00722E1B">
        <w:rPr>
          <w:rFonts w:asciiTheme="minorHAnsi" w:hAnsiTheme="minorHAnsi" w:cs="Arial"/>
        </w:rPr>
        <w:t xml:space="preserve">z hodnoty 59,5 na celkové skóre </w:t>
      </w:r>
      <w:r w:rsidR="004F49FC">
        <w:rPr>
          <w:rFonts w:asciiTheme="minorHAnsi" w:hAnsiTheme="minorHAnsi" w:cs="Arial"/>
        </w:rPr>
        <w:t>67</w:t>
      </w:r>
      <w:r w:rsidR="001D14C7" w:rsidRPr="00722E1B">
        <w:rPr>
          <w:rFonts w:asciiTheme="minorHAnsi" w:hAnsiTheme="minorHAnsi" w:cs="Arial"/>
        </w:rPr>
        <w:t xml:space="preserve">. </w:t>
      </w:r>
      <w:r w:rsidR="004F49FC">
        <w:rPr>
          <w:rFonts w:asciiTheme="minorHAnsi" w:hAnsiTheme="minorHAnsi" w:cs="Arial"/>
        </w:rPr>
        <w:t xml:space="preserve">Takový výsledek odpovídá vysoce nadprůměrným službám, které klienti stále více oceňují. I v porovnání s tuzemským průměrem </w:t>
      </w:r>
      <w:r w:rsidR="00611FB7">
        <w:rPr>
          <w:rFonts w:asciiTheme="minorHAnsi" w:hAnsiTheme="minorHAnsi" w:cs="Arial"/>
        </w:rPr>
        <w:t>na</w:t>
      </w:r>
      <w:r w:rsidR="004F49FC">
        <w:rPr>
          <w:rFonts w:asciiTheme="minorHAnsi" w:hAnsiTheme="minorHAnsi" w:cs="Arial"/>
        </w:rPr>
        <w:t xml:space="preserve"> realitní</w:t>
      </w:r>
      <w:r w:rsidR="00611FB7">
        <w:rPr>
          <w:rFonts w:asciiTheme="minorHAnsi" w:hAnsiTheme="minorHAnsi" w:cs="Arial"/>
        </w:rPr>
        <w:t>m</w:t>
      </w:r>
      <w:r w:rsidR="004F49FC">
        <w:rPr>
          <w:rFonts w:asciiTheme="minorHAnsi" w:hAnsiTheme="minorHAnsi" w:cs="Arial"/>
        </w:rPr>
        <w:t xml:space="preserve"> a finanční</w:t>
      </w:r>
      <w:r w:rsidR="00611FB7">
        <w:rPr>
          <w:rFonts w:asciiTheme="minorHAnsi" w:hAnsiTheme="minorHAnsi" w:cs="Arial"/>
        </w:rPr>
        <w:t>m</w:t>
      </w:r>
      <w:r w:rsidR="004F49FC">
        <w:rPr>
          <w:rFonts w:asciiTheme="minorHAnsi" w:hAnsiTheme="minorHAnsi" w:cs="Arial"/>
        </w:rPr>
        <w:t xml:space="preserve"> </w:t>
      </w:r>
      <w:r w:rsidR="00611FB7">
        <w:rPr>
          <w:rFonts w:asciiTheme="minorHAnsi" w:hAnsiTheme="minorHAnsi" w:cs="Arial"/>
        </w:rPr>
        <w:t xml:space="preserve">trhu </w:t>
      </w:r>
      <w:r w:rsidR="004F49FC">
        <w:rPr>
          <w:rFonts w:asciiTheme="minorHAnsi" w:hAnsiTheme="minorHAnsi" w:cs="Arial"/>
        </w:rPr>
        <w:t>jde o výrazně vyšší hodnotu</w:t>
      </w:r>
      <w:r w:rsidR="0053787E">
        <w:rPr>
          <w:rFonts w:asciiTheme="minorHAnsi" w:hAnsiTheme="minorHAnsi" w:cs="Arial"/>
        </w:rPr>
        <w:t>,</w:t>
      </w:r>
      <w:r w:rsidR="004F49FC">
        <w:rPr>
          <w:rFonts w:asciiTheme="minorHAnsi" w:hAnsiTheme="minorHAnsi" w:cs="Arial"/>
        </w:rPr>
        <w:t xml:space="preserve"> než</w:t>
      </w:r>
      <w:r w:rsidR="0053787E">
        <w:rPr>
          <w:rFonts w:asciiTheme="minorHAnsi" w:hAnsiTheme="minorHAnsi" w:cs="Arial"/>
        </w:rPr>
        <w:t xml:space="preserve"> která se běžně</w:t>
      </w:r>
      <w:r w:rsidR="004F49FC">
        <w:rPr>
          <w:rFonts w:asciiTheme="minorHAnsi" w:hAnsiTheme="minorHAnsi" w:cs="Arial"/>
        </w:rPr>
        <w:t xml:space="preserve"> při měření vyskytuje. </w:t>
      </w:r>
    </w:p>
    <w:p w14:paraId="48A3F4F9" w14:textId="77777777" w:rsidR="00353D3E" w:rsidRDefault="00353D3E" w:rsidP="005244A9">
      <w:pPr>
        <w:jc w:val="both"/>
        <w:rPr>
          <w:rFonts w:asciiTheme="minorHAnsi" w:hAnsiTheme="minorHAnsi" w:cs="Arial"/>
        </w:rPr>
      </w:pPr>
    </w:p>
    <w:p w14:paraId="7DC8ED58" w14:textId="66605CD6" w:rsidR="00353D3E" w:rsidRPr="00353D3E" w:rsidRDefault="00353D3E" w:rsidP="00353D3E">
      <w:pPr>
        <w:jc w:val="both"/>
        <w:rPr>
          <w:rFonts w:asciiTheme="minorHAnsi" w:hAnsiTheme="minorHAnsi" w:cstheme="minorHAnsi"/>
        </w:rPr>
      </w:pPr>
      <w:r w:rsidRPr="00353D3E">
        <w:rPr>
          <w:rFonts w:asciiTheme="minorHAnsi" w:hAnsiTheme="minorHAnsi" w:cstheme="minorHAnsi"/>
        </w:rPr>
        <w:t xml:space="preserve">Širší skupina Broker </w:t>
      </w:r>
      <w:proofErr w:type="spellStart"/>
      <w:r w:rsidRPr="00353D3E">
        <w:rPr>
          <w:rFonts w:asciiTheme="minorHAnsi" w:hAnsiTheme="minorHAnsi" w:cstheme="minorHAnsi"/>
        </w:rPr>
        <w:t>Consulting</w:t>
      </w:r>
      <w:proofErr w:type="spellEnd"/>
      <w:r w:rsidRPr="00353D3E">
        <w:rPr>
          <w:rFonts w:asciiTheme="minorHAnsi" w:hAnsiTheme="minorHAnsi" w:cstheme="minorHAnsi"/>
        </w:rPr>
        <w:t xml:space="preserve"> expanduje v několika oblastech. Mimo financí a realit je to také oblast developmentu. V přípravě je aktuálně více než 3 000 bytových j</w:t>
      </w:r>
      <w:r w:rsidR="00A57D02">
        <w:rPr>
          <w:rFonts w:asciiTheme="minorHAnsi" w:hAnsiTheme="minorHAnsi" w:cstheme="minorHAnsi"/>
        </w:rPr>
        <w:t>ednotek v různých regionech České republiky</w:t>
      </w:r>
      <w:r w:rsidRPr="00353D3E">
        <w:rPr>
          <w:rFonts w:asciiTheme="minorHAnsi" w:hAnsiTheme="minorHAnsi" w:cstheme="minorHAnsi"/>
        </w:rPr>
        <w:t xml:space="preserve">. </w:t>
      </w:r>
      <w:r w:rsidR="004F49FC">
        <w:rPr>
          <w:rFonts w:asciiTheme="minorHAnsi" w:hAnsiTheme="minorHAnsi" w:cstheme="minorHAnsi"/>
        </w:rPr>
        <w:t>K aktuálním projekt</w:t>
      </w:r>
      <w:r w:rsidR="00A57D02">
        <w:rPr>
          <w:rFonts w:asciiTheme="minorHAnsi" w:hAnsiTheme="minorHAnsi" w:cstheme="minorHAnsi"/>
        </w:rPr>
        <w:t xml:space="preserve">ům </w:t>
      </w:r>
      <w:r w:rsidR="00A57D02">
        <w:rPr>
          <w:rFonts w:asciiTheme="minorHAnsi" w:hAnsiTheme="minorHAnsi" w:cstheme="minorHAnsi"/>
        </w:rPr>
        <w:lastRenderedPageBreak/>
        <w:t>patří Nová Papírna, Byty Bor</w:t>
      </w:r>
      <w:r w:rsidR="004F49FC">
        <w:rPr>
          <w:rFonts w:asciiTheme="minorHAnsi" w:hAnsiTheme="minorHAnsi" w:cstheme="minorHAnsi"/>
        </w:rPr>
        <w:t>s</w:t>
      </w:r>
      <w:r w:rsidR="00A57D02">
        <w:rPr>
          <w:rFonts w:asciiTheme="minorHAnsi" w:hAnsiTheme="minorHAnsi" w:cstheme="minorHAnsi"/>
        </w:rPr>
        <w:t>k</w:t>
      </w:r>
      <w:r w:rsidR="004F49FC">
        <w:rPr>
          <w:rFonts w:asciiTheme="minorHAnsi" w:hAnsiTheme="minorHAnsi" w:cstheme="minorHAnsi"/>
        </w:rPr>
        <w:t xml:space="preserve">ý park, </w:t>
      </w:r>
      <w:proofErr w:type="spellStart"/>
      <w:r w:rsidR="004F49FC">
        <w:rPr>
          <w:rFonts w:asciiTheme="minorHAnsi" w:hAnsiTheme="minorHAnsi" w:cstheme="minorHAnsi"/>
        </w:rPr>
        <w:t>Central</w:t>
      </w:r>
      <w:proofErr w:type="spellEnd"/>
      <w:r w:rsidR="004F49FC">
        <w:rPr>
          <w:rFonts w:asciiTheme="minorHAnsi" w:hAnsiTheme="minorHAnsi" w:cstheme="minorHAnsi"/>
        </w:rPr>
        <w:t xml:space="preserve"> Point Kladno, </w:t>
      </w:r>
      <w:r w:rsidRPr="00353D3E">
        <w:rPr>
          <w:rFonts w:asciiTheme="minorHAnsi" w:hAnsiTheme="minorHAnsi" w:cstheme="minorHAnsi"/>
        </w:rPr>
        <w:t>Na Vyhlídce Kaplice, Apartmány na sjezdovce Plešivec nebo Rezidence Golf Ostravice.</w:t>
      </w:r>
    </w:p>
    <w:p w14:paraId="204649C6" w14:textId="77777777" w:rsidR="00353D3E" w:rsidRPr="00353D3E" w:rsidRDefault="00353D3E" w:rsidP="00353D3E">
      <w:pPr>
        <w:jc w:val="both"/>
        <w:rPr>
          <w:rFonts w:asciiTheme="minorHAnsi" w:hAnsiTheme="minorHAnsi" w:cstheme="minorHAnsi"/>
        </w:rPr>
      </w:pPr>
    </w:p>
    <w:p w14:paraId="2DC910EA" w14:textId="3D9673AE" w:rsidR="00F71D71" w:rsidRPr="00C74DD9" w:rsidRDefault="00353D3E" w:rsidP="00C314FE">
      <w:pPr>
        <w:pBdr>
          <w:bottom w:val="single" w:sz="4" w:space="1" w:color="auto"/>
        </w:pBdr>
        <w:jc w:val="both"/>
        <w:rPr>
          <w:rStyle w:val="dn"/>
          <w:rFonts w:asciiTheme="minorHAnsi" w:hAnsiTheme="minorHAnsi" w:cstheme="minorHAnsi"/>
          <w:bCs/>
          <w:i/>
          <w:lang w:val="cs-CZ"/>
        </w:rPr>
      </w:pPr>
      <w:r w:rsidRPr="00C74DD9">
        <w:rPr>
          <w:rFonts w:asciiTheme="minorHAnsi" w:hAnsiTheme="minorHAnsi" w:cstheme="minorHAnsi"/>
          <w:bCs/>
          <w:i/>
        </w:rPr>
        <w:t xml:space="preserve">Pozn.: Výše uvedené hospodářské výsledky vycházejí z předběžných neauditovaných údajů. </w:t>
      </w:r>
    </w:p>
    <w:p w14:paraId="4E60CD10" w14:textId="77777777" w:rsidR="00F71D71" w:rsidRDefault="00F71D71" w:rsidP="001064B6">
      <w:pPr>
        <w:jc w:val="both"/>
        <w:rPr>
          <w:rFonts w:ascii="Arial" w:hAnsi="Arial" w:cs="Arial"/>
          <w:b/>
          <w:sz w:val="20"/>
          <w:szCs w:val="20"/>
        </w:rPr>
      </w:pPr>
    </w:p>
    <w:p w14:paraId="1DEDCEC5" w14:textId="407472B1" w:rsidR="001064B6" w:rsidRPr="007F7DBD" w:rsidRDefault="001064B6" w:rsidP="00C64F34">
      <w:pPr>
        <w:spacing w:after="120"/>
        <w:jc w:val="both"/>
        <w:rPr>
          <w:rFonts w:asciiTheme="minorHAnsi" w:hAnsiTheme="minorHAnsi" w:cstheme="minorHAnsi"/>
          <w:b/>
        </w:rPr>
      </w:pPr>
      <w:r w:rsidRPr="007F7DBD">
        <w:rPr>
          <w:rFonts w:asciiTheme="minorHAnsi" w:hAnsiTheme="minorHAnsi" w:cstheme="minorHAnsi"/>
          <w:b/>
        </w:rPr>
        <w:t xml:space="preserve">O Broker </w:t>
      </w:r>
      <w:proofErr w:type="spellStart"/>
      <w:r w:rsidRPr="007F7DBD">
        <w:rPr>
          <w:rFonts w:asciiTheme="minorHAnsi" w:hAnsiTheme="minorHAnsi" w:cstheme="minorHAnsi"/>
          <w:b/>
        </w:rPr>
        <w:t>Consulting</w:t>
      </w:r>
      <w:proofErr w:type="spellEnd"/>
    </w:p>
    <w:p w14:paraId="47220B25" w14:textId="7DEED5D3" w:rsidR="001064B6" w:rsidRPr="007F7DBD" w:rsidRDefault="00C325F0" w:rsidP="001064B6">
      <w:pPr>
        <w:jc w:val="both"/>
        <w:rPr>
          <w:rFonts w:asciiTheme="minorHAnsi" w:hAnsiTheme="minorHAnsi" w:cstheme="minorHAnsi"/>
          <w:bCs/>
        </w:rPr>
      </w:pPr>
      <w:r w:rsidRPr="007F7DBD">
        <w:rPr>
          <w:rFonts w:asciiTheme="minorHAnsi" w:hAnsiTheme="minorHAnsi" w:cstheme="minorHAnsi"/>
          <w:bCs/>
        </w:rPr>
        <w:t xml:space="preserve">Broker </w:t>
      </w:r>
      <w:proofErr w:type="spellStart"/>
      <w:r w:rsidRPr="007F7DBD">
        <w:rPr>
          <w:rFonts w:asciiTheme="minorHAnsi" w:hAnsiTheme="minorHAnsi" w:cstheme="minorHAnsi"/>
          <w:bCs/>
        </w:rPr>
        <w:t>Consulting</w:t>
      </w:r>
      <w:proofErr w:type="spellEnd"/>
      <w:r w:rsidRPr="007F7DBD">
        <w:rPr>
          <w:rFonts w:asciiTheme="minorHAnsi" w:hAnsiTheme="minorHAnsi" w:cstheme="minorHAnsi"/>
          <w:bCs/>
        </w:rPr>
        <w:t xml:space="preserve"> patří mezi nejvýznamnější společnosti </w:t>
      </w:r>
      <w:r w:rsidR="00A57D02">
        <w:rPr>
          <w:rFonts w:asciiTheme="minorHAnsi" w:hAnsiTheme="minorHAnsi" w:cstheme="minorHAnsi"/>
          <w:bCs/>
        </w:rPr>
        <w:t>zprostředkovávající</w:t>
      </w:r>
      <w:r w:rsidR="004535AF" w:rsidRPr="007F7DBD">
        <w:rPr>
          <w:rFonts w:asciiTheme="minorHAnsi" w:hAnsiTheme="minorHAnsi" w:cstheme="minorHAnsi"/>
          <w:bCs/>
        </w:rPr>
        <w:t xml:space="preserve"> </w:t>
      </w:r>
      <w:r w:rsidRPr="007F7DBD">
        <w:rPr>
          <w:rFonts w:asciiTheme="minorHAnsi" w:hAnsiTheme="minorHAnsi" w:cstheme="minorHAnsi"/>
          <w:bCs/>
        </w:rPr>
        <w:t>finanční a realitní služby v</w:t>
      </w:r>
      <w:r w:rsidR="00B70B94" w:rsidRPr="007F7DBD">
        <w:rPr>
          <w:rFonts w:asciiTheme="minorHAnsi" w:hAnsiTheme="minorHAnsi" w:cstheme="minorHAnsi"/>
          <w:bCs/>
        </w:rPr>
        <w:t> </w:t>
      </w:r>
      <w:r w:rsidRPr="007F7DBD">
        <w:rPr>
          <w:rFonts w:asciiTheme="minorHAnsi" w:hAnsiTheme="minorHAnsi" w:cstheme="minorHAnsi"/>
          <w:bCs/>
        </w:rPr>
        <w:t xml:space="preserve">České republice a </w:t>
      </w:r>
      <w:r w:rsidR="00F71D71" w:rsidRPr="007F7DBD">
        <w:rPr>
          <w:rFonts w:asciiTheme="minorHAnsi" w:hAnsiTheme="minorHAnsi" w:cstheme="minorHAnsi"/>
          <w:bCs/>
        </w:rPr>
        <w:t>n</w:t>
      </w:r>
      <w:r w:rsidRPr="007F7DBD">
        <w:rPr>
          <w:rFonts w:asciiTheme="minorHAnsi" w:hAnsiTheme="minorHAnsi" w:cstheme="minorHAnsi"/>
          <w:bCs/>
        </w:rPr>
        <w:t>a Slovensku. Svým klientům přináší nadstandardní nabídku finančních, bankovních a realitních služeb.</w:t>
      </w:r>
      <w:r w:rsidR="004535AF" w:rsidRPr="007F7DBD">
        <w:rPr>
          <w:rFonts w:asciiTheme="minorHAnsi" w:hAnsiTheme="minorHAnsi" w:cstheme="minorHAnsi"/>
          <w:bCs/>
        </w:rPr>
        <w:t xml:space="preserve"> </w:t>
      </w:r>
      <w:r w:rsidR="001064B6" w:rsidRPr="007F7DBD">
        <w:rPr>
          <w:rFonts w:asciiTheme="minorHAnsi" w:hAnsiTheme="minorHAnsi" w:cstheme="minorHAnsi"/>
          <w:bCs/>
        </w:rPr>
        <w:t>Od</w:t>
      </w:r>
      <w:r w:rsidR="00D53527" w:rsidRPr="007F7DBD">
        <w:rPr>
          <w:rFonts w:asciiTheme="minorHAnsi" w:hAnsiTheme="minorHAnsi" w:cstheme="minorHAnsi"/>
          <w:bCs/>
        </w:rPr>
        <w:t xml:space="preserve"> svého založení v</w:t>
      </w:r>
      <w:r w:rsidR="00B70B94" w:rsidRPr="007F7DBD">
        <w:rPr>
          <w:rFonts w:asciiTheme="minorHAnsi" w:hAnsiTheme="minorHAnsi" w:cstheme="minorHAnsi"/>
          <w:bCs/>
        </w:rPr>
        <w:t> </w:t>
      </w:r>
      <w:r w:rsidR="00D53527" w:rsidRPr="007F7DBD">
        <w:rPr>
          <w:rFonts w:asciiTheme="minorHAnsi" w:hAnsiTheme="minorHAnsi" w:cstheme="minorHAnsi"/>
          <w:bCs/>
        </w:rPr>
        <w:t>roce 19</w:t>
      </w:r>
      <w:r w:rsidR="001064B6" w:rsidRPr="007F7DBD">
        <w:rPr>
          <w:rFonts w:asciiTheme="minorHAnsi" w:hAnsiTheme="minorHAnsi" w:cstheme="minorHAnsi"/>
          <w:bCs/>
        </w:rPr>
        <w:t xml:space="preserve">98 </w:t>
      </w:r>
      <w:r w:rsidR="004535AF" w:rsidRPr="007F7DBD">
        <w:rPr>
          <w:rFonts w:asciiTheme="minorHAnsi" w:hAnsiTheme="minorHAnsi" w:cstheme="minorHAnsi"/>
          <w:bCs/>
        </w:rPr>
        <w:t xml:space="preserve">už </w:t>
      </w:r>
      <w:r w:rsidR="001064B6" w:rsidRPr="007F7DBD">
        <w:rPr>
          <w:rFonts w:asciiTheme="minorHAnsi" w:hAnsiTheme="minorHAnsi" w:cstheme="minorHAnsi"/>
          <w:bCs/>
        </w:rPr>
        <w:t xml:space="preserve">získala </w:t>
      </w:r>
      <w:r w:rsidR="004535AF" w:rsidRPr="007F7DBD">
        <w:rPr>
          <w:rFonts w:asciiTheme="minorHAnsi" w:hAnsiTheme="minorHAnsi" w:cstheme="minorHAnsi"/>
          <w:bCs/>
        </w:rPr>
        <w:t>důvěru více než 600 000 klientů a přes 4 000 firem</w:t>
      </w:r>
      <w:r w:rsidR="001064B6" w:rsidRPr="007F7DBD">
        <w:rPr>
          <w:rFonts w:asciiTheme="minorHAnsi" w:hAnsiTheme="minorHAnsi" w:cstheme="minorHAnsi"/>
          <w:bCs/>
        </w:rPr>
        <w:t>. Distribuci služeb zajišťu</w:t>
      </w:r>
      <w:r w:rsidR="00D53527" w:rsidRPr="007F7DBD">
        <w:rPr>
          <w:rFonts w:asciiTheme="minorHAnsi" w:hAnsiTheme="minorHAnsi" w:cstheme="minorHAnsi"/>
          <w:bCs/>
        </w:rPr>
        <w:t xml:space="preserve">je přibližně 2 000 konzultantů </w:t>
      </w:r>
      <w:r w:rsidR="001064B6" w:rsidRPr="007F7DBD">
        <w:rPr>
          <w:rFonts w:asciiTheme="minorHAnsi" w:hAnsiTheme="minorHAnsi" w:cstheme="minorHAnsi"/>
          <w:bCs/>
        </w:rPr>
        <w:t>ve více než 100 kancelářích a</w:t>
      </w:r>
      <w:r w:rsidR="00A57D02">
        <w:rPr>
          <w:rFonts w:asciiTheme="minorHAnsi" w:hAnsiTheme="minorHAnsi" w:cstheme="minorHAnsi"/>
          <w:bCs/>
        </w:rPr>
        <w:t xml:space="preserve"> na</w:t>
      </w:r>
      <w:r w:rsidR="001064B6" w:rsidRPr="007F7DBD">
        <w:rPr>
          <w:rFonts w:asciiTheme="minorHAnsi" w:hAnsiTheme="minorHAnsi" w:cstheme="minorHAnsi"/>
          <w:bCs/>
        </w:rPr>
        <w:t xml:space="preserve"> </w:t>
      </w:r>
      <w:r w:rsidR="00A57D02" w:rsidRPr="00CC2910">
        <w:rPr>
          <w:rFonts w:asciiTheme="minorHAnsi" w:hAnsiTheme="minorHAnsi" w:cstheme="minorHAnsi"/>
          <w:bCs/>
        </w:rPr>
        <w:t>několika desítkách</w:t>
      </w:r>
      <w:r w:rsidR="004535AF" w:rsidRPr="00CC2910">
        <w:rPr>
          <w:rFonts w:asciiTheme="minorHAnsi" w:hAnsiTheme="minorHAnsi" w:cstheme="minorHAnsi"/>
          <w:bCs/>
        </w:rPr>
        <w:t xml:space="preserve"> franšízových pobočkách</w:t>
      </w:r>
      <w:r w:rsidR="001064B6" w:rsidRPr="00CC2910">
        <w:rPr>
          <w:rFonts w:asciiTheme="minorHAnsi" w:hAnsiTheme="minorHAnsi" w:cstheme="minorHAnsi"/>
          <w:bCs/>
        </w:rPr>
        <w:t xml:space="preserve">. Bankovní, finanční a realitní </w:t>
      </w:r>
      <w:r w:rsidRPr="00CC2910">
        <w:rPr>
          <w:rFonts w:asciiTheme="minorHAnsi" w:hAnsiTheme="minorHAnsi" w:cstheme="minorHAnsi"/>
          <w:bCs/>
        </w:rPr>
        <w:t xml:space="preserve">služby </w:t>
      </w:r>
      <w:r w:rsidR="00BF7FFE" w:rsidRPr="00CC2910">
        <w:rPr>
          <w:rFonts w:asciiTheme="minorHAnsi" w:hAnsiTheme="minorHAnsi" w:cstheme="minorHAnsi"/>
          <w:bCs/>
        </w:rPr>
        <w:t>pod jednou střechou</w:t>
      </w:r>
      <w:r w:rsidR="00751D63" w:rsidRPr="00CC2910">
        <w:rPr>
          <w:rFonts w:asciiTheme="minorHAnsi" w:hAnsiTheme="minorHAnsi" w:cstheme="minorHAnsi"/>
          <w:bCs/>
        </w:rPr>
        <w:t xml:space="preserve"> </w:t>
      </w:r>
      <w:r w:rsidR="007B2DED" w:rsidRPr="00CC2910">
        <w:rPr>
          <w:rFonts w:asciiTheme="minorHAnsi" w:hAnsiTheme="minorHAnsi" w:cstheme="minorHAnsi"/>
          <w:bCs/>
        </w:rPr>
        <w:t>přináší</w:t>
      </w:r>
      <w:r w:rsidRPr="00CC2910">
        <w:rPr>
          <w:rFonts w:asciiTheme="minorHAnsi" w:hAnsiTheme="minorHAnsi" w:cstheme="minorHAnsi"/>
          <w:bCs/>
        </w:rPr>
        <w:t xml:space="preserve"> franšízový koncept</w:t>
      </w:r>
      <w:r w:rsidR="00A1335A" w:rsidRPr="00CC2910">
        <w:rPr>
          <w:rFonts w:asciiTheme="minorHAnsi" w:hAnsiTheme="minorHAnsi" w:cstheme="minorHAnsi"/>
          <w:bCs/>
        </w:rPr>
        <w:t xml:space="preserve"> OK POINT, </w:t>
      </w:r>
      <w:r w:rsidR="00CC2910" w:rsidRPr="00CC2910">
        <w:rPr>
          <w:rFonts w:asciiTheme="minorHAnsi" w:hAnsiTheme="minorHAnsi" w:cstheme="minorHAnsi"/>
          <w:bCs/>
        </w:rPr>
        <w:t xml:space="preserve">který společnost </w:t>
      </w:r>
      <w:r w:rsidR="00CC2910" w:rsidRPr="00CC2910">
        <w:rPr>
          <w:rFonts w:asciiTheme="minorHAnsi" w:eastAsiaTheme="minorHAnsi" w:hAnsiTheme="minorHAnsi" w:cstheme="minorHAnsi"/>
          <w:lang w:eastAsia="en-US" w:bidi="ar-SA"/>
        </w:rPr>
        <w:t xml:space="preserve">Broker </w:t>
      </w:r>
      <w:proofErr w:type="spellStart"/>
      <w:r w:rsidR="00CC2910" w:rsidRPr="00CC2910">
        <w:rPr>
          <w:rFonts w:asciiTheme="minorHAnsi" w:eastAsiaTheme="minorHAnsi" w:hAnsiTheme="minorHAnsi" w:cstheme="minorHAnsi"/>
          <w:lang w:eastAsia="en-US" w:bidi="ar-SA"/>
        </w:rPr>
        <w:t>Consulting</w:t>
      </w:r>
      <w:proofErr w:type="spellEnd"/>
      <w:r w:rsidR="00CC2910" w:rsidRPr="00CC2910">
        <w:rPr>
          <w:rFonts w:asciiTheme="minorHAnsi" w:eastAsiaTheme="minorHAnsi" w:hAnsiTheme="minorHAnsi" w:cstheme="minorHAnsi"/>
          <w:lang w:eastAsia="en-US" w:bidi="ar-SA"/>
        </w:rPr>
        <w:t xml:space="preserve"> již osm let nabízí ve spolupráci se svými partnery.</w:t>
      </w:r>
      <w:r w:rsidR="001064B6" w:rsidRPr="007F7DBD">
        <w:rPr>
          <w:rFonts w:asciiTheme="minorHAnsi" w:hAnsiTheme="minorHAnsi" w:cstheme="minorHAnsi"/>
          <w:bCs/>
        </w:rPr>
        <w:t xml:space="preserve"> </w:t>
      </w:r>
      <w:r w:rsidR="00372216" w:rsidRPr="007F7DBD">
        <w:rPr>
          <w:rFonts w:asciiTheme="minorHAnsi" w:hAnsiTheme="minorHAnsi" w:cstheme="minorHAnsi"/>
          <w:bCs/>
        </w:rPr>
        <w:t>Širší s</w:t>
      </w:r>
      <w:r w:rsidR="001064B6" w:rsidRPr="007F7DBD">
        <w:rPr>
          <w:rFonts w:asciiTheme="minorHAnsi" w:hAnsiTheme="minorHAnsi" w:cstheme="minorHAnsi"/>
          <w:bCs/>
        </w:rPr>
        <w:t xml:space="preserve">kupina </w:t>
      </w:r>
      <w:r w:rsidR="00372216" w:rsidRPr="007F7DBD">
        <w:rPr>
          <w:rFonts w:asciiTheme="minorHAnsi" w:hAnsiTheme="minorHAnsi" w:cstheme="minorHAnsi"/>
          <w:bCs/>
        </w:rPr>
        <w:t xml:space="preserve">Broker </w:t>
      </w:r>
      <w:proofErr w:type="spellStart"/>
      <w:r w:rsidR="00372216" w:rsidRPr="007F7DBD">
        <w:rPr>
          <w:rFonts w:asciiTheme="minorHAnsi" w:hAnsiTheme="minorHAnsi" w:cstheme="minorHAnsi"/>
          <w:bCs/>
        </w:rPr>
        <w:t>Consulting</w:t>
      </w:r>
      <w:proofErr w:type="spellEnd"/>
      <w:r w:rsidR="00372216" w:rsidRPr="007F7DBD">
        <w:rPr>
          <w:rFonts w:asciiTheme="minorHAnsi" w:hAnsiTheme="minorHAnsi" w:cstheme="minorHAnsi"/>
          <w:bCs/>
        </w:rPr>
        <w:t xml:space="preserve"> </w:t>
      </w:r>
      <w:r w:rsidR="001064B6" w:rsidRPr="007F7DBD">
        <w:rPr>
          <w:rFonts w:asciiTheme="minorHAnsi" w:hAnsiTheme="minorHAnsi" w:cstheme="minorHAnsi"/>
          <w:bCs/>
        </w:rPr>
        <w:t>se kromě finančního a realitního zprostředkování věnuje například developmentu, správě nemov</w:t>
      </w:r>
      <w:r w:rsidR="00BF7FFE" w:rsidRPr="007F7DBD">
        <w:rPr>
          <w:rFonts w:asciiTheme="minorHAnsi" w:hAnsiTheme="minorHAnsi" w:cstheme="minorHAnsi"/>
          <w:bCs/>
        </w:rPr>
        <w:t xml:space="preserve">itostí </w:t>
      </w:r>
      <w:r w:rsidR="00551F4F" w:rsidRPr="007F7DBD">
        <w:rPr>
          <w:rFonts w:asciiTheme="minorHAnsi" w:hAnsiTheme="minorHAnsi" w:cstheme="minorHAnsi"/>
          <w:bCs/>
        </w:rPr>
        <w:t>či</w:t>
      </w:r>
      <w:r w:rsidR="00BF7FFE" w:rsidRPr="007F7DBD">
        <w:rPr>
          <w:rFonts w:asciiTheme="minorHAnsi" w:hAnsiTheme="minorHAnsi" w:cstheme="minorHAnsi"/>
          <w:bCs/>
        </w:rPr>
        <w:t xml:space="preserve"> poskytování</w:t>
      </w:r>
      <w:r w:rsidR="001064B6" w:rsidRPr="007F7DBD">
        <w:rPr>
          <w:rFonts w:asciiTheme="minorHAnsi" w:hAnsiTheme="minorHAnsi" w:cstheme="minorHAnsi"/>
          <w:bCs/>
        </w:rPr>
        <w:t xml:space="preserve"> férový</w:t>
      </w:r>
      <w:r w:rsidR="00BF7FFE" w:rsidRPr="007F7DBD">
        <w:rPr>
          <w:rFonts w:asciiTheme="minorHAnsi" w:hAnsiTheme="minorHAnsi" w:cstheme="minorHAnsi"/>
          <w:bCs/>
        </w:rPr>
        <w:t>ch</w:t>
      </w:r>
      <w:r w:rsidR="001064B6" w:rsidRPr="007F7DBD">
        <w:rPr>
          <w:rFonts w:asciiTheme="minorHAnsi" w:hAnsiTheme="minorHAnsi" w:cstheme="minorHAnsi"/>
          <w:bCs/>
        </w:rPr>
        <w:t xml:space="preserve"> nebankovní</w:t>
      </w:r>
      <w:r w:rsidR="00BF7FFE" w:rsidRPr="007F7DBD">
        <w:rPr>
          <w:rFonts w:asciiTheme="minorHAnsi" w:hAnsiTheme="minorHAnsi" w:cstheme="minorHAnsi"/>
          <w:bCs/>
        </w:rPr>
        <w:t>ch půjček</w:t>
      </w:r>
      <w:r w:rsidR="00551F4F" w:rsidRPr="007F7DBD">
        <w:rPr>
          <w:rFonts w:asciiTheme="minorHAnsi" w:hAnsiTheme="minorHAnsi" w:cstheme="minorHAnsi"/>
          <w:bCs/>
        </w:rPr>
        <w:t xml:space="preserve">. Do </w:t>
      </w:r>
      <w:r w:rsidR="001064B6" w:rsidRPr="007F7DBD">
        <w:rPr>
          <w:rFonts w:asciiTheme="minorHAnsi" w:hAnsiTheme="minorHAnsi" w:cstheme="minorHAnsi"/>
          <w:bCs/>
        </w:rPr>
        <w:t>skupiny patř</w:t>
      </w:r>
      <w:r w:rsidR="0057027B">
        <w:rPr>
          <w:rFonts w:asciiTheme="minorHAnsi" w:hAnsiTheme="minorHAnsi" w:cstheme="minorHAnsi"/>
          <w:bCs/>
        </w:rPr>
        <w:t xml:space="preserve">í například Broker </w:t>
      </w:r>
      <w:proofErr w:type="spellStart"/>
      <w:r w:rsidR="0057027B">
        <w:rPr>
          <w:rFonts w:asciiTheme="minorHAnsi" w:hAnsiTheme="minorHAnsi" w:cstheme="minorHAnsi"/>
          <w:bCs/>
        </w:rPr>
        <w:t>Consulting</w:t>
      </w:r>
      <w:proofErr w:type="spellEnd"/>
      <w:r w:rsidR="0057027B">
        <w:rPr>
          <w:rFonts w:asciiTheme="minorHAnsi" w:hAnsiTheme="minorHAnsi" w:cstheme="minorHAnsi"/>
          <w:bCs/>
        </w:rPr>
        <w:t xml:space="preserve"> Česká republika</w:t>
      </w:r>
      <w:r w:rsidR="001064B6" w:rsidRPr="007F7DBD">
        <w:rPr>
          <w:rFonts w:asciiTheme="minorHAnsi" w:hAnsiTheme="minorHAnsi" w:cstheme="minorHAnsi"/>
          <w:bCs/>
        </w:rPr>
        <w:t xml:space="preserve">, Broker </w:t>
      </w:r>
      <w:proofErr w:type="spellStart"/>
      <w:r w:rsidR="001064B6" w:rsidRPr="007F7DBD">
        <w:rPr>
          <w:rFonts w:asciiTheme="minorHAnsi" w:hAnsiTheme="minorHAnsi" w:cstheme="minorHAnsi"/>
          <w:bCs/>
        </w:rPr>
        <w:t>Consulting</w:t>
      </w:r>
      <w:proofErr w:type="spellEnd"/>
      <w:r w:rsidR="001064B6" w:rsidRPr="007F7DBD">
        <w:rPr>
          <w:rFonts w:asciiTheme="minorHAnsi" w:hAnsiTheme="minorHAnsi" w:cstheme="minorHAnsi"/>
          <w:bCs/>
        </w:rPr>
        <w:t xml:space="preserve"> Slovenská republika, </w:t>
      </w:r>
      <w:r w:rsidR="004535AF" w:rsidRPr="007F7DBD">
        <w:rPr>
          <w:rFonts w:asciiTheme="minorHAnsi" w:hAnsiTheme="minorHAnsi" w:cstheme="minorHAnsi"/>
          <w:bCs/>
        </w:rPr>
        <w:t xml:space="preserve">BC Real, PRODOMIA Group, </w:t>
      </w:r>
      <w:proofErr w:type="spellStart"/>
      <w:r w:rsidR="001064B6" w:rsidRPr="007F7DBD">
        <w:rPr>
          <w:rFonts w:asciiTheme="minorHAnsi" w:hAnsiTheme="minorHAnsi" w:cstheme="minorHAnsi"/>
          <w:bCs/>
        </w:rPr>
        <w:t>ProCredia</w:t>
      </w:r>
      <w:proofErr w:type="spellEnd"/>
      <w:r w:rsidR="001064B6" w:rsidRPr="007F7DBD">
        <w:rPr>
          <w:rFonts w:asciiTheme="minorHAnsi" w:hAnsiTheme="minorHAnsi" w:cstheme="minorHAnsi"/>
          <w:bCs/>
        </w:rPr>
        <w:t xml:space="preserve">, MONECO </w:t>
      </w:r>
      <w:r w:rsidR="004535AF" w:rsidRPr="007F7DBD">
        <w:rPr>
          <w:rFonts w:asciiTheme="minorHAnsi" w:hAnsiTheme="minorHAnsi" w:cstheme="minorHAnsi"/>
          <w:bCs/>
        </w:rPr>
        <w:t>a MONECO investiční společnost.</w:t>
      </w:r>
    </w:p>
    <w:p w14:paraId="00127166" w14:textId="75A1276E" w:rsidR="001064B6" w:rsidRPr="007F7DBD" w:rsidRDefault="00FC4A1A" w:rsidP="001064B6">
      <w:pPr>
        <w:jc w:val="both"/>
        <w:rPr>
          <w:rFonts w:asciiTheme="minorHAnsi" w:hAnsiTheme="minorHAnsi" w:cstheme="minorHAnsi"/>
          <w:bCs/>
        </w:rPr>
      </w:pPr>
      <w:hyperlink r:id="rId12" w:history="1">
        <w:r w:rsidR="001064B6" w:rsidRPr="007F7DBD">
          <w:rPr>
            <w:rStyle w:val="Hypertextovodkaz"/>
            <w:rFonts w:asciiTheme="minorHAnsi" w:hAnsiTheme="minorHAnsi" w:cstheme="minorHAnsi"/>
            <w:bCs/>
          </w:rPr>
          <w:t>www.bcas.cz</w:t>
        </w:r>
      </w:hyperlink>
      <w:r w:rsidR="001064B6" w:rsidRPr="007F7DBD">
        <w:rPr>
          <w:rFonts w:asciiTheme="minorHAnsi" w:hAnsiTheme="minorHAnsi" w:cstheme="minorHAnsi"/>
          <w:bCs/>
        </w:rPr>
        <w:t xml:space="preserve"> </w:t>
      </w:r>
    </w:p>
    <w:p w14:paraId="77040F73" w14:textId="77777777" w:rsidR="00C74DD9" w:rsidRDefault="00C74DD9" w:rsidP="009057C8">
      <w:pPr>
        <w:rPr>
          <w:rFonts w:asciiTheme="minorHAnsi" w:eastAsia="Calibri" w:hAnsiTheme="minorHAnsi" w:cstheme="minorHAnsi"/>
          <w:b/>
          <w:bCs/>
          <w:noProof/>
        </w:rPr>
      </w:pPr>
    </w:p>
    <w:p w14:paraId="5C230B7A" w14:textId="4FE09D6C" w:rsidR="009057C8" w:rsidRPr="007F7DBD" w:rsidRDefault="009057C8" w:rsidP="009057C8">
      <w:pPr>
        <w:rPr>
          <w:rFonts w:asciiTheme="minorHAnsi" w:eastAsia="Calibri" w:hAnsiTheme="minorHAnsi" w:cstheme="minorHAnsi"/>
          <w:b/>
          <w:bCs/>
          <w:noProof/>
        </w:rPr>
      </w:pPr>
      <w:r w:rsidRPr="007F7DBD">
        <w:rPr>
          <w:rFonts w:asciiTheme="minorHAnsi" w:eastAsia="Calibri" w:hAnsiTheme="minorHAnsi" w:cstheme="minorHAnsi"/>
          <w:b/>
          <w:bCs/>
          <w:noProof/>
        </w:rPr>
        <w:t>Kontakt pro média:</w:t>
      </w:r>
    </w:p>
    <w:p w14:paraId="35D48D74" w14:textId="77777777" w:rsidR="006353A4" w:rsidRPr="007F7DBD" w:rsidRDefault="006353A4" w:rsidP="009057C8">
      <w:pPr>
        <w:rPr>
          <w:rFonts w:asciiTheme="minorHAnsi" w:eastAsia="Calibri" w:hAnsiTheme="minorHAnsi" w:cstheme="minorHAnsi"/>
          <w:b/>
          <w:bCs/>
          <w:noProof/>
        </w:rPr>
      </w:pPr>
    </w:p>
    <w:p w14:paraId="477C25A8" w14:textId="74B294AC" w:rsidR="009057C8" w:rsidRPr="007F7DBD" w:rsidRDefault="00A069DE" w:rsidP="00C74DD9">
      <w:pPr>
        <w:spacing w:after="120"/>
        <w:rPr>
          <w:rFonts w:asciiTheme="minorHAnsi" w:eastAsia="Calibri" w:hAnsiTheme="minorHAnsi" w:cstheme="minorHAnsi"/>
          <w:b/>
          <w:bCs/>
          <w:noProof/>
          <w:lang w:bidi="ar-SA"/>
        </w:rPr>
      </w:pPr>
      <w:r w:rsidRPr="007F7DBD">
        <w:rPr>
          <w:rFonts w:asciiTheme="minorHAnsi" w:eastAsia="Calibri" w:hAnsiTheme="minorHAnsi" w:cstheme="minorHAnsi"/>
          <w:b/>
          <w:bCs/>
          <w:noProof/>
        </w:rPr>
        <w:t>Michaela Sahulová</w:t>
      </w:r>
    </w:p>
    <w:p w14:paraId="230A45C3" w14:textId="4B8846FE" w:rsidR="009057C8" w:rsidRPr="007F7DBD" w:rsidRDefault="009057C8" w:rsidP="006353A4">
      <w:pPr>
        <w:spacing w:after="225"/>
        <w:rPr>
          <w:rFonts w:asciiTheme="minorHAnsi" w:eastAsia="Calibri" w:hAnsiTheme="minorHAnsi" w:cstheme="minorHAnsi"/>
          <w:noProof/>
        </w:rPr>
      </w:pPr>
      <w:r w:rsidRPr="007F7DBD">
        <w:rPr>
          <w:rFonts w:asciiTheme="minorHAnsi" w:eastAsia="Calibri" w:hAnsiTheme="minorHAnsi" w:cstheme="minorHAnsi"/>
          <w:noProof/>
        </w:rPr>
        <w:t>Specialistka PR a externí komunikace</w:t>
      </w:r>
      <w:r w:rsidR="006353A4" w:rsidRPr="007F7DBD">
        <w:rPr>
          <w:rFonts w:asciiTheme="minorHAnsi" w:eastAsia="Calibri" w:hAnsiTheme="minorHAnsi" w:cstheme="minorHAnsi"/>
          <w:noProof/>
        </w:rPr>
        <w:br/>
      </w:r>
      <w:r w:rsidR="004535AF" w:rsidRPr="007F7DBD">
        <w:rPr>
          <w:rFonts w:asciiTheme="minorHAnsi" w:eastAsia="Calibri" w:hAnsiTheme="minorHAnsi" w:cstheme="minorHAnsi"/>
          <w:bCs/>
          <w:noProof/>
        </w:rPr>
        <w:t>Broker Consulting, a.s.</w:t>
      </w:r>
      <w:r w:rsidR="006353A4" w:rsidRPr="007F7DBD">
        <w:rPr>
          <w:rFonts w:asciiTheme="minorHAnsi" w:eastAsia="Calibri" w:hAnsiTheme="minorHAnsi" w:cstheme="minorHAnsi"/>
          <w:noProof/>
        </w:rPr>
        <w:br/>
      </w:r>
      <w:r w:rsidR="00A069DE" w:rsidRPr="007F7DBD">
        <w:rPr>
          <w:rFonts w:asciiTheme="minorHAnsi" w:eastAsia="Calibri" w:hAnsiTheme="minorHAnsi" w:cstheme="minorHAnsi"/>
          <w:noProof/>
        </w:rPr>
        <w:t>mobil: +420 731 538 373</w:t>
      </w:r>
      <w:r w:rsidR="004535AF" w:rsidRPr="007F7DBD">
        <w:rPr>
          <w:rFonts w:asciiTheme="minorHAnsi" w:eastAsia="Calibri" w:hAnsiTheme="minorHAnsi" w:cstheme="minorHAnsi"/>
          <w:noProof/>
        </w:rPr>
        <w:t xml:space="preserve">, </w:t>
      </w:r>
      <w:r w:rsidRPr="007F7DBD">
        <w:rPr>
          <w:rFonts w:asciiTheme="minorHAnsi" w:eastAsia="Calibri" w:hAnsiTheme="minorHAnsi" w:cstheme="minorHAnsi"/>
          <w:noProof/>
        </w:rPr>
        <w:t xml:space="preserve">e-mail: </w:t>
      </w:r>
      <w:r w:rsidR="00A069DE" w:rsidRPr="007F7DBD">
        <w:rPr>
          <w:rFonts w:asciiTheme="minorHAnsi" w:eastAsia="Calibri" w:hAnsiTheme="minorHAnsi" w:cstheme="minorHAnsi"/>
          <w:noProof/>
        </w:rPr>
        <w:t>michaelas.sahulova@bcas.cz</w:t>
      </w:r>
      <w:r w:rsidRPr="007F7DBD">
        <w:rPr>
          <w:rFonts w:asciiTheme="minorHAnsi" w:eastAsia="Calibri" w:hAnsiTheme="minorHAnsi" w:cstheme="minorHAnsi"/>
          <w:noProof/>
        </w:rPr>
        <w:t xml:space="preserve"> </w:t>
      </w:r>
    </w:p>
    <w:sectPr w:rsidR="009057C8" w:rsidRPr="007F7DBD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FB4B" w14:textId="77777777" w:rsidR="00FC4A1A" w:rsidRDefault="00FC4A1A">
      <w:r>
        <w:separator/>
      </w:r>
    </w:p>
  </w:endnote>
  <w:endnote w:type="continuationSeparator" w:id="0">
    <w:p w14:paraId="69688DF0" w14:textId="77777777" w:rsidR="00FC4A1A" w:rsidRDefault="00F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5D310" w14:textId="77777777" w:rsidR="00FC4A1A" w:rsidRDefault="00FC4A1A">
      <w:r>
        <w:separator/>
      </w:r>
    </w:p>
  </w:footnote>
  <w:footnote w:type="continuationSeparator" w:id="0">
    <w:p w14:paraId="5AA620DA" w14:textId="77777777" w:rsidR="00FC4A1A" w:rsidRDefault="00FC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1E22" w14:textId="52EF24AF" w:rsidR="00956FDD" w:rsidRDefault="00956FDD">
    <w:pPr>
      <w:pStyle w:val="Zhlav"/>
    </w:pPr>
    <w:r>
      <w:rPr>
        <w:noProof/>
        <w:lang w:bidi="ar-SA"/>
      </w:rPr>
      <w:drawing>
        <wp:anchor distT="152400" distB="152400" distL="152400" distR="152400" simplePos="0" relativeHeight="251670528" behindDoc="1" locked="0" layoutInCell="1" allowOverlap="1" wp14:anchorId="3B5F1C8D" wp14:editId="37DD6863">
          <wp:simplePos x="0" y="0"/>
          <wp:positionH relativeFrom="margin">
            <wp:posOffset>4905864</wp:posOffset>
          </wp:positionH>
          <wp:positionV relativeFrom="page">
            <wp:posOffset>319405</wp:posOffset>
          </wp:positionV>
          <wp:extent cx="1699261" cy="838200"/>
          <wp:effectExtent l="0" t="0" r="0" b="0"/>
          <wp:wrapNone/>
          <wp:docPr id="1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6FC660E8">
          <wp:simplePos x="0" y="0"/>
          <wp:positionH relativeFrom="margin">
            <wp:posOffset>4835378</wp:posOffset>
          </wp:positionH>
          <wp:positionV relativeFrom="page">
            <wp:posOffset>311785</wp:posOffset>
          </wp:positionV>
          <wp:extent cx="1699261" cy="8382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1E4B038E" w:rsidR="003F061B" w:rsidRDefault="00956FDD" w:rsidP="00956FDD">
    <w:pPr>
      <w:pStyle w:val="Zhlav"/>
      <w:tabs>
        <w:tab w:val="clear" w:pos="4536"/>
        <w:tab w:val="clear" w:pos="9072"/>
        <w:tab w:val="left" w:pos="1135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BB0"/>
    <w:multiLevelType w:val="hybridMultilevel"/>
    <w:tmpl w:val="F85CAE2C"/>
    <w:lvl w:ilvl="0" w:tplc="A816DFB0">
      <w:start w:val="2"/>
      <w:numFmt w:val="bullet"/>
      <w:lvlText w:val="-"/>
      <w:lvlJc w:val="left"/>
      <w:pPr>
        <w:ind w:left="720" w:hanging="360"/>
      </w:pPr>
      <w:rPr>
        <w:rFonts w:ascii="Calibri" w:eastAsia="F015TEELi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A05"/>
    <w:multiLevelType w:val="hybridMultilevel"/>
    <w:tmpl w:val="8DA0DED0"/>
    <w:lvl w:ilvl="0" w:tplc="4746B704">
      <w:start w:val="2"/>
      <w:numFmt w:val="bullet"/>
      <w:lvlText w:val="-"/>
      <w:lvlJc w:val="left"/>
      <w:pPr>
        <w:ind w:left="720" w:hanging="360"/>
      </w:pPr>
      <w:rPr>
        <w:rFonts w:ascii="Calibri" w:eastAsia="F015TEELi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22B"/>
    <w:rsid w:val="00007E9F"/>
    <w:rsid w:val="00010D04"/>
    <w:rsid w:val="00010F78"/>
    <w:rsid w:val="000120DE"/>
    <w:rsid w:val="000248BA"/>
    <w:rsid w:val="00026F23"/>
    <w:rsid w:val="00030741"/>
    <w:rsid w:val="000311F1"/>
    <w:rsid w:val="00031728"/>
    <w:rsid w:val="00032315"/>
    <w:rsid w:val="0003280E"/>
    <w:rsid w:val="00032D94"/>
    <w:rsid w:val="000374D7"/>
    <w:rsid w:val="0005423A"/>
    <w:rsid w:val="00054619"/>
    <w:rsid w:val="0006554C"/>
    <w:rsid w:val="000776B6"/>
    <w:rsid w:val="00082EA8"/>
    <w:rsid w:val="00083B41"/>
    <w:rsid w:val="00083DBA"/>
    <w:rsid w:val="00092A12"/>
    <w:rsid w:val="00094C65"/>
    <w:rsid w:val="000A3384"/>
    <w:rsid w:val="000A77DA"/>
    <w:rsid w:val="000A7B2C"/>
    <w:rsid w:val="000C799E"/>
    <w:rsid w:val="000D5F54"/>
    <w:rsid w:val="000D692C"/>
    <w:rsid w:val="000E1A16"/>
    <w:rsid w:val="000E26AE"/>
    <w:rsid w:val="000E41EB"/>
    <w:rsid w:val="000E75E9"/>
    <w:rsid w:val="000F0758"/>
    <w:rsid w:val="000F0FCF"/>
    <w:rsid w:val="000F21AB"/>
    <w:rsid w:val="000F396E"/>
    <w:rsid w:val="000F3B07"/>
    <w:rsid w:val="000F6249"/>
    <w:rsid w:val="001064B6"/>
    <w:rsid w:val="00117D51"/>
    <w:rsid w:val="00121C71"/>
    <w:rsid w:val="00126336"/>
    <w:rsid w:val="0012713E"/>
    <w:rsid w:val="0013044E"/>
    <w:rsid w:val="00130B20"/>
    <w:rsid w:val="00131DF9"/>
    <w:rsid w:val="00131F7B"/>
    <w:rsid w:val="0013512D"/>
    <w:rsid w:val="001364B6"/>
    <w:rsid w:val="00137003"/>
    <w:rsid w:val="0014148D"/>
    <w:rsid w:val="00141972"/>
    <w:rsid w:val="001432DB"/>
    <w:rsid w:val="00144692"/>
    <w:rsid w:val="00144C68"/>
    <w:rsid w:val="001479CE"/>
    <w:rsid w:val="00150E36"/>
    <w:rsid w:val="0015135C"/>
    <w:rsid w:val="00152C35"/>
    <w:rsid w:val="001550FB"/>
    <w:rsid w:val="00155CCB"/>
    <w:rsid w:val="001708F8"/>
    <w:rsid w:val="00170B59"/>
    <w:rsid w:val="00177E6B"/>
    <w:rsid w:val="00193DA2"/>
    <w:rsid w:val="0019501C"/>
    <w:rsid w:val="001A1F78"/>
    <w:rsid w:val="001A54DD"/>
    <w:rsid w:val="001A5870"/>
    <w:rsid w:val="001A6E5F"/>
    <w:rsid w:val="001B1C05"/>
    <w:rsid w:val="001B7271"/>
    <w:rsid w:val="001C4374"/>
    <w:rsid w:val="001D14C7"/>
    <w:rsid w:val="001D42AC"/>
    <w:rsid w:val="001E00DB"/>
    <w:rsid w:val="001E29B9"/>
    <w:rsid w:val="001E2A7A"/>
    <w:rsid w:val="001E2FE6"/>
    <w:rsid w:val="001F0F9F"/>
    <w:rsid w:val="00203B3D"/>
    <w:rsid w:val="00207868"/>
    <w:rsid w:val="002108A4"/>
    <w:rsid w:val="002223AD"/>
    <w:rsid w:val="00227C05"/>
    <w:rsid w:val="00235340"/>
    <w:rsid w:val="00241313"/>
    <w:rsid w:val="00242112"/>
    <w:rsid w:val="00246007"/>
    <w:rsid w:val="00251B9D"/>
    <w:rsid w:val="0025264B"/>
    <w:rsid w:val="0025526B"/>
    <w:rsid w:val="00256CDD"/>
    <w:rsid w:val="00266F4E"/>
    <w:rsid w:val="00267872"/>
    <w:rsid w:val="00270DB3"/>
    <w:rsid w:val="002734C4"/>
    <w:rsid w:val="00275A59"/>
    <w:rsid w:val="0028347F"/>
    <w:rsid w:val="00284068"/>
    <w:rsid w:val="002975D8"/>
    <w:rsid w:val="00297A3F"/>
    <w:rsid w:val="002A5F43"/>
    <w:rsid w:val="002A63E5"/>
    <w:rsid w:val="002B5023"/>
    <w:rsid w:val="002C0BB2"/>
    <w:rsid w:val="002C6596"/>
    <w:rsid w:val="002C79C2"/>
    <w:rsid w:val="002D59AF"/>
    <w:rsid w:val="002D5D62"/>
    <w:rsid w:val="002E595A"/>
    <w:rsid w:val="002F0ABF"/>
    <w:rsid w:val="002F47C4"/>
    <w:rsid w:val="00300AFB"/>
    <w:rsid w:val="00312713"/>
    <w:rsid w:val="003128F8"/>
    <w:rsid w:val="003209EF"/>
    <w:rsid w:val="00320A26"/>
    <w:rsid w:val="003216A2"/>
    <w:rsid w:val="00323662"/>
    <w:rsid w:val="00324A94"/>
    <w:rsid w:val="00330918"/>
    <w:rsid w:val="00336201"/>
    <w:rsid w:val="00340975"/>
    <w:rsid w:val="00346334"/>
    <w:rsid w:val="00347557"/>
    <w:rsid w:val="0034762C"/>
    <w:rsid w:val="00353D3E"/>
    <w:rsid w:val="00356770"/>
    <w:rsid w:val="003577CE"/>
    <w:rsid w:val="00362ABC"/>
    <w:rsid w:val="00363F70"/>
    <w:rsid w:val="00364AC3"/>
    <w:rsid w:val="00372216"/>
    <w:rsid w:val="00373E95"/>
    <w:rsid w:val="00383881"/>
    <w:rsid w:val="0038398B"/>
    <w:rsid w:val="0038401E"/>
    <w:rsid w:val="00384C67"/>
    <w:rsid w:val="0038737E"/>
    <w:rsid w:val="00392F65"/>
    <w:rsid w:val="00393DFA"/>
    <w:rsid w:val="00394A06"/>
    <w:rsid w:val="003A1534"/>
    <w:rsid w:val="003A3EF6"/>
    <w:rsid w:val="003A3FC0"/>
    <w:rsid w:val="003B3739"/>
    <w:rsid w:val="003B3EAF"/>
    <w:rsid w:val="003B43AA"/>
    <w:rsid w:val="003D06B6"/>
    <w:rsid w:val="003E050B"/>
    <w:rsid w:val="003E294B"/>
    <w:rsid w:val="003F034F"/>
    <w:rsid w:val="003F061B"/>
    <w:rsid w:val="003F4069"/>
    <w:rsid w:val="003F5EB9"/>
    <w:rsid w:val="003F65E7"/>
    <w:rsid w:val="003F73C3"/>
    <w:rsid w:val="00404480"/>
    <w:rsid w:val="0040621B"/>
    <w:rsid w:val="004213A6"/>
    <w:rsid w:val="004222B0"/>
    <w:rsid w:val="00423831"/>
    <w:rsid w:val="00426673"/>
    <w:rsid w:val="00427B33"/>
    <w:rsid w:val="00430B47"/>
    <w:rsid w:val="004310AE"/>
    <w:rsid w:val="00434BC6"/>
    <w:rsid w:val="00445D0A"/>
    <w:rsid w:val="00445E76"/>
    <w:rsid w:val="00451FBB"/>
    <w:rsid w:val="004535AF"/>
    <w:rsid w:val="0045531F"/>
    <w:rsid w:val="00455D9C"/>
    <w:rsid w:val="0046226D"/>
    <w:rsid w:val="00474E5D"/>
    <w:rsid w:val="00480831"/>
    <w:rsid w:val="00491B34"/>
    <w:rsid w:val="00496574"/>
    <w:rsid w:val="004B0729"/>
    <w:rsid w:val="004B29A0"/>
    <w:rsid w:val="004C4480"/>
    <w:rsid w:val="004C45C3"/>
    <w:rsid w:val="004D39C0"/>
    <w:rsid w:val="004D7C7E"/>
    <w:rsid w:val="004E09C0"/>
    <w:rsid w:val="004E1627"/>
    <w:rsid w:val="004E3482"/>
    <w:rsid w:val="004E581D"/>
    <w:rsid w:val="004F3261"/>
    <w:rsid w:val="004F3A20"/>
    <w:rsid w:val="004F49FC"/>
    <w:rsid w:val="004F5C5B"/>
    <w:rsid w:val="004F6074"/>
    <w:rsid w:val="0050646A"/>
    <w:rsid w:val="00520287"/>
    <w:rsid w:val="00521D66"/>
    <w:rsid w:val="00523B23"/>
    <w:rsid w:val="005244A9"/>
    <w:rsid w:val="00531D18"/>
    <w:rsid w:val="00533350"/>
    <w:rsid w:val="0053745B"/>
    <w:rsid w:val="0053787E"/>
    <w:rsid w:val="005439F6"/>
    <w:rsid w:val="0054700E"/>
    <w:rsid w:val="00551F4F"/>
    <w:rsid w:val="0055350F"/>
    <w:rsid w:val="00553D10"/>
    <w:rsid w:val="00555BBD"/>
    <w:rsid w:val="00555EC2"/>
    <w:rsid w:val="00561635"/>
    <w:rsid w:val="00562744"/>
    <w:rsid w:val="00567866"/>
    <w:rsid w:val="0057027B"/>
    <w:rsid w:val="00581E61"/>
    <w:rsid w:val="00587B4C"/>
    <w:rsid w:val="00594CCA"/>
    <w:rsid w:val="005965E3"/>
    <w:rsid w:val="005B13F7"/>
    <w:rsid w:val="005C1119"/>
    <w:rsid w:val="005C1BA5"/>
    <w:rsid w:val="005C3F5E"/>
    <w:rsid w:val="005D1BB8"/>
    <w:rsid w:val="005E7591"/>
    <w:rsid w:val="005E7CFD"/>
    <w:rsid w:val="005F34D7"/>
    <w:rsid w:val="005F5BE9"/>
    <w:rsid w:val="00601550"/>
    <w:rsid w:val="006026CF"/>
    <w:rsid w:val="006046F4"/>
    <w:rsid w:val="00611FB7"/>
    <w:rsid w:val="0061257E"/>
    <w:rsid w:val="00620E42"/>
    <w:rsid w:val="00621074"/>
    <w:rsid w:val="00622222"/>
    <w:rsid w:val="00626460"/>
    <w:rsid w:val="006353A4"/>
    <w:rsid w:val="006377E9"/>
    <w:rsid w:val="006408F8"/>
    <w:rsid w:val="00642CE6"/>
    <w:rsid w:val="00643781"/>
    <w:rsid w:val="0064401A"/>
    <w:rsid w:val="006473DA"/>
    <w:rsid w:val="00647E81"/>
    <w:rsid w:val="00650D9C"/>
    <w:rsid w:val="00661912"/>
    <w:rsid w:val="006662EE"/>
    <w:rsid w:val="00667B93"/>
    <w:rsid w:val="00670F53"/>
    <w:rsid w:val="0067391F"/>
    <w:rsid w:val="0068120C"/>
    <w:rsid w:val="00681566"/>
    <w:rsid w:val="006825A0"/>
    <w:rsid w:val="00684E61"/>
    <w:rsid w:val="00692020"/>
    <w:rsid w:val="006A1B50"/>
    <w:rsid w:val="006A46CC"/>
    <w:rsid w:val="006A73DB"/>
    <w:rsid w:val="006B111F"/>
    <w:rsid w:val="006B3D5C"/>
    <w:rsid w:val="006C115B"/>
    <w:rsid w:val="006C3C40"/>
    <w:rsid w:val="006C6899"/>
    <w:rsid w:val="006C7733"/>
    <w:rsid w:val="006D0172"/>
    <w:rsid w:val="006D0FD8"/>
    <w:rsid w:val="006D2759"/>
    <w:rsid w:val="006D6FA7"/>
    <w:rsid w:val="006E1F02"/>
    <w:rsid w:val="006F0460"/>
    <w:rsid w:val="006F262E"/>
    <w:rsid w:val="006F7C4F"/>
    <w:rsid w:val="007107C8"/>
    <w:rsid w:val="00713355"/>
    <w:rsid w:val="00721D5B"/>
    <w:rsid w:val="00722E1B"/>
    <w:rsid w:val="00725F77"/>
    <w:rsid w:val="00727F33"/>
    <w:rsid w:val="00731789"/>
    <w:rsid w:val="0073392D"/>
    <w:rsid w:val="00735B10"/>
    <w:rsid w:val="00736A80"/>
    <w:rsid w:val="00737912"/>
    <w:rsid w:val="00737D4B"/>
    <w:rsid w:val="00744B46"/>
    <w:rsid w:val="00745D77"/>
    <w:rsid w:val="00751D63"/>
    <w:rsid w:val="00752A0D"/>
    <w:rsid w:val="007563B0"/>
    <w:rsid w:val="00756C60"/>
    <w:rsid w:val="00756CB4"/>
    <w:rsid w:val="00761591"/>
    <w:rsid w:val="007660FA"/>
    <w:rsid w:val="00772771"/>
    <w:rsid w:val="0078049F"/>
    <w:rsid w:val="007919C9"/>
    <w:rsid w:val="00793C7F"/>
    <w:rsid w:val="007A0F04"/>
    <w:rsid w:val="007A1939"/>
    <w:rsid w:val="007A21D6"/>
    <w:rsid w:val="007A56FE"/>
    <w:rsid w:val="007B0579"/>
    <w:rsid w:val="007B0DF8"/>
    <w:rsid w:val="007B144F"/>
    <w:rsid w:val="007B2DED"/>
    <w:rsid w:val="007B7A7B"/>
    <w:rsid w:val="007C0C48"/>
    <w:rsid w:val="007C7D41"/>
    <w:rsid w:val="007D49A1"/>
    <w:rsid w:val="007D548E"/>
    <w:rsid w:val="007E0ED0"/>
    <w:rsid w:val="007F0521"/>
    <w:rsid w:val="007F39FB"/>
    <w:rsid w:val="007F7DBD"/>
    <w:rsid w:val="00800E01"/>
    <w:rsid w:val="0080704C"/>
    <w:rsid w:val="00813D38"/>
    <w:rsid w:val="008169D1"/>
    <w:rsid w:val="00821411"/>
    <w:rsid w:val="0083124B"/>
    <w:rsid w:val="00833140"/>
    <w:rsid w:val="00833D5E"/>
    <w:rsid w:val="00843A1B"/>
    <w:rsid w:val="00864DD9"/>
    <w:rsid w:val="00876968"/>
    <w:rsid w:val="008835B3"/>
    <w:rsid w:val="008853EF"/>
    <w:rsid w:val="00895D46"/>
    <w:rsid w:val="008966FB"/>
    <w:rsid w:val="008A04D3"/>
    <w:rsid w:val="008A5615"/>
    <w:rsid w:val="008B603D"/>
    <w:rsid w:val="008B616A"/>
    <w:rsid w:val="008C24AB"/>
    <w:rsid w:val="008D35DD"/>
    <w:rsid w:val="008D3D3B"/>
    <w:rsid w:val="008D5477"/>
    <w:rsid w:val="008D6EC3"/>
    <w:rsid w:val="008E05E5"/>
    <w:rsid w:val="008E0B1C"/>
    <w:rsid w:val="008E5004"/>
    <w:rsid w:val="009041AB"/>
    <w:rsid w:val="0090568A"/>
    <w:rsid w:val="009057C8"/>
    <w:rsid w:val="00913370"/>
    <w:rsid w:val="00915ADA"/>
    <w:rsid w:val="00916D7C"/>
    <w:rsid w:val="00924A06"/>
    <w:rsid w:val="0093229B"/>
    <w:rsid w:val="0093589F"/>
    <w:rsid w:val="00936B76"/>
    <w:rsid w:val="009375CA"/>
    <w:rsid w:val="009427B5"/>
    <w:rsid w:val="00943AD5"/>
    <w:rsid w:val="009466E8"/>
    <w:rsid w:val="00953CD0"/>
    <w:rsid w:val="009541FF"/>
    <w:rsid w:val="00954BBE"/>
    <w:rsid w:val="00956FDD"/>
    <w:rsid w:val="00960235"/>
    <w:rsid w:val="009676B8"/>
    <w:rsid w:val="00974CE4"/>
    <w:rsid w:val="009754AE"/>
    <w:rsid w:val="00987D06"/>
    <w:rsid w:val="009917A7"/>
    <w:rsid w:val="00997A87"/>
    <w:rsid w:val="009A1910"/>
    <w:rsid w:val="009A1D47"/>
    <w:rsid w:val="009A5F05"/>
    <w:rsid w:val="009A60E8"/>
    <w:rsid w:val="009C0ECA"/>
    <w:rsid w:val="009C3BFA"/>
    <w:rsid w:val="009D25A4"/>
    <w:rsid w:val="009D556F"/>
    <w:rsid w:val="009D6940"/>
    <w:rsid w:val="009E317D"/>
    <w:rsid w:val="009E4CC6"/>
    <w:rsid w:val="009E5A56"/>
    <w:rsid w:val="009F162B"/>
    <w:rsid w:val="009F2CB2"/>
    <w:rsid w:val="009F51FE"/>
    <w:rsid w:val="009F59EE"/>
    <w:rsid w:val="009F733A"/>
    <w:rsid w:val="00A00614"/>
    <w:rsid w:val="00A0409B"/>
    <w:rsid w:val="00A045D3"/>
    <w:rsid w:val="00A069DE"/>
    <w:rsid w:val="00A11FB1"/>
    <w:rsid w:val="00A1245E"/>
    <w:rsid w:val="00A12BB8"/>
    <w:rsid w:val="00A1335A"/>
    <w:rsid w:val="00A14DF3"/>
    <w:rsid w:val="00A17222"/>
    <w:rsid w:val="00A17C70"/>
    <w:rsid w:val="00A22F6D"/>
    <w:rsid w:val="00A2356A"/>
    <w:rsid w:val="00A30BBC"/>
    <w:rsid w:val="00A310D5"/>
    <w:rsid w:val="00A3181A"/>
    <w:rsid w:val="00A32466"/>
    <w:rsid w:val="00A34511"/>
    <w:rsid w:val="00A36D79"/>
    <w:rsid w:val="00A44C14"/>
    <w:rsid w:val="00A45D76"/>
    <w:rsid w:val="00A46367"/>
    <w:rsid w:val="00A519BA"/>
    <w:rsid w:val="00A57D02"/>
    <w:rsid w:val="00A75DC0"/>
    <w:rsid w:val="00A8473E"/>
    <w:rsid w:val="00A86C55"/>
    <w:rsid w:val="00A86EEE"/>
    <w:rsid w:val="00A9383D"/>
    <w:rsid w:val="00A942EE"/>
    <w:rsid w:val="00AA1C17"/>
    <w:rsid w:val="00AA2ADB"/>
    <w:rsid w:val="00AA3C5C"/>
    <w:rsid w:val="00AA68D5"/>
    <w:rsid w:val="00AC1F4A"/>
    <w:rsid w:val="00AC5AA7"/>
    <w:rsid w:val="00AC66A4"/>
    <w:rsid w:val="00AD1863"/>
    <w:rsid w:val="00AD1F6F"/>
    <w:rsid w:val="00AD269F"/>
    <w:rsid w:val="00AD2AA1"/>
    <w:rsid w:val="00AE08AD"/>
    <w:rsid w:val="00AE1134"/>
    <w:rsid w:val="00AE1EFB"/>
    <w:rsid w:val="00AF04C4"/>
    <w:rsid w:val="00AF6BAA"/>
    <w:rsid w:val="00B12387"/>
    <w:rsid w:val="00B166D7"/>
    <w:rsid w:val="00B2072F"/>
    <w:rsid w:val="00B223B3"/>
    <w:rsid w:val="00B244B9"/>
    <w:rsid w:val="00B246B6"/>
    <w:rsid w:val="00B3074F"/>
    <w:rsid w:val="00B33387"/>
    <w:rsid w:val="00B33634"/>
    <w:rsid w:val="00B336F5"/>
    <w:rsid w:val="00B4223E"/>
    <w:rsid w:val="00B43417"/>
    <w:rsid w:val="00B447D9"/>
    <w:rsid w:val="00B500BA"/>
    <w:rsid w:val="00B530B4"/>
    <w:rsid w:val="00B63346"/>
    <w:rsid w:val="00B64FA8"/>
    <w:rsid w:val="00B65A3B"/>
    <w:rsid w:val="00B66253"/>
    <w:rsid w:val="00B6790C"/>
    <w:rsid w:val="00B70B94"/>
    <w:rsid w:val="00B821D7"/>
    <w:rsid w:val="00B95EBA"/>
    <w:rsid w:val="00B972A8"/>
    <w:rsid w:val="00BA37B4"/>
    <w:rsid w:val="00BA709B"/>
    <w:rsid w:val="00BB0B1D"/>
    <w:rsid w:val="00BB55C4"/>
    <w:rsid w:val="00BB6E6E"/>
    <w:rsid w:val="00BB731D"/>
    <w:rsid w:val="00BC30D1"/>
    <w:rsid w:val="00BC659F"/>
    <w:rsid w:val="00BD236B"/>
    <w:rsid w:val="00BD2962"/>
    <w:rsid w:val="00BD5367"/>
    <w:rsid w:val="00BE34DD"/>
    <w:rsid w:val="00BE6D8F"/>
    <w:rsid w:val="00BF7FFE"/>
    <w:rsid w:val="00C004C6"/>
    <w:rsid w:val="00C0156C"/>
    <w:rsid w:val="00C02A6D"/>
    <w:rsid w:val="00C05433"/>
    <w:rsid w:val="00C0716A"/>
    <w:rsid w:val="00C146B9"/>
    <w:rsid w:val="00C14976"/>
    <w:rsid w:val="00C1507A"/>
    <w:rsid w:val="00C15E03"/>
    <w:rsid w:val="00C210E8"/>
    <w:rsid w:val="00C222E1"/>
    <w:rsid w:val="00C240AC"/>
    <w:rsid w:val="00C26BEA"/>
    <w:rsid w:val="00C314FE"/>
    <w:rsid w:val="00C325F0"/>
    <w:rsid w:val="00C327A4"/>
    <w:rsid w:val="00C360DC"/>
    <w:rsid w:val="00C411C6"/>
    <w:rsid w:val="00C52CAE"/>
    <w:rsid w:val="00C5564E"/>
    <w:rsid w:val="00C5625D"/>
    <w:rsid w:val="00C62702"/>
    <w:rsid w:val="00C64B40"/>
    <w:rsid w:val="00C64F34"/>
    <w:rsid w:val="00C66C96"/>
    <w:rsid w:val="00C709A8"/>
    <w:rsid w:val="00C73B2D"/>
    <w:rsid w:val="00C74211"/>
    <w:rsid w:val="00C74DD9"/>
    <w:rsid w:val="00C75E20"/>
    <w:rsid w:val="00C75E94"/>
    <w:rsid w:val="00C82A85"/>
    <w:rsid w:val="00C8311C"/>
    <w:rsid w:val="00C853B4"/>
    <w:rsid w:val="00C90DC9"/>
    <w:rsid w:val="00C935C4"/>
    <w:rsid w:val="00CA0E85"/>
    <w:rsid w:val="00CA1BD9"/>
    <w:rsid w:val="00CA228E"/>
    <w:rsid w:val="00CB16BA"/>
    <w:rsid w:val="00CB3490"/>
    <w:rsid w:val="00CB6CA8"/>
    <w:rsid w:val="00CC1A1C"/>
    <w:rsid w:val="00CC2465"/>
    <w:rsid w:val="00CC2910"/>
    <w:rsid w:val="00CC420A"/>
    <w:rsid w:val="00CD3324"/>
    <w:rsid w:val="00CD458F"/>
    <w:rsid w:val="00CE0608"/>
    <w:rsid w:val="00CE660D"/>
    <w:rsid w:val="00D01832"/>
    <w:rsid w:val="00D023E9"/>
    <w:rsid w:val="00D0584E"/>
    <w:rsid w:val="00D0667A"/>
    <w:rsid w:val="00D07086"/>
    <w:rsid w:val="00D12A22"/>
    <w:rsid w:val="00D251BC"/>
    <w:rsid w:val="00D31127"/>
    <w:rsid w:val="00D32117"/>
    <w:rsid w:val="00D339D8"/>
    <w:rsid w:val="00D363FC"/>
    <w:rsid w:val="00D46609"/>
    <w:rsid w:val="00D470DC"/>
    <w:rsid w:val="00D502DC"/>
    <w:rsid w:val="00D53527"/>
    <w:rsid w:val="00D80B6D"/>
    <w:rsid w:val="00D8513A"/>
    <w:rsid w:val="00D861B1"/>
    <w:rsid w:val="00D874AE"/>
    <w:rsid w:val="00D96BC4"/>
    <w:rsid w:val="00DA47F7"/>
    <w:rsid w:val="00DA59FF"/>
    <w:rsid w:val="00DB1976"/>
    <w:rsid w:val="00DC4470"/>
    <w:rsid w:val="00DC49D5"/>
    <w:rsid w:val="00DE58E9"/>
    <w:rsid w:val="00DE693B"/>
    <w:rsid w:val="00DE6A74"/>
    <w:rsid w:val="00DF3248"/>
    <w:rsid w:val="00E0444D"/>
    <w:rsid w:val="00E10A2A"/>
    <w:rsid w:val="00E12613"/>
    <w:rsid w:val="00E14759"/>
    <w:rsid w:val="00E17539"/>
    <w:rsid w:val="00E30CA0"/>
    <w:rsid w:val="00E31196"/>
    <w:rsid w:val="00E34911"/>
    <w:rsid w:val="00E51F76"/>
    <w:rsid w:val="00E53D67"/>
    <w:rsid w:val="00E56B0B"/>
    <w:rsid w:val="00E6212F"/>
    <w:rsid w:val="00E67800"/>
    <w:rsid w:val="00E70966"/>
    <w:rsid w:val="00E80F46"/>
    <w:rsid w:val="00E81991"/>
    <w:rsid w:val="00E92D9D"/>
    <w:rsid w:val="00E9666C"/>
    <w:rsid w:val="00EA0F5B"/>
    <w:rsid w:val="00EB0264"/>
    <w:rsid w:val="00EB03B8"/>
    <w:rsid w:val="00EB03E7"/>
    <w:rsid w:val="00EB2708"/>
    <w:rsid w:val="00EC23B6"/>
    <w:rsid w:val="00EC643E"/>
    <w:rsid w:val="00ED2180"/>
    <w:rsid w:val="00ED5B3E"/>
    <w:rsid w:val="00EE1F5F"/>
    <w:rsid w:val="00EE7041"/>
    <w:rsid w:val="00EF5A71"/>
    <w:rsid w:val="00F0040C"/>
    <w:rsid w:val="00F11CE8"/>
    <w:rsid w:val="00F1727F"/>
    <w:rsid w:val="00F20285"/>
    <w:rsid w:val="00F275B4"/>
    <w:rsid w:val="00F4458C"/>
    <w:rsid w:val="00F44AEB"/>
    <w:rsid w:val="00F45620"/>
    <w:rsid w:val="00F46A84"/>
    <w:rsid w:val="00F575C6"/>
    <w:rsid w:val="00F6166F"/>
    <w:rsid w:val="00F672C1"/>
    <w:rsid w:val="00F71D71"/>
    <w:rsid w:val="00F739AD"/>
    <w:rsid w:val="00F758EC"/>
    <w:rsid w:val="00F76C54"/>
    <w:rsid w:val="00F83822"/>
    <w:rsid w:val="00F90831"/>
    <w:rsid w:val="00F9110D"/>
    <w:rsid w:val="00F91686"/>
    <w:rsid w:val="00F92B15"/>
    <w:rsid w:val="00F92CE3"/>
    <w:rsid w:val="00F92D66"/>
    <w:rsid w:val="00F93861"/>
    <w:rsid w:val="00F952A5"/>
    <w:rsid w:val="00FA2010"/>
    <w:rsid w:val="00FA366F"/>
    <w:rsid w:val="00FA60A4"/>
    <w:rsid w:val="00FA6489"/>
    <w:rsid w:val="00FB091A"/>
    <w:rsid w:val="00FB11F2"/>
    <w:rsid w:val="00FB551F"/>
    <w:rsid w:val="00FB5606"/>
    <w:rsid w:val="00FB73D7"/>
    <w:rsid w:val="00FC0E4C"/>
    <w:rsid w:val="00FC1301"/>
    <w:rsid w:val="00FC4A1A"/>
    <w:rsid w:val="00FC6817"/>
    <w:rsid w:val="00FC7F27"/>
    <w:rsid w:val="00FD14D5"/>
    <w:rsid w:val="00FD3F50"/>
    <w:rsid w:val="00FE3A37"/>
    <w:rsid w:val="00FF4086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790C"/>
    <w:pPr>
      <w:widowControl/>
      <w:numPr>
        <w:ilvl w:val="1"/>
      </w:numPr>
      <w:autoSpaceDE/>
      <w:autoSpaceDN/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B679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cs-CZ"/>
    </w:rPr>
  </w:style>
  <w:style w:type="paragraph" w:styleId="Revize">
    <w:name w:val="Revision"/>
    <w:hidden/>
    <w:uiPriority w:val="99"/>
    <w:semiHidden/>
    <w:rsid w:val="00C66C96"/>
    <w:pPr>
      <w:widowControl/>
      <w:autoSpaceDE/>
      <w:autoSpaceDN/>
    </w:pPr>
    <w:rPr>
      <w:rFonts w:ascii="F015TEELig" w:eastAsia="F015TEELig" w:hAnsi="F015TEELig" w:cs="F015TEELig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8B3C-2065-44B0-A5BE-D1B6D41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Michaela Sahulová</cp:lastModifiedBy>
  <cp:revision>20</cp:revision>
  <cp:lastPrinted>2021-02-02T12:49:00Z</cp:lastPrinted>
  <dcterms:created xsi:type="dcterms:W3CDTF">2023-02-16T17:59:00Z</dcterms:created>
  <dcterms:modified xsi:type="dcterms:W3CDTF">2023-03-02T11:40:00Z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