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A7C741F"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Pr>
              <w:rFonts w:ascii="Arial" w:hAnsi="Arial" w:cs="Arial"/>
              <w:sz w:val="18"/>
            </w:rPr>
            <w:t xml:space="preserve">přes </w:t>
          </w:r>
          <w:r w:rsidR="002141AF">
            <w:rPr>
              <w:rFonts w:ascii="Arial" w:hAnsi="Arial" w:cs="Arial"/>
              <w:sz w:val="18"/>
            </w:rPr>
            <w:t>4</w:t>
          </w:r>
          <w:r w:rsidR="00C41741">
            <w:rPr>
              <w:rFonts w:ascii="Arial" w:hAnsi="Arial" w:cs="Arial"/>
              <w:sz w:val="18"/>
            </w:rPr>
            <w:t>0</w:t>
          </w:r>
          <w:r w:rsidRPr="00FC2522">
            <w:rPr>
              <w:rFonts w:ascii="Arial" w:hAnsi="Arial" w:cs="Arial"/>
              <w:sz w:val="18"/>
            </w:rPr>
            <w:t xml:space="preserve"> franšízových </w:t>
          </w:r>
          <w:proofErr w:type="spellStart"/>
          <w:r w:rsidRPr="00FC2522">
            <w:rPr>
              <w:rFonts w:ascii="Arial" w:hAnsi="Arial" w:cs="Arial"/>
              <w:sz w:val="18"/>
            </w:rPr>
            <w:t>poboč</w:t>
          </w:r>
          <w:r w:rsidR="00C41741">
            <w:rPr>
              <w:rFonts w:ascii="Arial" w:hAnsi="Arial" w:cs="Arial"/>
              <w:sz w:val="18"/>
            </w:rPr>
            <w:t>eká</w:t>
          </w:r>
          <w:proofErr w:type="spellEnd"/>
          <w:r w:rsidRPr="00FC2522">
            <w:rPr>
              <w:rFonts w:ascii="Arial" w:hAnsi="Arial" w:cs="Arial"/>
              <w:sz w:val="18"/>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C85569"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6A10485D" w14:textId="538C85AA" w:rsidR="00704D83" w:rsidRDefault="006A5A20" w:rsidP="0053728E">
      <w:pPr>
        <w:rPr>
          <w:rFonts w:ascii="Arial" w:hAnsi="Arial" w:cs="Arial"/>
          <w:b/>
          <w:sz w:val="28"/>
          <w:szCs w:val="28"/>
        </w:rPr>
      </w:pPr>
      <w:r>
        <w:rPr>
          <w:rFonts w:ascii="Arial" w:hAnsi="Arial" w:cs="Arial"/>
          <w:b/>
          <w:sz w:val="28"/>
          <w:szCs w:val="28"/>
        </w:rPr>
        <w:t xml:space="preserve"> </w:t>
      </w:r>
    </w:p>
    <w:p w14:paraId="0B1D9249" w14:textId="38268E2E" w:rsidR="00B10787" w:rsidRDefault="00B10787" w:rsidP="00704D83">
      <w:pPr>
        <w:jc w:val="center"/>
        <w:rPr>
          <w:rFonts w:ascii="Arial" w:hAnsi="Arial" w:cs="Arial"/>
          <w:b/>
          <w:sz w:val="28"/>
          <w:szCs w:val="28"/>
        </w:rPr>
      </w:pPr>
      <w:r>
        <w:rPr>
          <w:rFonts w:ascii="Arial" w:hAnsi="Arial" w:cs="Arial"/>
          <w:b/>
          <w:sz w:val="28"/>
          <w:szCs w:val="28"/>
        </w:rPr>
        <w:t>Sazby spot</w:t>
      </w:r>
      <w:r w:rsidR="00080ADE">
        <w:rPr>
          <w:rFonts w:ascii="Arial" w:hAnsi="Arial" w:cs="Arial"/>
          <w:b/>
          <w:sz w:val="28"/>
          <w:szCs w:val="28"/>
        </w:rPr>
        <w:t>řebitelských úvěrů stagnují</w:t>
      </w:r>
      <w:r>
        <w:rPr>
          <w:rFonts w:ascii="Arial" w:hAnsi="Arial" w:cs="Arial"/>
          <w:b/>
          <w:sz w:val="28"/>
          <w:szCs w:val="28"/>
        </w:rPr>
        <w:t xml:space="preserve">, </w:t>
      </w:r>
    </w:p>
    <w:p w14:paraId="3A2083EB" w14:textId="7FCD896A" w:rsidR="00704D83" w:rsidRDefault="00B10787" w:rsidP="00704D83">
      <w:pPr>
        <w:jc w:val="center"/>
        <w:rPr>
          <w:rFonts w:ascii="Arial" w:hAnsi="Arial" w:cs="Arial"/>
          <w:b/>
          <w:sz w:val="28"/>
          <w:szCs w:val="28"/>
        </w:rPr>
      </w:pPr>
      <w:r>
        <w:rPr>
          <w:rFonts w:ascii="Arial" w:hAnsi="Arial" w:cs="Arial"/>
          <w:b/>
          <w:sz w:val="28"/>
          <w:szCs w:val="28"/>
        </w:rPr>
        <w:t xml:space="preserve">měnit by se neměly ani v následujícím období </w:t>
      </w:r>
    </w:p>
    <w:p w14:paraId="79AAF9FD" w14:textId="77777777" w:rsidR="00704D83" w:rsidRPr="00704D83" w:rsidRDefault="00704D83" w:rsidP="00704D83">
      <w:pPr>
        <w:jc w:val="center"/>
        <w:rPr>
          <w:rFonts w:ascii="Arial" w:hAnsi="Arial" w:cs="Arial"/>
          <w:b/>
          <w:sz w:val="28"/>
          <w:szCs w:val="28"/>
        </w:rPr>
      </w:pPr>
    </w:p>
    <w:p w14:paraId="0C719F86" w14:textId="77777777" w:rsidR="00704D83" w:rsidRPr="00FD7A3B" w:rsidRDefault="00704D83" w:rsidP="00704D83">
      <w:pPr>
        <w:rPr>
          <w:rFonts w:ascii="Arial" w:hAnsi="Arial" w:cs="Arial"/>
          <w:sz w:val="20"/>
          <w:szCs w:val="20"/>
        </w:rPr>
      </w:pPr>
    </w:p>
    <w:p w14:paraId="5EC5EE7A" w14:textId="69763F5A" w:rsidR="00F30F02" w:rsidRPr="00080ADE" w:rsidRDefault="008C3A59" w:rsidP="00080ADE">
      <w:pPr>
        <w:jc w:val="both"/>
        <w:rPr>
          <w:rFonts w:ascii="Arial" w:hAnsi="Arial" w:cs="Arial"/>
          <w:b/>
        </w:rPr>
      </w:pPr>
      <w:r w:rsidRPr="00080ADE">
        <w:rPr>
          <w:rFonts w:ascii="Arial" w:hAnsi="Arial" w:cs="Arial"/>
          <w:b/>
        </w:rPr>
        <w:t>Praha,</w:t>
      </w:r>
      <w:r w:rsidR="009D64B2" w:rsidRPr="00080ADE">
        <w:rPr>
          <w:rFonts w:ascii="Arial" w:hAnsi="Arial" w:cs="Arial"/>
          <w:b/>
        </w:rPr>
        <w:t xml:space="preserve"> </w:t>
      </w:r>
      <w:r w:rsidR="00636142">
        <w:rPr>
          <w:rFonts w:ascii="Arial" w:hAnsi="Arial" w:cs="Arial"/>
          <w:b/>
        </w:rPr>
        <w:t>9</w:t>
      </w:r>
      <w:bookmarkStart w:id="0" w:name="_GoBack"/>
      <w:bookmarkEnd w:id="0"/>
      <w:r w:rsidR="007648F0" w:rsidRPr="00080ADE">
        <w:rPr>
          <w:rFonts w:ascii="Arial" w:hAnsi="Arial" w:cs="Arial"/>
          <w:b/>
        </w:rPr>
        <w:t>. února</w:t>
      </w:r>
      <w:r w:rsidR="009D64B2" w:rsidRPr="00080ADE">
        <w:rPr>
          <w:rFonts w:ascii="Arial" w:hAnsi="Arial" w:cs="Arial"/>
          <w:b/>
        </w:rPr>
        <w:t xml:space="preserve"> 2023</w:t>
      </w:r>
      <w:r w:rsidR="008011E7" w:rsidRPr="00080ADE">
        <w:rPr>
          <w:rFonts w:ascii="Arial" w:hAnsi="Arial" w:cs="Arial"/>
          <w:b/>
        </w:rPr>
        <w:t xml:space="preserve"> </w:t>
      </w:r>
      <w:r w:rsidR="00F30F02" w:rsidRPr="00080ADE">
        <w:rPr>
          <w:rFonts w:ascii="Arial" w:hAnsi="Arial" w:cs="Arial"/>
          <w:b/>
        </w:rPr>
        <w:t>–</w:t>
      </w:r>
      <w:r w:rsidR="007648F0" w:rsidRPr="00080ADE">
        <w:rPr>
          <w:rFonts w:ascii="Arial" w:hAnsi="Arial" w:cs="Arial"/>
          <w:b/>
        </w:rPr>
        <w:t xml:space="preserve"> </w:t>
      </w:r>
      <w:r w:rsidR="00F30F02" w:rsidRPr="00080ADE">
        <w:rPr>
          <w:rStyle w:val="Siln"/>
          <w:rFonts w:ascii="Arial" w:hAnsi="Arial" w:cs="Arial"/>
          <w:color w:val="000000"/>
        </w:rPr>
        <w:t xml:space="preserve">Broker </w:t>
      </w:r>
      <w:proofErr w:type="spellStart"/>
      <w:r w:rsidR="00F30F02" w:rsidRPr="00080ADE">
        <w:rPr>
          <w:rStyle w:val="Siln"/>
          <w:rFonts w:ascii="Arial" w:hAnsi="Arial" w:cs="Arial"/>
          <w:color w:val="000000"/>
        </w:rPr>
        <w:t>Consulting</w:t>
      </w:r>
      <w:proofErr w:type="spellEnd"/>
      <w:r w:rsidR="00F30F02" w:rsidRPr="00080ADE">
        <w:rPr>
          <w:rStyle w:val="Siln"/>
          <w:rFonts w:ascii="Arial" w:hAnsi="Arial" w:cs="Arial"/>
          <w:color w:val="000000"/>
        </w:rPr>
        <w:t xml:space="preserve"> Index spotřebitelských úvěrů nedoznal v lednu oproti konci minulého roku téměř žádných změn. Jeho hodnota poklesla pouze o </w:t>
      </w:r>
      <w:r w:rsidR="002E1ABC">
        <w:rPr>
          <w:rFonts w:ascii="Arial" w:hAnsi="Arial" w:cs="Arial"/>
          <w:b/>
        </w:rPr>
        <w:t>tři bazické body</w:t>
      </w:r>
      <w:r w:rsidR="00F30F02" w:rsidRPr="00080ADE">
        <w:rPr>
          <w:rFonts w:ascii="Arial" w:hAnsi="Arial" w:cs="Arial"/>
          <w:b/>
        </w:rPr>
        <w:t xml:space="preserve"> na 9,46 procenta. Tento vývoj</w:t>
      </w:r>
      <w:r w:rsidR="00B10787" w:rsidRPr="00080ADE">
        <w:rPr>
          <w:rFonts w:ascii="Arial" w:hAnsi="Arial" w:cs="Arial"/>
          <w:b/>
        </w:rPr>
        <w:t xml:space="preserve"> koresponduje se čtvrtečním</w:t>
      </w:r>
      <w:r w:rsidR="00F30F02" w:rsidRPr="00080ADE">
        <w:rPr>
          <w:rFonts w:ascii="Arial" w:hAnsi="Arial" w:cs="Arial"/>
          <w:b/>
        </w:rPr>
        <w:t xml:space="preserve"> rozhodnutím Bankovní rady České národní banky, která ponechala základní úrokovou sazbu </w:t>
      </w:r>
      <w:r w:rsidR="00136C97" w:rsidRPr="00080ADE">
        <w:rPr>
          <w:rFonts w:ascii="Arial" w:hAnsi="Arial" w:cs="Arial"/>
          <w:b/>
        </w:rPr>
        <w:t>na 7 procentech.</w:t>
      </w:r>
      <w:r w:rsidR="00F30F02" w:rsidRPr="00080ADE">
        <w:rPr>
          <w:rFonts w:ascii="Arial" w:hAnsi="Arial" w:cs="Arial"/>
          <w:b/>
        </w:rPr>
        <w:t xml:space="preserve"> </w:t>
      </w:r>
    </w:p>
    <w:p w14:paraId="75AAA60C" w14:textId="3E359881" w:rsidR="00136C97" w:rsidRPr="00080ADE" w:rsidRDefault="00136C97" w:rsidP="00080ADE">
      <w:pPr>
        <w:jc w:val="both"/>
        <w:rPr>
          <w:rFonts w:ascii="Arial" w:hAnsi="Arial" w:cs="Arial"/>
        </w:rPr>
      </w:pPr>
    </w:p>
    <w:p w14:paraId="42A7FC34" w14:textId="49192BB5" w:rsidR="00136C97" w:rsidRPr="00080ADE" w:rsidRDefault="00136C97" w:rsidP="00080ADE">
      <w:pPr>
        <w:jc w:val="both"/>
        <w:rPr>
          <w:rStyle w:val="Siln"/>
          <w:rFonts w:ascii="Arial" w:hAnsi="Arial" w:cs="Arial"/>
          <w:color w:val="000000"/>
        </w:rPr>
      </w:pPr>
      <w:r w:rsidRPr="00080ADE">
        <w:rPr>
          <w:rFonts w:ascii="Arial" w:hAnsi="Arial" w:cs="Arial"/>
        </w:rPr>
        <w:t>„</w:t>
      </w:r>
      <w:r w:rsidRPr="00080ADE">
        <w:rPr>
          <w:rFonts w:ascii="Arial" w:hAnsi="Arial" w:cs="Arial"/>
          <w:i/>
        </w:rPr>
        <w:t xml:space="preserve">Jak jsme očekávali, úrokové sazby počátkem roku stagnují. Tento výhled se až na případné drobné odchylky způsobené akcemi v podobě zvýhodněných úrokových sazeb jednotlivých bank v dalším období </w:t>
      </w:r>
      <w:r w:rsidR="00F14B6E" w:rsidRPr="00080ADE">
        <w:rPr>
          <w:rFonts w:ascii="Arial" w:hAnsi="Arial" w:cs="Arial"/>
          <w:i/>
        </w:rPr>
        <w:t>pravděpodobně</w:t>
      </w:r>
      <w:r w:rsidRPr="00080ADE">
        <w:rPr>
          <w:rFonts w:ascii="Arial" w:hAnsi="Arial" w:cs="Arial"/>
          <w:i/>
        </w:rPr>
        <w:t xml:space="preserve"> nezmění</w:t>
      </w:r>
      <w:r w:rsidRPr="00080ADE">
        <w:rPr>
          <w:rFonts w:ascii="Arial" w:hAnsi="Arial" w:cs="Arial"/>
        </w:rPr>
        <w:t xml:space="preserve">,“ říká </w:t>
      </w:r>
      <w:r w:rsidRPr="00080ADE">
        <w:rPr>
          <w:rStyle w:val="Siln"/>
          <w:rFonts w:ascii="Arial" w:hAnsi="Arial" w:cs="Arial"/>
          <w:color w:val="000000"/>
        </w:rPr>
        <w:t xml:space="preserve">Michaela Pudilová, analytička hypotečních a spotřebitelských úvěrů ze společnosti Broker </w:t>
      </w:r>
      <w:proofErr w:type="spellStart"/>
      <w:r w:rsidRPr="00080ADE">
        <w:rPr>
          <w:rStyle w:val="Siln"/>
          <w:rFonts w:ascii="Arial" w:hAnsi="Arial" w:cs="Arial"/>
          <w:color w:val="000000"/>
        </w:rPr>
        <w:t>Consulting</w:t>
      </w:r>
      <w:proofErr w:type="spellEnd"/>
      <w:r w:rsidRPr="00080ADE">
        <w:rPr>
          <w:rStyle w:val="Siln"/>
          <w:rFonts w:ascii="Arial" w:hAnsi="Arial" w:cs="Arial"/>
          <w:color w:val="000000"/>
        </w:rPr>
        <w:t>.</w:t>
      </w:r>
    </w:p>
    <w:p w14:paraId="3B129121" w14:textId="525660ED" w:rsidR="00136C97" w:rsidRPr="00080ADE" w:rsidRDefault="00136C97" w:rsidP="00080ADE">
      <w:pPr>
        <w:jc w:val="both"/>
        <w:rPr>
          <w:rStyle w:val="Siln"/>
          <w:rFonts w:ascii="Arial" w:hAnsi="Arial" w:cs="Arial"/>
          <w:color w:val="000000"/>
        </w:rPr>
      </w:pPr>
    </w:p>
    <w:p w14:paraId="56D137F1" w14:textId="402B8D44" w:rsidR="00136C97" w:rsidRPr="00080ADE" w:rsidRDefault="00136C97" w:rsidP="00080ADE">
      <w:pPr>
        <w:jc w:val="both"/>
        <w:rPr>
          <w:rStyle w:val="Siln"/>
          <w:rFonts w:ascii="Arial" w:hAnsi="Arial" w:cs="Arial"/>
          <w:b w:val="0"/>
          <w:color w:val="000000"/>
        </w:rPr>
      </w:pPr>
      <w:r w:rsidRPr="00080ADE">
        <w:rPr>
          <w:rStyle w:val="Siln"/>
          <w:rFonts w:ascii="Arial" w:hAnsi="Arial" w:cs="Arial"/>
          <w:b w:val="0"/>
          <w:color w:val="000000"/>
        </w:rPr>
        <w:t xml:space="preserve">Broker </w:t>
      </w:r>
      <w:proofErr w:type="spellStart"/>
      <w:r w:rsidRPr="00080ADE">
        <w:rPr>
          <w:rStyle w:val="Siln"/>
          <w:rFonts w:ascii="Arial" w:hAnsi="Arial" w:cs="Arial"/>
          <w:b w:val="0"/>
          <w:color w:val="000000"/>
        </w:rPr>
        <w:t>Consulting</w:t>
      </w:r>
      <w:proofErr w:type="spellEnd"/>
      <w:r w:rsidRPr="00080ADE">
        <w:rPr>
          <w:rStyle w:val="Siln"/>
          <w:rFonts w:ascii="Arial" w:hAnsi="Arial" w:cs="Arial"/>
          <w:b w:val="0"/>
          <w:color w:val="000000"/>
        </w:rPr>
        <w:t xml:space="preserve"> Index spotřebitelských úvěrů, který činil v lednu 9,46 procenta, tak dosáhl stejné hodnoty, jakou měl loni</w:t>
      </w:r>
      <w:r w:rsidR="00AA715C">
        <w:rPr>
          <w:rStyle w:val="Siln"/>
          <w:rFonts w:ascii="Arial" w:hAnsi="Arial" w:cs="Arial"/>
          <w:b w:val="0"/>
          <w:color w:val="000000"/>
        </w:rPr>
        <w:t xml:space="preserve"> v říjnu. Jeho hodnota se</w:t>
      </w:r>
      <w:r w:rsidRPr="00080ADE">
        <w:rPr>
          <w:rStyle w:val="Siln"/>
          <w:rFonts w:ascii="Arial" w:hAnsi="Arial" w:cs="Arial"/>
          <w:b w:val="0"/>
          <w:color w:val="000000"/>
        </w:rPr>
        <w:t xml:space="preserve"> v průběhu minulého roku ve většině sledovaného období navyšovala. Před rokem byla přitom ještě ve výši 6,1 procenta. </w:t>
      </w:r>
    </w:p>
    <w:p w14:paraId="19CB2A09" w14:textId="221851F8" w:rsidR="000D145E" w:rsidRPr="00080ADE" w:rsidRDefault="000D145E" w:rsidP="00080ADE">
      <w:pPr>
        <w:jc w:val="both"/>
        <w:rPr>
          <w:rStyle w:val="Siln"/>
          <w:rFonts w:ascii="Arial" w:hAnsi="Arial" w:cs="Arial"/>
          <w:b w:val="0"/>
          <w:color w:val="000000"/>
        </w:rPr>
      </w:pPr>
    </w:p>
    <w:p w14:paraId="6DA814B8" w14:textId="077B0869" w:rsidR="000D145E" w:rsidRPr="00080ADE" w:rsidRDefault="000D145E" w:rsidP="00080ADE">
      <w:pPr>
        <w:jc w:val="both"/>
        <w:rPr>
          <w:rFonts w:ascii="Arial" w:hAnsi="Arial" w:cs="Arial"/>
        </w:rPr>
      </w:pPr>
      <w:r w:rsidRPr="00080ADE">
        <w:rPr>
          <w:rFonts w:ascii="Arial" w:hAnsi="Arial" w:cs="Arial"/>
        </w:rPr>
        <w:t>„</w:t>
      </w:r>
      <w:r w:rsidRPr="00080ADE">
        <w:rPr>
          <w:rFonts w:ascii="Arial" w:hAnsi="Arial" w:cs="Arial"/>
          <w:i/>
        </w:rPr>
        <w:t>Většinu spotřebitelských úvěrů banky žadatelům poskytují bez účelu. To znamená, že půjčené peníze může klient využít na cokoliv. To</w:t>
      </w:r>
      <w:r w:rsidR="003358BA" w:rsidRPr="00080ADE">
        <w:rPr>
          <w:rFonts w:ascii="Arial" w:hAnsi="Arial" w:cs="Arial"/>
          <w:i/>
        </w:rPr>
        <w:t xml:space="preserve"> je samozřejmě pro klienty </w:t>
      </w:r>
      <w:r w:rsidRPr="00080ADE">
        <w:rPr>
          <w:rFonts w:ascii="Arial" w:hAnsi="Arial" w:cs="Arial"/>
          <w:i/>
        </w:rPr>
        <w:t>výhodné. Finanční ústav převede žadateli čerpanou hotovost na jeho běžný účet a ten pak nemusí ani zpětně prokazovat, na co prostředky použil.</w:t>
      </w:r>
      <w:r w:rsidR="0087199F" w:rsidRPr="00080ADE">
        <w:rPr>
          <w:rFonts w:ascii="Arial" w:hAnsi="Arial" w:cs="Arial"/>
          <w:i/>
        </w:rPr>
        <w:t xml:space="preserve"> Banky</w:t>
      </w:r>
      <w:r w:rsidRPr="00080ADE">
        <w:rPr>
          <w:rFonts w:ascii="Arial" w:hAnsi="Arial" w:cs="Arial"/>
          <w:i/>
        </w:rPr>
        <w:t xml:space="preserve"> by </w:t>
      </w:r>
      <w:r w:rsidR="0087199F" w:rsidRPr="00080ADE">
        <w:rPr>
          <w:rFonts w:ascii="Arial" w:hAnsi="Arial" w:cs="Arial"/>
          <w:i/>
        </w:rPr>
        <w:t xml:space="preserve">si </w:t>
      </w:r>
      <w:r w:rsidRPr="00080ADE">
        <w:rPr>
          <w:rFonts w:ascii="Arial" w:hAnsi="Arial" w:cs="Arial"/>
          <w:i/>
        </w:rPr>
        <w:t xml:space="preserve">však </w:t>
      </w:r>
      <w:r w:rsidR="0087199F" w:rsidRPr="00080ADE">
        <w:rPr>
          <w:rFonts w:ascii="Arial" w:hAnsi="Arial" w:cs="Arial"/>
          <w:i/>
        </w:rPr>
        <w:t xml:space="preserve">měly dát v každém případě pozor na to, </w:t>
      </w:r>
      <w:r w:rsidRPr="00080ADE">
        <w:rPr>
          <w:rFonts w:ascii="Arial" w:hAnsi="Arial" w:cs="Arial"/>
          <w:i/>
        </w:rPr>
        <w:t xml:space="preserve">aby </w:t>
      </w:r>
      <w:r w:rsidR="0087199F" w:rsidRPr="00080ADE">
        <w:rPr>
          <w:rFonts w:ascii="Arial" w:hAnsi="Arial" w:cs="Arial"/>
          <w:i/>
        </w:rPr>
        <w:t xml:space="preserve">byl jejich klient schopný úvěr splatit,“ </w:t>
      </w:r>
      <w:r w:rsidR="003358BA" w:rsidRPr="00080ADE">
        <w:rPr>
          <w:rFonts w:ascii="Arial" w:hAnsi="Arial" w:cs="Arial"/>
        </w:rPr>
        <w:t>vysvětluje</w:t>
      </w:r>
      <w:r w:rsidR="0087199F" w:rsidRPr="00080ADE">
        <w:rPr>
          <w:rFonts w:ascii="Arial" w:hAnsi="Arial" w:cs="Arial"/>
        </w:rPr>
        <w:t xml:space="preserve"> Pudilová.</w:t>
      </w:r>
    </w:p>
    <w:p w14:paraId="48AF6ABC" w14:textId="0C9E9673" w:rsidR="0087199F" w:rsidRPr="00080ADE" w:rsidRDefault="0087199F" w:rsidP="00080ADE">
      <w:pPr>
        <w:jc w:val="both"/>
        <w:rPr>
          <w:rFonts w:ascii="Arial" w:hAnsi="Arial" w:cs="Arial"/>
        </w:rPr>
      </w:pPr>
    </w:p>
    <w:p w14:paraId="3AFE7FB0" w14:textId="0E4E0EA2" w:rsidR="0087199F" w:rsidRPr="00080ADE" w:rsidRDefault="0087199F" w:rsidP="00080ADE">
      <w:pPr>
        <w:jc w:val="both"/>
        <w:rPr>
          <w:rFonts w:ascii="Arial" w:hAnsi="Arial" w:cs="Arial"/>
        </w:rPr>
      </w:pPr>
      <w:r w:rsidRPr="00080ADE">
        <w:rPr>
          <w:rFonts w:ascii="Arial" w:hAnsi="Arial" w:cs="Arial"/>
        </w:rPr>
        <w:t>Dluh domácností byl</w:t>
      </w:r>
      <w:r w:rsidR="003358BA" w:rsidRPr="00080ADE">
        <w:rPr>
          <w:rFonts w:ascii="Arial" w:hAnsi="Arial" w:cs="Arial"/>
        </w:rPr>
        <w:t xml:space="preserve"> totiž</w:t>
      </w:r>
      <w:r w:rsidRPr="00080ADE">
        <w:rPr>
          <w:rFonts w:ascii="Arial" w:hAnsi="Arial" w:cs="Arial"/>
        </w:rPr>
        <w:t xml:space="preserve"> podle údajů České národní banky loni </w:t>
      </w:r>
      <w:r w:rsidRPr="00080ADE">
        <w:rPr>
          <w:rFonts w:ascii="Arial" w:hAnsi="Arial" w:cs="Arial"/>
          <w:color w:val="000000"/>
          <w:shd w:val="clear" w:color="auto" w:fill="FFFFFF"/>
        </w:rPr>
        <w:t>2,144 bilionu korun, což je o 97,3 miliardy více než v roce předchozím. Z toho objem spotřebitelských</w:t>
      </w:r>
      <w:r w:rsidR="003358BA" w:rsidRPr="00080ADE">
        <w:rPr>
          <w:rFonts w:ascii="Arial" w:hAnsi="Arial" w:cs="Arial"/>
          <w:color w:val="000000"/>
          <w:shd w:val="clear" w:color="auto" w:fill="FFFFFF"/>
        </w:rPr>
        <w:t xml:space="preserve"> úvěrů d</w:t>
      </w:r>
      <w:r w:rsidR="00F14B6E" w:rsidRPr="00080ADE">
        <w:rPr>
          <w:rFonts w:ascii="Arial" w:hAnsi="Arial" w:cs="Arial"/>
          <w:color w:val="000000"/>
          <w:shd w:val="clear" w:color="auto" w:fill="FFFFFF"/>
        </w:rPr>
        <w:t>omácnostem</w:t>
      </w:r>
      <w:r w:rsidRPr="00080ADE">
        <w:rPr>
          <w:rFonts w:ascii="Arial" w:hAnsi="Arial" w:cs="Arial"/>
          <w:color w:val="000000"/>
          <w:shd w:val="clear" w:color="auto" w:fill="FFFFFF"/>
        </w:rPr>
        <w:t xml:space="preserve"> se podle centrální banky za minulý rok zvýšil o 18,9 miliardy na zhruba 277 miliard korun.</w:t>
      </w:r>
    </w:p>
    <w:p w14:paraId="1A98F643" w14:textId="28E706E0" w:rsidR="000D145E" w:rsidRPr="00080ADE" w:rsidRDefault="000D145E" w:rsidP="00080ADE">
      <w:pPr>
        <w:jc w:val="both"/>
        <w:rPr>
          <w:rFonts w:ascii="Arial" w:hAnsi="Arial" w:cs="Arial"/>
          <w:i/>
        </w:rPr>
      </w:pPr>
    </w:p>
    <w:p w14:paraId="5346F7AC" w14:textId="2586FDB2" w:rsidR="000D145E" w:rsidRPr="00080ADE" w:rsidRDefault="00455F65" w:rsidP="00080ADE">
      <w:pPr>
        <w:jc w:val="both"/>
        <w:rPr>
          <w:rFonts w:ascii="Arial" w:hAnsi="Arial" w:cs="Arial"/>
          <w:color w:val="0D0D0D" w:themeColor="text1" w:themeTint="F2"/>
        </w:rPr>
      </w:pPr>
      <w:r w:rsidRPr="00080ADE">
        <w:rPr>
          <w:rFonts w:ascii="Arial" w:hAnsi="Arial" w:cs="Arial"/>
          <w:color w:val="0D0D0D" w:themeColor="text1" w:themeTint="F2"/>
        </w:rPr>
        <w:t xml:space="preserve">Méně častým </w:t>
      </w:r>
      <w:r w:rsidR="00F14B6E" w:rsidRPr="00080ADE">
        <w:rPr>
          <w:rFonts w:ascii="Arial" w:hAnsi="Arial" w:cs="Arial"/>
          <w:color w:val="0D0D0D" w:themeColor="text1" w:themeTint="F2"/>
        </w:rPr>
        <w:t xml:space="preserve">typem úvěru </w:t>
      </w:r>
      <w:r w:rsidRPr="00080ADE">
        <w:rPr>
          <w:rFonts w:ascii="Arial" w:hAnsi="Arial" w:cs="Arial"/>
          <w:color w:val="0D0D0D" w:themeColor="text1" w:themeTint="F2"/>
        </w:rPr>
        <w:t xml:space="preserve">je pak </w:t>
      </w:r>
      <w:r w:rsidR="00F14B6E" w:rsidRPr="00080ADE">
        <w:rPr>
          <w:rFonts w:ascii="Arial" w:hAnsi="Arial" w:cs="Arial"/>
          <w:color w:val="0D0D0D" w:themeColor="text1" w:themeTint="F2"/>
        </w:rPr>
        <w:t>účelový</w:t>
      </w:r>
      <w:r w:rsidR="000D145E" w:rsidRPr="00080ADE">
        <w:rPr>
          <w:rFonts w:ascii="Arial" w:hAnsi="Arial" w:cs="Arial"/>
          <w:color w:val="0D0D0D" w:themeColor="text1" w:themeTint="F2"/>
        </w:rPr>
        <w:t>, kde klient předloží ban</w:t>
      </w:r>
      <w:r w:rsidR="00F14B6E" w:rsidRPr="00080ADE">
        <w:rPr>
          <w:rFonts w:ascii="Arial" w:hAnsi="Arial" w:cs="Arial"/>
          <w:color w:val="0D0D0D" w:themeColor="text1" w:themeTint="F2"/>
        </w:rPr>
        <w:t>ce fakturu či jiný kupní doklad</w:t>
      </w:r>
      <w:r w:rsidRPr="00080ADE">
        <w:rPr>
          <w:rFonts w:ascii="Arial" w:hAnsi="Arial" w:cs="Arial"/>
          <w:color w:val="0D0D0D" w:themeColor="text1" w:themeTint="F2"/>
        </w:rPr>
        <w:t>. B</w:t>
      </w:r>
      <w:r w:rsidR="000D145E" w:rsidRPr="00080ADE">
        <w:rPr>
          <w:rFonts w:ascii="Arial" w:hAnsi="Arial" w:cs="Arial"/>
          <w:color w:val="0D0D0D" w:themeColor="text1" w:themeTint="F2"/>
        </w:rPr>
        <w:t xml:space="preserve">anka </w:t>
      </w:r>
      <w:r w:rsidRPr="00080ADE">
        <w:rPr>
          <w:rFonts w:ascii="Arial" w:hAnsi="Arial" w:cs="Arial"/>
          <w:color w:val="0D0D0D" w:themeColor="text1" w:themeTint="F2"/>
        </w:rPr>
        <w:t>v tom případě peníze pošle</w:t>
      </w:r>
      <w:r w:rsidR="000D145E" w:rsidRPr="00080ADE">
        <w:rPr>
          <w:rFonts w:ascii="Arial" w:hAnsi="Arial" w:cs="Arial"/>
          <w:color w:val="0D0D0D" w:themeColor="text1" w:themeTint="F2"/>
        </w:rPr>
        <w:t xml:space="preserve"> přímo na účet </w:t>
      </w:r>
      <w:r w:rsidRPr="00080ADE">
        <w:rPr>
          <w:rFonts w:ascii="Arial" w:hAnsi="Arial" w:cs="Arial"/>
          <w:color w:val="0D0D0D" w:themeColor="text1" w:themeTint="F2"/>
        </w:rPr>
        <w:t xml:space="preserve">prodejce. Prostřednictvím účelového úvěru se </w:t>
      </w:r>
      <w:r w:rsidR="000D145E" w:rsidRPr="00080ADE">
        <w:rPr>
          <w:rFonts w:ascii="Arial" w:hAnsi="Arial" w:cs="Arial"/>
          <w:color w:val="0D0D0D" w:themeColor="text1" w:themeTint="F2"/>
        </w:rPr>
        <w:t>financ</w:t>
      </w:r>
      <w:r w:rsidRPr="00080ADE">
        <w:rPr>
          <w:rFonts w:ascii="Arial" w:hAnsi="Arial" w:cs="Arial"/>
          <w:color w:val="0D0D0D" w:themeColor="text1" w:themeTint="F2"/>
        </w:rPr>
        <w:t>uje například nákup</w:t>
      </w:r>
      <w:r w:rsidR="000D145E" w:rsidRPr="00080ADE">
        <w:rPr>
          <w:rFonts w:ascii="Arial" w:hAnsi="Arial" w:cs="Arial"/>
          <w:color w:val="0D0D0D" w:themeColor="text1" w:themeTint="F2"/>
        </w:rPr>
        <w:t xml:space="preserve"> elektronik</w:t>
      </w:r>
      <w:r w:rsidRPr="00080ADE">
        <w:rPr>
          <w:rFonts w:ascii="Arial" w:hAnsi="Arial" w:cs="Arial"/>
          <w:color w:val="0D0D0D" w:themeColor="text1" w:themeTint="F2"/>
        </w:rPr>
        <w:t>y, vozového</w:t>
      </w:r>
      <w:r w:rsidR="000D145E" w:rsidRPr="00080ADE">
        <w:rPr>
          <w:rFonts w:ascii="Arial" w:hAnsi="Arial" w:cs="Arial"/>
          <w:color w:val="0D0D0D" w:themeColor="text1" w:themeTint="F2"/>
        </w:rPr>
        <w:t xml:space="preserve"> park</w:t>
      </w:r>
      <w:r w:rsidRPr="00080ADE">
        <w:rPr>
          <w:rFonts w:ascii="Arial" w:hAnsi="Arial" w:cs="Arial"/>
          <w:color w:val="0D0D0D" w:themeColor="text1" w:themeTint="F2"/>
        </w:rPr>
        <w:t>u či dovolené</w:t>
      </w:r>
      <w:r w:rsidR="000D145E" w:rsidRPr="00080ADE">
        <w:rPr>
          <w:rFonts w:ascii="Arial" w:hAnsi="Arial" w:cs="Arial"/>
          <w:color w:val="0D0D0D" w:themeColor="text1" w:themeTint="F2"/>
        </w:rPr>
        <w:t>.</w:t>
      </w:r>
      <w:r w:rsidRPr="00080ADE">
        <w:rPr>
          <w:rFonts w:ascii="Arial" w:hAnsi="Arial" w:cs="Arial"/>
          <w:color w:val="0D0D0D" w:themeColor="text1" w:themeTint="F2"/>
        </w:rPr>
        <w:t xml:space="preserve"> Mezi účelové úvěry patří rovněž</w:t>
      </w:r>
      <w:r w:rsidR="000D145E" w:rsidRPr="00080ADE">
        <w:rPr>
          <w:rFonts w:ascii="Arial" w:hAnsi="Arial" w:cs="Arial"/>
          <w:color w:val="0D0D0D" w:themeColor="text1" w:themeTint="F2"/>
        </w:rPr>
        <w:t xml:space="preserve"> konsolidace, kde klient splácí již dříve poskytnuté úvěry ve snaze snížit splátku a mít lepší přehled. Výhodou </w:t>
      </w:r>
      <w:r w:rsidRPr="00080ADE">
        <w:rPr>
          <w:rFonts w:ascii="Arial" w:hAnsi="Arial" w:cs="Arial"/>
          <w:color w:val="0D0D0D" w:themeColor="text1" w:themeTint="F2"/>
        </w:rPr>
        <w:t xml:space="preserve">uvedeného produktu </w:t>
      </w:r>
      <w:r w:rsidR="000D145E" w:rsidRPr="00080ADE">
        <w:rPr>
          <w:rFonts w:ascii="Arial" w:hAnsi="Arial" w:cs="Arial"/>
          <w:color w:val="0D0D0D" w:themeColor="text1" w:themeTint="F2"/>
        </w:rPr>
        <w:t>bývá nižší úroková sazba a delší splatnost než u neúčelového úvěru.</w:t>
      </w:r>
    </w:p>
    <w:p w14:paraId="64985A6C" w14:textId="77777777" w:rsidR="000D145E" w:rsidRPr="00455F65" w:rsidRDefault="000D145E" w:rsidP="000D145E">
      <w:pPr>
        <w:rPr>
          <w:rFonts w:ascii="Arial" w:hAnsi="Arial" w:cs="Arial"/>
        </w:rPr>
      </w:pPr>
    </w:p>
    <w:p w14:paraId="04F9D9F3" w14:textId="77777777" w:rsidR="00B72E16" w:rsidRDefault="00B72E16" w:rsidP="007E3027">
      <w:pPr>
        <w:jc w:val="both"/>
        <w:rPr>
          <w:rFonts w:ascii="Arial" w:hAnsi="Arial" w:cs="Arial"/>
          <w:sz w:val="20"/>
          <w:szCs w:val="20"/>
        </w:rPr>
      </w:pPr>
    </w:p>
    <w:p w14:paraId="7C3633D0" w14:textId="051447D4" w:rsidR="007F4C72" w:rsidRDefault="007F4C72" w:rsidP="0053079B">
      <w:pPr>
        <w:jc w:val="both"/>
        <w:rPr>
          <w:rFonts w:ascii="Arial" w:hAnsi="Arial" w:cs="Arial"/>
          <w:sz w:val="20"/>
          <w:szCs w:val="20"/>
        </w:rPr>
      </w:pPr>
    </w:p>
    <w:p w14:paraId="73050904" w14:textId="5230DB0F" w:rsidR="00704D83" w:rsidRPr="00CF7819" w:rsidRDefault="00550147" w:rsidP="00F253CD">
      <w:pPr>
        <w:jc w:val="both"/>
        <w:rPr>
          <w:rFonts w:ascii="Arial" w:hAnsi="Arial" w:cs="Arial"/>
          <w:sz w:val="20"/>
          <w:szCs w:val="20"/>
        </w:rPr>
      </w:pPr>
      <w:r w:rsidRPr="00550147">
        <w:rPr>
          <w:rFonts w:ascii="Arial" w:hAnsi="Arial" w:cs="Arial"/>
          <w:noProof/>
          <w:sz w:val="20"/>
          <w:szCs w:val="20"/>
          <w:lang w:bidi="ar-SA"/>
        </w:rPr>
        <w:drawing>
          <wp:inline distT="0" distB="0" distL="0" distR="0" wp14:anchorId="3750A298" wp14:editId="63638911">
            <wp:extent cx="6635750" cy="2569845"/>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5750" cy="2569845"/>
                    </a:xfrm>
                    <a:prstGeom prst="rect">
                      <a:avLst/>
                    </a:prstGeom>
                  </pic:spPr>
                </pic:pic>
              </a:graphicData>
            </a:graphic>
          </wp:inline>
        </w:drawing>
      </w:r>
    </w:p>
    <w:p w14:paraId="63928600" w14:textId="77777777" w:rsidR="00CF7819" w:rsidRDefault="00CF7819" w:rsidP="004B2FF6">
      <w:pPr>
        <w:jc w:val="both"/>
        <w:rPr>
          <w:rFonts w:ascii="Arial" w:hAnsi="Arial" w:cs="Arial"/>
          <w:sz w:val="20"/>
          <w:szCs w:val="20"/>
        </w:rPr>
      </w:pPr>
    </w:p>
    <w:p w14:paraId="49449ACD" w14:textId="77777777" w:rsidR="00455F65" w:rsidRDefault="00455F65" w:rsidP="004B2FF6">
      <w:pPr>
        <w:jc w:val="both"/>
        <w:rPr>
          <w:rFonts w:ascii="Arial" w:hAnsi="Arial" w:cs="Arial"/>
          <w:sz w:val="20"/>
          <w:szCs w:val="20"/>
        </w:rPr>
      </w:pPr>
    </w:p>
    <w:p w14:paraId="02CED242" w14:textId="77777777" w:rsidR="00455F65" w:rsidRDefault="00455F65" w:rsidP="004B2FF6">
      <w:pPr>
        <w:jc w:val="both"/>
        <w:rPr>
          <w:rFonts w:ascii="Arial" w:hAnsi="Arial" w:cs="Arial"/>
          <w:sz w:val="20"/>
          <w:szCs w:val="20"/>
        </w:rPr>
      </w:pPr>
    </w:p>
    <w:p w14:paraId="5F77B8D5" w14:textId="77777777" w:rsidR="00455F65" w:rsidRDefault="00455F65" w:rsidP="004B2FF6">
      <w:pPr>
        <w:jc w:val="both"/>
        <w:rPr>
          <w:rFonts w:ascii="Arial" w:hAnsi="Arial" w:cs="Arial"/>
          <w:sz w:val="20"/>
          <w:szCs w:val="20"/>
        </w:rPr>
      </w:pPr>
    </w:p>
    <w:p w14:paraId="40DB4E97" w14:textId="77777777" w:rsidR="00455F65" w:rsidRDefault="00455F65" w:rsidP="004B2FF6">
      <w:pPr>
        <w:jc w:val="both"/>
        <w:rPr>
          <w:rFonts w:ascii="Arial" w:hAnsi="Arial" w:cs="Arial"/>
          <w:sz w:val="20"/>
          <w:szCs w:val="20"/>
        </w:rPr>
      </w:pPr>
    </w:p>
    <w:p w14:paraId="43E9D772" w14:textId="77777777" w:rsidR="00455F65" w:rsidRDefault="00455F65" w:rsidP="004B2FF6">
      <w:pPr>
        <w:jc w:val="both"/>
        <w:rPr>
          <w:rFonts w:ascii="Arial" w:hAnsi="Arial" w:cs="Arial"/>
          <w:sz w:val="20"/>
          <w:szCs w:val="20"/>
        </w:rPr>
      </w:pPr>
    </w:p>
    <w:p w14:paraId="3ACE820E" w14:textId="77777777" w:rsidR="00B10787" w:rsidRDefault="00B10787" w:rsidP="004B2FF6">
      <w:pPr>
        <w:jc w:val="both"/>
        <w:rPr>
          <w:rFonts w:ascii="Arial" w:hAnsi="Arial" w:cs="Arial"/>
          <w:sz w:val="20"/>
          <w:szCs w:val="20"/>
        </w:rPr>
      </w:pPr>
    </w:p>
    <w:p w14:paraId="4712D87F" w14:textId="77777777" w:rsidR="00B10787" w:rsidRDefault="00B10787" w:rsidP="004B2FF6">
      <w:pPr>
        <w:jc w:val="both"/>
        <w:rPr>
          <w:rFonts w:ascii="Arial" w:hAnsi="Arial" w:cs="Arial"/>
          <w:sz w:val="20"/>
          <w:szCs w:val="20"/>
        </w:rPr>
      </w:pPr>
    </w:p>
    <w:p w14:paraId="0B4992BC" w14:textId="1F602908" w:rsidR="00BE768F" w:rsidRDefault="008F3C6D" w:rsidP="004B2FF6">
      <w:pPr>
        <w:jc w:val="both"/>
        <w:rPr>
          <w:rFonts w:ascii="Arial" w:hAnsi="Arial" w:cs="Arial"/>
          <w:sz w:val="20"/>
          <w:szCs w:val="20"/>
        </w:rPr>
      </w:pPr>
      <w:r w:rsidRPr="0060554F">
        <w:rPr>
          <w:rFonts w:ascii="Arial" w:hAnsi="Arial" w:cs="Arial"/>
          <w:sz w:val="20"/>
          <w:szCs w:val="20"/>
        </w:rPr>
        <w:t xml:space="preserve">Broker </w:t>
      </w:r>
      <w:proofErr w:type="spellStart"/>
      <w:r w:rsidRPr="0060554F">
        <w:rPr>
          <w:rFonts w:ascii="Arial" w:hAnsi="Arial" w:cs="Arial"/>
          <w:sz w:val="20"/>
          <w:szCs w:val="20"/>
        </w:rPr>
        <w:t>Consulting</w:t>
      </w:r>
      <w:proofErr w:type="spellEnd"/>
      <w:r w:rsidRPr="0060554F">
        <w:rPr>
          <w:rFonts w:ascii="Arial" w:hAnsi="Arial" w:cs="Arial"/>
          <w:sz w:val="20"/>
          <w:szCs w:val="20"/>
        </w:rPr>
        <w:t xml:space="preserve"> Index spotřebitelských úvěrů je analytický nástroj, který ukazuje průměrnou úrokovou sazbu </w:t>
      </w:r>
      <w:r w:rsidR="00BE768F" w:rsidRPr="0060554F">
        <w:rPr>
          <w:rFonts w:ascii="Arial" w:hAnsi="Arial" w:cs="Arial"/>
          <w:sz w:val="20"/>
          <w:szCs w:val="20"/>
        </w:rPr>
        <w:br/>
      </w:r>
      <w:r w:rsidRPr="0060554F">
        <w:rPr>
          <w:rFonts w:ascii="Arial" w:hAnsi="Arial" w:cs="Arial"/>
          <w:sz w:val="20"/>
          <w:szCs w:val="20"/>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2FA3FD44" w14:textId="6D26D12D" w:rsidR="008F3C6D" w:rsidRPr="0060554F" w:rsidRDefault="008F3C6D" w:rsidP="00B51F55">
      <w:pPr>
        <w:tabs>
          <w:tab w:val="left" w:pos="7152"/>
        </w:tabs>
        <w:jc w:val="both"/>
        <w:rPr>
          <w:rFonts w:ascii="Arial" w:hAnsi="Arial" w:cs="Arial"/>
          <w:b/>
          <w:sz w:val="20"/>
          <w:szCs w:val="20"/>
        </w:rPr>
      </w:pPr>
      <w:r w:rsidRPr="0060554F">
        <w:rPr>
          <w:rFonts w:ascii="Arial" w:hAnsi="Arial" w:cs="Arial"/>
          <w:b/>
          <w:sz w:val="20"/>
          <w:szCs w:val="20"/>
        </w:rPr>
        <w:tab/>
      </w:r>
      <w:r w:rsidR="00EB1036" w:rsidRPr="0060554F">
        <w:rPr>
          <w:rFonts w:ascii="Arial" w:hAnsi="Arial" w:cs="Arial"/>
          <w:b/>
          <w:sz w:val="20"/>
          <w:szCs w:val="20"/>
        </w:rPr>
        <w:br/>
      </w:r>
      <w:r w:rsidRPr="0060554F">
        <w:rPr>
          <w:rFonts w:ascii="Arial" w:hAnsi="Arial" w:cs="Arial"/>
          <w:b/>
          <w:sz w:val="20"/>
          <w:szCs w:val="20"/>
        </w:rPr>
        <w:t>Proč je dobré Index sledovat</w:t>
      </w:r>
      <w:r w:rsidRPr="0060554F">
        <w:rPr>
          <w:rFonts w:ascii="Arial" w:hAnsi="Arial" w:cs="Arial"/>
          <w:b/>
          <w:sz w:val="20"/>
          <w:szCs w:val="20"/>
        </w:rPr>
        <w:tab/>
      </w:r>
    </w:p>
    <w:p w14:paraId="19369C4D" w14:textId="072B9F25" w:rsidR="008F3C6D" w:rsidRDefault="008F3C6D" w:rsidP="008F3C6D">
      <w:pPr>
        <w:jc w:val="both"/>
        <w:rPr>
          <w:sz w:val="20"/>
          <w:szCs w:val="20"/>
        </w:rPr>
      </w:pPr>
      <w:r w:rsidRPr="0060554F">
        <w:rPr>
          <w:rFonts w:ascii="Arial" w:hAnsi="Arial" w:cs="Arial"/>
          <w:sz w:val="20"/>
          <w:szCs w:val="20"/>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60554F">
        <w:rPr>
          <w:sz w:val="20"/>
          <w:szCs w:val="20"/>
        </w:rPr>
        <w:tab/>
      </w:r>
    </w:p>
    <w:p w14:paraId="081149DD" w14:textId="1A4B59FC" w:rsidR="00CF7819" w:rsidRPr="0060554F" w:rsidRDefault="00CF7819" w:rsidP="00CF7819">
      <w:pPr>
        <w:pBdr>
          <w:bottom w:val="single" w:sz="4" w:space="1" w:color="auto"/>
        </w:pBdr>
        <w:jc w:val="both"/>
        <w:rPr>
          <w:rFonts w:ascii="Arial" w:hAnsi="Arial" w:cs="Arial"/>
          <w:sz w:val="20"/>
          <w:szCs w:val="20"/>
        </w:rPr>
      </w:pPr>
    </w:p>
    <w:p w14:paraId="5F16FECD" w14:textId="69AB3698" w:rsidR="008F3C6D" w:rsidRDefault="008F3C6D" w:rsidP="008F3C6D">
      <w:pPr>
        <w:jc w:val="both"/>
        <w:rPr>
          <w:sz w:val="20"/>
        </w:rPr>
      </w:pPr>
    </w:p>
    <w:p w14:paraId="6AF53FD1" w14:textId="77777777" w:rsidR="00B51F55" w:rsidRPr="00B244B9" w:rsidRDefault="00B51F55" w:rsidP="00B51F55">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proofErr w:type="spellStart"/>
      <w:r w:rsidRPr="00B244B9">
        <w:rPr>
          <w:rFonts w:ascii="Arial" w:hAnsi="Arial" w:cs="Arial"/>
          <w:color w:val="1D1D1B"/>
          <w:w w:val="105"/>
          <w:sz w:val="18"/>
          <w:szCs w:val="16"/>
        </w:rPr>
        <w:t>Consulting</w:t>
      </w:r>
      <w:proofErr w:type="spellEnd"/>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proofErr w:type="spellStart"/>
      <w:r w:rsidRPr="00B244B9">
        <w:rPr>
          <w:rFonts w:ascii="Arial" w:hAnsi="Arial" w:cs="Arial"/>
          <w:color w:val="1D1D1B"/>
          <w:w w:val="105"/>
          <w:sz w:val="18"/>
          <w:szCs w:val="16"/>
        </w:rPr>
        <w:t>Consulting</w:t>
      </w:r>
      <w:proofErr w:type="spellEnd"/>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proofErr w:type="spellStart"/>
      <w:r w:rsidRPr="00B244B9">
        <w:rPr>
          <w:rFonts w:ascii="Arial" w:hAnsi="Arial" w:cs="Arial"/>
          <w:i/>
          <w:color w:val="1D1D1B"/>
          <w:w w:val="105"/>
          <w:sz w:val="18"/>
          <w:szCs w:val="16"/>
        </w:rPr>
        <w:t>Consulting</w:t>
      </w:r>
      <w:proofErr w:type="spellEnd"/>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685A4AD2" w14:textId="77777777" w:rsidR="00B51F55" w:rsidRDefault="00B51F55"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Pr="00B13035" w:rsidRDefault="008F3C6D" w:rsidP="008F3C6D">
      <w:pPr>
        <w:rPr>
          <w:rFonts w:ascii="Arial" w:eastAsia="Calibri" w:hAnsi="Arial" w:cs="Arial"/>
          <w:b/>
          <w:bCs/>
          <w:noProof/>
          <w:sz w:val="20"/>
          <w:szCs w:val="20"/>
        </w:rPr>
      </w:pPr>
      <w:r w:rsidRPr="00B13035">
        <w:rPr>
          <w:rFonts w:ascii="Arial" w:eastAsia="Calibri" w:hAnsi="Arial" w:cs="Arial"/>
          <w:b/>
          <w:bCs/>
          <w:noProof/>
          <w:sz w:val="20"/>
          <w:szCs w:val="20"/>
        </w:rPr>
        <w:t>Kontakt pro média:</w:t>
      </w:r>
    </w:p>
    <w:p w14:paraId="78012E24" w14:textId="77777777" w:rsidR="0053079B" w:rsidRPr="0073009C" w:rsidRDefault="0053079B" w:rsidP="0053079B">
      <w:pPr>
        <w:rPr>
          <w:rFonts w:ascii="Arial" w:eastAsia="Calibri" w:hAnsi="Arial" w:cs="Arial"/>
          <w:bCs/>
          <w:noProof/>
          <w:sz w:val="18"/>
          <w:szCs w:val="18"/>
        </w:rPr>
      </w:pPr>
    </w:p>
    <w:p w14:paraId="60542279" w14:textId="77777777" w:rsidR="0053079B" w:rsidRPr="0073009C" w:rsidRDefault="0053079B" w:rsidP="0053079B">
      <w:pPr>
        <w:spacing w:after="60"/>
        <w:rPr>
          <w:rFonts w:ascii="Arial" w:eastAsia="Calibri" w:hAnsi="Arial" w:cs="Arial"/>
          <w:bCs/>
          <w:noProof/>
          <w:sz w:val="18"/>
          <w:szCs w:val="18"/>
          <w:lang w:bidi="ar-SA"/>
        </w:rPr>
      </w:pPr>
      <w:r>
        <w:rPr>
          <w:rFonts w:ascii="Arial" w:eastAsia="Calibri" w:hAnsi="Arial" w:cs="Arial"/>
          <w:bCs/>
          <w:noProof/>
          <w:sz w:val="18"/>
          <w:szCs w:val="18"/>
        </w:rPr>
        <w:t>Michaela Sahulová</w:t>
      </w:r>
    </w:p>
    <w:p w14:paraId="16BB5E7E" w14:textId="77777777" w:rsidR="0053079B" w:rsidRDefault="0053079B" w:rsidP="0053079B">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2D24B5C8" w14:textId="77777777" w:rsidR="0053079B" w:rsidRDefault="0053079B" w:rsidP="0053079B">
      <w:pPr>
        <w:rPr>
          <w:rFonts w:ascii="Arial" w:eastAsiaTheme="minorEastAsia" w:hAnsi="Arial" w:cs="Arial"/>
          <w:noProof/>
          <w:color w:val="000000" w:themeColor="text1"/>
          <w:sz w:val="18"/>
          <w:szCs w:val="18"/>
          <w:lang w:bidi="ar-SA"/>
        </w:rPr>
      </w:pPr>
      <w:r>
        <w:rPr>
          <w:rFonts w:ascii="Arial" w:eastAsiaTheme="minorEastAsia" w:hAnsi="Arial" w:cs="Arial"/>
          <w:noProof/>
          <w:color w:val="000000" w:themeColor="text1"/>
          <w:sz w:val="18"/>
          <w:szCs w:val="18"/>
        </w:rPr>
        <w:t>tel.: +420 731 538 373</w:t>
      </w:r>
    </w:p>
    <w:p w14:paraId="745E815C" w14:textId="77777777" w:rsidR="0053079B" w:rsidRPr="0073009C" w:rsidRDefault="0053079B" w:rsidP="0053079B">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5" w:history="1">
        <w:r w:rsidRPr="00862049">
          <w:rPr>
            <w:rStyle w:val="Hypertextovodkaz"/>
            <w:rFonts w:ascii="Arial" w:eastAsia="Calibri" w:hAnsi="Arial" w:cs="Arial"/>
            <w:noProof/>
            <w:sz w:val="18"/>
            <w:szCs w:val="18"/>
          </w:rPr>
          <w:t>michaela.sahulova@bcas.cz</w:t>
        </w:r>
      </w:hyperlink>
      <w:r w:rsidRPr="0073009C">
        <w:rPr>
          <w:rFonts w:ascii="Arial" w:eastAsia="Calibri" w:hAnsi="Arial" w:cs="Arial"/>
          <w:noProof/>
          <w:sz w:val="18"/>
          <w:szCs w:val="18"/>
        </w:rPr>
        <w:t xml:space="preserve"> </w:t>
      </w:r>
    </w:p>
    <w:p w14:paraId="1FBC071D" w14:textId="77777777" w:rsidR="00FA6B22" w:rsidRPr="00B13035" w:rsidRDefault="00FA6B22" w:rsidP="008F3C6D">
      <w:pPr>
        <w:rPr>
          <w:rFonts w:ascii="Arial" w:eastAsia="Calibri" w:hAnsi="Arial" w:cs="Arial"/>
          <w:noProof/>
          <w:sz w:val="20"/>
          <w:szCs w:val="20"/>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5EFCA" w14:textId="77777777" w:rsidR="00C85569" w:rsidRDefault="00C85569">
      <w:r>
        <w:separator/>
      </w:r>
    </w:p>
  </w:endnote>
  <w:endnote w:type="continuationSeparator" w:id="0">
    <w:p w14:paraId="575B7818" w14:textId="77777777" w:rsidR="00C85569" w:rsidRDefault="00C8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C8556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1470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C8556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1470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C8556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1470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B7B14" w14:textId="77777777" w:rsidR="00C85569" w:rsidRDefault="00C85569">
      <w:r>
        <w:separator/>
      </w:r>
    </w:p>
  </w:footnote>
  <w:footnote w:type="continuationSeparator" w:id="0">
    <w:p w14:paraId="17BB6AEB" w14:textId="77777777" w:rsidR="00C85569" w:rsidRDefault="00C85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6A7"/>
    <w:rsid w:val="000277AC"/>
    <w:rsid w:val="00032D94"/>
    <w:rsid w:val="00036C73"/>
    <w:rsid w:val="000374D7"/>
    <w:rsid w:val="000400E4"/>
    <w:rsid w:val="00045B39"/>
    <w:rsid w:val="0005252A"/>
    <w:rsid w:val="0005423A"/>
    <w:rsid w:val="00057018"/>
    <w:rsid w:val="000611E3"/>
    <w:rsid w:val="000618FE"/>
    <w:rsid w:val="00061ABB"/>
    <w:rsid w:val="00070675"/>
    <w:rsid w:val="000766E7"/>
    <w:rsid w:val="00080552"/>
    <w:rsid w:val="00080ADE"/>
    <w:rsid w:val="00081616"/>
    <w:rsid w:val="000853D4"/>
    <w:rsid w:val="00087263"/>
    <w:rsid w:val="0009776B"/>
    <w:rsid w:val="000B0D84"/>
    <w:rsid w:val="000B2E5D"/>
    <w:rsid w:val="000B2F39"/>
    <w:rsid w:val="000B5339"/>
    <w:rsid w:val="000B54E5"/>
    <w:rsid w:val="000C0090"/>
    <w:rsid w:val="000C1853"/>
    <w:rsid w:val="000C4C77"/>
    <w:rsid w:val="000D145E"/>
    <w:rsid w:val="000D14E2"/>
    <w:rsid w:val="000D5F5D"/>
    <w:rsid w:val="000D7A4D"/>
    <w:rsid w:val="000E0EEC"/>
    <w:rsid w:val="000E168E"/>
    <w:rsid w:val="000E3D86"/>
    <w:rsid w:val="000F0BA4"/>
    <w:rsid w:val="000F1EC4"/>
    <w:rsid w:val="000F29D1"/>
    <w:rsid w:val="000F6249"/>
    <w:rsid w:val="00103543"/>
    <w:rsid w:val="001069A1"/>
    <w:rsid w:val="0010739A"/>
    <w:rsid w:val="00111C28"/>
    <w:rsid w:val="00112079"/>
    <w:rsid w:val="00112D65"/>
    <w:rsid w:val="001130B7"/>
    <w:rsid w:val="00114F7B"/>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3F19"/>
    <w:rsid w:val="002A6FA3"/>
    <w:rsid w:val="002A7325"/>
    <w:rsid w:val="002B0728"/>
    <w:rsid w:val="002B1317"/>
    <w:rsid w:val="002B7DA9"/>
    <w:rsid w:val="002B7F6D"/>
    <w:rsid w:val="002C0240"/>
    <w:rsid w:val="002C4A25"/>
    <w:rsid w:val="002D1619"/>
    <w:rsid w:val="002D6D20"/>
    <w:rsid w:val="002E1ABC"/>
    <w:rsid w:val="002E633F"/>
    <w:rsid w:val="002F002B"/>
    <w:rsid w:val="002F05B2"/>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53BB"/>
    <w:rsid w:val="004075C9"/>
    <w:rsid w:val="004116FD"/>
    <w:rsid w:val="0042193A"/>
    <w:rsid w:val="0043347D"/>
    <w:rsid w:val="004336E4"/>
    <w:rsid w:val="00433F20"/>
    <w:rsid w:val="00435342"/>
    <w:rsid w:val="004376B0"/>
    <w:rsid w:val="00445D0A"/>
    <w:rsid w:val="004501B9"/>
    <w:rsid w:val="00453CFE"/>
    <w:rsid w:val="00454843"/>
    <w:rsid w:val="004556BB"/>
    <w:rsid w:val="00455F65"/>
    <w:rsid w:val="00457FFE"/>
    <w:rsid w:val="00460FA7"/>
    <w:rsid w:val="00461BF2"/>
    <w:rsid w:val="004627B9"/>
    <w:rsid w:val="004678E9"/>
    <w:rsid w:val="00467E69"/>
    <w:rsid w:val="00471166"/>
    <w:rsid w:val="00473E24"/>
    <w:rsid w:val="00480982"/>
    <w:rsid w:val="00486655"/>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5D36"/>
    <w:rsid w:val="004F6195"/>
    <w:rsid w:val="00504EBB"/>
    <w:rsid w:val="0050659B"/>
    <w:rsid w:val="005130A9"/>
    <w:rsid w:val="005153F7"/>
    <w:rsid w:val="00515952"/>
    <w:rsid w:val="005224C1"/>
    <w:rsid w:val="005231DA"/>
    <w:rsid w:val="0053079B"/>
    <w:rsid w:val="0053153F"/>
    <w:rsid w:val="00531C9F"/>
    <w:rsid w:val="005361AF"/>
    <w:rsid w:val="00536822"/>
    <w:rsid w:val="00536954"/>
    <w:rsid w:val="0053728E"/>
    <w:rsid w:val="00540606"/>
    <w:rsid w:val="00541870"/>
    <w:rsid w:val="005436EC"/>
    <w:rsid w:val="00544A37"/>
    <w:rsid w:val="00545971"/>
    <w:rsid w:val="00550147"/>
    <w:rsid w:val="00551FDB"/>
    <w:rsid w:val="00554D18"/>
    <w:rsid w:val="0056501A"/>
    <w:rsid w:val="00571AD4"/>
    <w:rsid w:val="00573886"/>
    <w:rsid w:val="00573EE2"/>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554F"/>
    <w:rsid w:val="006135FD"/>
    <w:rsid w:val="0061438C"/>
    <w:rsid w:val="006166CE"/>
    <w:rsid w:val="006218E4"/>
    <w:rsid w:val="00623C47"/>
    <w:rsid w:val="0062747C"/>
    <w:rsid w:val="0062786E"/>
    <w:rsid w:val="00636142"/>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59AC"/>
    <w:rsid w:val="006859FD"/>
    <w:rsid w:val="0068617E"/>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2DE8"/>
    <w:rsid w:val="007F4493"/>
    <w:rsid w:val="007F4C72"/>
    <w:rsid w:val="007F71F9"/>
    <w:rsid w:val="008011E7"/>
    <w:rsid w:val="0080323F"/>
    <w:rsid w:val="008063BB"/>
    <w:rsid w:val="008123FF"/>
    <w:rsid w:val="0081387C"/>
    <w:rsid w:val="0081474E"/>
    <w:rsid w:val="0083053E"/>
    <w:rsid w:val="00831B5E"/>
    <w:rsid w:val="00832F5B"/>
    <w:rsid w:val="00841AC4"/>
    <w:rsid w:val="00845A34"/>
    <w:rsid w:val="00852BBB"/>
    <w:rsid w:val="00856806"/>
    <w:rsid w:val="00856D3C"/>
    <w:rsid w:val="00860609"/>
    <w:rsid w:val="00863FC3"/>
    <w:rsid w:val="0087199F"/>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E1286"/>
    <w:rsid w:val="008E19F3"/>
    <w:rsid w:val="008F36CB"/>
    <w:rsid w:val="008F3C6D"/>
    <w:rsid w:val="008F6AAF"/>
    <w:rsid w:val="00901DB4"/>
    <w:rsid w:val="00901E1F"/>
    <w:rsid w:val="0090292E"/>
    <w:rsid w:val="00906E67"/>
    <w:rsid w:val="009144B1"/>
    <w:rsid w:val="00915ADA"/>
    <w:rsid w:val="0092097A"/>
    <w:rsid w:val="009222C9"/>
    <w:rsid w:val="009228CF"/>
    <w:rsid w:val="00925499"/>
    <w:rsid w:val="00930569"/>
    <w:rsid w:val="00932625"/>
    <w:rsid w:val="009343CC"/>
    <w:rsid w:val="009344C2"/>
    <w:rsid w:val="009412B0"/>
    <w:rsid w:val="0094645B"/>
    <w:rsid w:val="0094705C"/>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796E"/>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E313F"/>
    <w:rsid w:val="00AE34F4"/>
    <w:rsid w:val="00AF042F"/>
    <w:rsid w:val="00B00C49"/>
    <w:rsid w:val="00B03105"/>
    <w:rsid w:val="00B03461"/>
    <w:rsid w:val="00B0766F"/>
    <w:rsid w:val="00B07F42"/>
    <w:rsid w:val="00B10787"/>
    <w:rsid w:val="00B11974"/>
    <w:rsid w:val="00B12CF8"/>
    <w:rsid w:val="00B13035"/>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3E59"/>
    <w:rsid w:val="00BD56B7"/>
    <w:rsid w:val="00BD5A47"/>
    <w:rsid w:val="00BD5FB6"/>
    <w:rsid w:val="00BE2BCC"/>
    <w:rsid w:val="00BE3896"/>
    <w:rsid w:val="00BE7068"/>
    <w:rsid w:val="00BE768F"/>
    <w:rsid w:val="00C03192"/>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DAB"/>
    <w:rsid w:val="00C85569"/>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55BD2"/>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58A3"/>
    <w:rsid w:val="00E06422"/>
    <w:rsid w:val="00E11439"/>
    <w:rsid w:val="00E151F3"/>
    <w:rsid w:val="00E161C6"/>
    <w:rsid w:val="00E17539"/>
    <w:rsid w:val="00E2483C"/>
    <w:rsid w:val="00E26CF0"/>
    <w:rsid w:val="00E31346"/>
    <w:rsid w:val="00E376F8"/>
    <w:rsid w:val="00E40550"/>
    <w:rsid w:val="00E41C99"/>
    <w:rsid w:val="00E423B5"/>
    <w:rsid w:val="00E43F59"/>
    <w:rsid w:val="00E518BB"/>
    <w:rsid w:val="00E57F9B"/>
    <w:rsid w:val="00E6726D"/>
    <w:rsid w:val="00E77BCA"/>
    <w:rsid w:val="00E81433"/>
    <w:rsid w:val="00E81C95"/>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3FDA"/>
    <w:rsid w:val="00F14982"/>
    <w:rsid w:val="00F14B6E"/>
    <w:rsid w:val="00F20D55"/>
    <w:rsid w:val="00F250B8"/>
    <w:rsid w:val="00F253CD"/>
    <w:rsid w:val="00F2598D"/>
    <w:rsid w:val="00F259AE"/>
    <w:rsid w:val="00F30F02"/>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37FB"/>
    <w:rsid w:val="00F66B41"/>
    <w:rsid w:val="00F712AB"/>
    <w:rsid w:val="00F77D7D"/>
    <w:rsid w:val="00F80CD0"/>
    <w:rsid w:val="00F82DDB"/>
    <w:rsid w:val="00F838FF"/>
    <w:rsid w:val="00F83CDB"/>
    <w:rsid w:val="00F8771B"/>
    <w:rsid w:val="00F90003"/>
    <w:rsid w:val="00F9173C"/>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C166-1977-4930-8BFA-BEDF9C8D1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851</Words>
  <Characters>5023</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4</cp:revision>
  <dcterms:created xsi:type="dcterms:W3CDTF">2023-02-03T12:43:00Z</dcterms:created>
  <dcterms:modified xsi:type="dcterms:W3CDTF">2023-02-08T15:46:00Z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