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  <w:szCs w:val="20"/>
        </w:rPr>
      </w:sdtEndPr>
      <w:sdtContent>
        <w:p w14:paraId="718E6546" w14:textId="1251B28C" w:rsidR="00D80B6D" w:rsidRPr="007C7B64" w:rsidRDefault="00D80B6D">
          <w:pPr>
            <w:rPr>
              <w:highlight w:val="yellow"/>
            </w:rPr>
          </w:pPr>
        </w:p>
        <w:p w14:paraId="7ED014A1" w14:textId="77777777" w:rsidR="00D80B6D" w:rsidRPr="007C7B64" w:rsidRDefault="00D80B6D" w:rsidP="00D80B6D">
          <w:pPr>
            <w:pStyle w:val="Nadpis3"/>
            <w:spacing w:before="10"/>
            <w:rPr>
              <w:rFonts w:ascii="Arial" w:hAnsi="Arial" w:cs="Arial"/>
              <w:highlight w:val="yellow"/>
            </w:rPr>
          </w:pPr>
        </w:p>
        <w:p w14:paraId="0FB45B67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HYPOTEČNÍCH ÚVĚRŮ | FIXINDEX </w:t>
          </w:r>
        </w:p>
        <w:p w14:paraId="03C4DE47" w14:textId="1DAD08F6" w:rsidR="0009776B" w:rsidRPr="007C7B64" w:rsidRDefault="00D80B6D" w:rsidP="00A02308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b/>
              <w:sz w:val="24"/>
            </w:rPr>
            <w:t>INDEX PODÍLOVÝCH FONDŮ</w:t>
          </w:r>
          <w:r w:rsidRPr="007C7B64">
            <w:rPr>
              <w:rFonts w:ascii="Arial" w:hAnsi="Arial" w:cs="Arial"/>
              <w:sz w:val="24"/>
            </w:rPr>
            <w:t xml:space="preserve"> </w:t>
          </w:r>
        </w:p>
        <w:p w14:paraId="32900BCE" w14:textId="5BB9437C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>P</w:t>
          </w:r>
          <w:r w:rsidR="00A02308" w:rsidRPr="007C7B64">
            <w:rPr>
              <w:rFonts w:ascii="Arial" w:hAnsi="Arial" w:cs="Arial"/>
              <w:sz w:val="24"/>
            </w:rPr>
            <w:t>OV</w:t>
          </w:r>
          <w:r w:rsidRPr="007C7B64">
            <w:rPr>
              <w:rFonts w:ascii="Arial" w:hAnsi="Arial" w:cs="Arial"/>
              <w:sz w:val="24"/>
            </w:rPr>
            <w:t xml:space="preserve">INDEX </w:t>
          </w:r>
        </w:p>
        <w:p w14:paraId="5B21B8A6" w14:textId="77777777" w:rsidR="00D80B6D" w:rsidRPr="007C7B64" w:rsidRDefault="00D80B6D" w:rsidP="00D80B6D">
          <w:pPr>
            <w:spacing w:before="230"/>
            <w:ind w:left="165"/>
            <w:jc w:val="center"/>
            <w:rPr>
              <w:rFonts w:ascii="Arial" w:hAnsi="Arial" w:cs="Arial"/>
              <w:sz w:val="24"/>
            </w:rPr>
          </w:pPr>
          <w:r w:rsidRPr="007C7B64">
            <w:rPr>
              <w:rFonts w:ascii="Arial" w:hAnsi="Arial" w:cs="Arial"/>
              <w:sz w:val="24"/>
            </w:rPr>
            <w:t xml:space="preserve">INDEX SPOTŘEBITELSKÝCH ÚVĚRŮ  </w:t>
          </w:r>
        </w:p>
        <w:p w14:paraId="720CCDBB" w14:textId="77777777" w:rsidR="00D80B6D" w:rsidRPr="007C7B64" w:rsidRDefault="00D80B6D" w:rsidP="00D80B6D">
          <w:pPr>
            <w:pStyle w:val="Zkladntext"/>
            <w:spacing w:before="240"/>
            <w:rPr>
              <w:sz w:val="20"/>
              <w:highlight w:val="yellow"/>
            </w:rPr>
          </w:pPr>
        </w:p>
        <w:p w14:paraId="703D71F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0494A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  <w:r w:rsidRPr="007C7B64">
            <w:rPr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A5F355C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218EE6C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0238B3AB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4516A42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5266363A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363B2E28" w14:textId="77777777" w:rsidR="00D80B6D" w:rsidRPr="007C7B64" w:rsidRDefault="00D80B6D" w:rsidP="00D80B6D">
          <w:pPr>
            <w:pStyle w:val="Zkladntext"/>
            <w:rPr>
              <w:sz w:val="20"/>
              <w:highlight w:val="yellow"/>
            </w:rPr>
          </w:pPr>
        </w:p>
        <w:p w14:paraId="17667B4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</w:pPr>
        </w:p>
        <w:p w14:paraId="5193A52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2833FE5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DB157BF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7803C2A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D90E1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33B823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0D2BECD0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9288FB9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41E93D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41A343C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6C52C42D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E3CDF25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40495E64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9B6F4E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5ADDFBD6" w14:textId="77777777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CB27DF8" w14:textId="77777777" w:rsidR="007B358E" w:rsidRPr="007C7B64" w:rsidRDefault="007B358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3A61C564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414E639" w14:textId="77777777" w:rsidR="0068617E" w:rsidRPr="007C7B64" w:rsidRDefault="0068617E" w:rsidP="00D80B6D">
          <w:pPr>
            <w:pStyle w:val="Zkladntext"/>
            <w:jc w:val="both"/>
            <w:rPr>
              <w:rFonts w:ascii="Arial" w:hAnsi="Arial" w:cs="Arial"/>
              <w:b/>
              <w:sz w:val="20"/>
              <w:highlight w:val="yellow"/>
            </w:rPr>
          </w:pPr>
        </w:p>
        <w:p w14:paraId="11132A3F" w14:textId="53DE594E" w:rsidR="00D80B6D" w:rsidRPr="007C7B64" w:rsidRDefault="00D80B6D" w:rsidP="00D80B6D">
          <w:pPr>
            <w:pStyle w:val="Zkladntext"/>
            <w:jc w:val="both"/>
            <w:rPr>
              <w:rFonts w:ascii="Arial" w:hAnsi="Arial" w:cs="Arial"/>
              <w:b/>
              <w:sz w:val="20"/>
            </w:rPr>
          </w:pPr>
          <w:r w:rsidRPr="007C7B64">
            <w:rPr>
              <w:rFonts w:ascii="Arial" w:hAnsi="Arial" w:cs="Arial"/>
              <w:b/>
              <w:sz w:val="20"/>
            </w:rPr>
            <w:t>O společnosti Broker Consulting</w:t>
          </w:r>
        </w:p>
        <w:p w14:paraId="27485CC6" w14:textId="77777777" w:rsidR="00D80B6D" w:rsidRPr="007C7B64" w:rsidRDefault="00D80B6D" w:rsidP="00D80B6D">
          <w:pPr>
            <w:jc w:val="both"/>
            <w:rPr>
              <w:rFonts w:ascii="Arial" w:hAnsi="Arial" w:cs="Arial"/>
              <w:sz w:val="20"/>
            </w:rPr>
          </w:pPr>
        </w:p>
        <w:p w14:paraId="08070DCC" w14:textId="0F154FE8" w:rsidR="00792EE9" w:rsidRPr="007C7B64" w:rsidRDefault="00792EE9" w:rsidP="00792EE9">
          <w:pPr>
            <w:jc w:val="both"/>
            <w:rPr>
              <w:rStyle w:val="dn"/>
              <w:rFonts w:ascii="Arial" w:hAnsi="Arial" w:cs="Arial"/>
              <w:sz w:val="18"/>
              <w:szCs w:val="18"/>
            </w:rPr>
          </w:pPr>
          <w:r w:rsidRPr="007C7B64">
            <w:rPr>
              <w:rFonts w:ascii="Arial" w:hAnsi="Arial" w:cs="Arial"/>
              <w:sz w:val="18"/>
            </w:rPr>
            <w:t xml:space="preserve">Broker Consulting je jednou z největších společností na českém a slovenském trhu, která poskytuje služby v oblasti financí a realit. Od roku 1998 získala důvěru více než 600 000 klientů. Poskytuje také služby přes 4 000 firmám. Distribuci služeb zajišťuje přibližně 2 000 konzultantů (profesionální konzultanti, zaměstnanci, konzultanti v zapracování v ČR i SR) ve více než 100 kancelářích a </w:t>
          </w:r>
          <w:r w:rsidR="002141AF" w:rsidRPr="007C7B64">
            <w:rPr>
              <w:rFonts w:ascii="Arial" w:hAnsi="Arial" w:cs="Arial"/>
              <w:sz w:val="18"/>
            </w:rPr>
            <w:t>4</w:t>
          </w:r>
          <w:r w:rsidR="00A02308" w:rsidRPr="007C7B64">
            <w:rPr>
              <w:rFonts w:ascii="Arial" w:hAnsi="Arial" w:cs="Arial"/>
              <w:sz w:val="18"/>
            </w:rPr>
            <w:t>2</w:t>
          </w:r>
          <w:r w:rsidRPr="007C7B64">
            <w:rPr>
              <w:rFonts w:ascii="Arial" w:hAnsi="Arial" w:cs="Arial"/>
              <w:sz w:val="18"/>
            </w:rPr>
            <w:t xml:space="preserve"> franšízových pobočkách OK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Bankovní, finanční a realitní služby společně, to je OK POINT, který přináší společnost</w:t>
          </w:r>
          <w:r w:rsidR="004553A8">
            <w:rPr>
              <w:rFonts w:ascii="Arial" w:hAnsi="Arial" w:cs="Arial"/>
              <w:sz w:val="18"/>
            </w:rPr>
            <w:t xml:space="preserve"> Broker Consulting</w:t>
          </w:r>
          <w:r w:rsidRPr="007C7B64">
            <w:rPr>
              <w:rFonts w:ascii="Arial" w:hAnsi="Arial" w:cs="Arial"/>
              <w:sz w:val="18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Více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na </w:t>
          </w:r>
          <w:hyperlink r:id="rId9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bcas.cz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0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okpointy.cz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, </w:t>
          </w:r>
          <w:hyperlink r:id="rId11" w:history="1">
            <w:r w:rsidR="007B232E"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okpoint.tv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na </w:t>
          </w:r>
          <w:hyperlink r:id="rId12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realityspolu.cz</w:t>
            </w:r>
          </w:hyperlink>
          <w:r w:rsidR="007B232E"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  <w:u w:val="none"/>
            </w:rPr>
            <w:t xml:space="preserve">.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Navštivte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také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proofErr w:type="spellStart"/>
          <w:r w:rsidRPr="007C7B64">
            <w:rPr>
              <w:rStyle w:val="dn"/>
              <w:rFonts w:ascii="Arial" w:hAnsi="Arial" w:cs="Arial"/>
              <w:sz w:val="18"/>
              <w:szCs w:val="18"/>
            </w:rPr>
            <w:t>náš</w:t>
          </w:r>
          <w:proofErr w:type="spellEnd"/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</w:t>
          </w:r>
          <w:hyperlink r:id="rId13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4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LinkedIN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Broker Consulting a </w:t>
          </w:r>
          <w:hyperlink r:id="rId15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Facebook</w:t>
            </w:r>
          </w:hyperlink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a </w:t>
          </w:r>
          <w:hyperlink r:id="rId16" w:history="1">
            <w:r w:rsidRPr="007C7B64">
              <w:rPr>
                <w:rStyle w:val="Hypertextovodkaz"/>
                <w:rFonts w:ascii="Arial" w:hAnsi="Arial" w:cs="Arial"/>
                <w:color w:val="auto"/>
                <w:sz w:val="18"/>
                <w:szCs w:val="18"/>
              </w:rPr>
              <w:t>LinkedI</w:t>
            </w:r>
          </w:hyperlink>
          <w:r w:rsidRPr="007C7B64">
            <w:rPr>
              <w:rStyle w:val="Hypertextovodkaz"/>
              <w:rFonts w:ascii="Arial" w:hAnsi="Arial" w:cs="Arial"/>
              <w:color w:val="auto"/>
              <w:sz w:val="18"/>
              <w:szCs w:val="18"/>
            </w:rPr>
            <w:t>N</w:t>
          </w:r>
          <w:r w:rsidRPr="007C7B64">
            <w:rPr>
              <w:rStyle w:val="dn"/>
              <w:rFonts w:ascii="Arial" w:hAnsi="Arial" w:cs="Arial"/>
              <w:sz w:val="18"/>
              <w:szCs w:val="18"/>
            </w:rPr>
            <w:t xml:space="preserve"> OK POINTů. </w:t>
          </w:r>
        </w:p>
        <w:p w14:paraId="3F0EC976" w14:textId="3496D289" w:rsidR="00D80B6D" w:rsidRPr="007C7B64" w:rsidRDefault="00D80B6D" w:rsidP="0068617E">
          <w:pPr>
            <w:pStyle w:val="Zkladntext"/>
            <w:jc w:val="both"/>
            <w:rPr>
              <w:rFonts w:ascii="Arial" w:hAnsi="Arial" w:cs="Arial"/>
              <w:sz w:val="20"/>
              <w:highlight w:val="yellow"/>
            </w:rPr>
            <w:sectPr w:rsidR="00D80B6D" w:rsidRPr="007C7B64" w:rsidSect="00D80B6D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</w:sectPr>
          </w:pPr>
        </w:p>
        <w:p w14:paraId="192727B5" w14:textId="06FBCF7C" w:rsidR="00A13346" w:rsidRDefault="00A13346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0553832B" w14:textId="77777777" w:rsidR="008C5E3B" w:rsidRPr="007C7B64" w:rsidRDefault="008C5E3B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</w:pPr>
        </w:p>
        <w:p w14:paraId="35539C65" w14:textId="5E0FA483" w:rsidR="00D31127" w:rsidRPr="007C7B64" w:rsidRDefault="00D310CA" w:rsidP="0025264B">
          <w:pPr>
            <w:rPr>
              <w:rFonts w:ascii="Arial" w:hAnsi="Arial" w:cs="Arial"/>
              <w:b/>
              <w:sz w:val="20"/>
              <w:szCs w:val="20"/>
              <w:highlight w:val="yellow"/>
            </w:rPr>
            <w:sectPr w:rsidR="00D31127" w:rsidRPr="007C7B64" w:rsidSect="00D80B6D">
              <w:headerReference w:type="even" r:id="rId19"/>
              <w:headerReference w:type="default" r:id="rId20"/>
              <w:footerReference w:type="even" r:id="rId21"/>
              <w:footerReference w:type="default" r:id="rId22"/>
              <w:headerReference w:type="first" r:id="rId23"/>
              <w:footerReference w:type="first" r:id="rId24"/>
              <w:pgSz w:w="11910" w:h="16840"/>
              <w:pgMar w:top="1418" w:right="740" w:bottom="420" w:left="720" w:header="340" w:footer="223" w:gutter="0"/>
              <w:pgNumType w:start="0"/>
              <w:cols w:space="708"/>
              <w:titlePg/>
              <w:docGrid w:linePitch="299"/>
            </w:sectPr>
          </w:pPr>
        </w:p>
      </w:sdtContent>
    </w:sdt>
    <w:p w14:paraId="4001D224" w14:textId="702FB01D" w:rsidR="007C5CE8" w:rsidRDefault="00BB4AC1" w:rsidP="00455445">
      <w:pPr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Podílové fondy poklesly </w:t>
      </w:r>
      <w:r w:rsidR="00B6504A">
        <w:rPr>
          <w:rFonts w:ascii="Arial" w:hAnsi="Arial" w:cs="Arial"/>
          <w:b/>
          <w:sz w:val="27"/>
          <w:szCs w:val="27"/>
        </w:rPr>
        <w:t>kvůli obavám z </w:t>
      </w:r>
      <w:r>
        <w:rPr>
          <w:rFonts w:ascii="Arial" w:hAnsi="Arial" w:cs="Arial"/>
          <w:b/>
          <w:sz w:val="27"/>
          <w:szCs w:val="27"/>
        </w:rPr>
        <w:t xml:space="preserve">recese </w:t>
      </w:r>
    </w:p>
    <w:p w14:paraId="7467897D" w14:textId="59504940" w:rsidR="00C23E32" w:rsidRPr="00C24953" w:rsidRDefault="00C23E32" w:rsidP="00B27178">
      <w:pPr>
        <w:jc w:val="both"/>
        <w:rPr>
          <w:rFonts w:ascii="Arial" w:hAnsi="Arial" w:cs="Arial"/>
          <w:sz w:val="20"/>
          <w:szCs w:val="20"/>
        </w:rPr>
      </w:pPr>
    </w:p>
    <w:p w14:paraId="60C2AE0C" w14:textId="17E3EF0B" w:rsidR="0027305C" w:rsidRPr="00ED10B9" w:rsidRDefault="00836812" w:rsidP="000F0B3D">
      <w:pPr>
        <w:jc w:val="both"/>
      </w:pPr>
      <w:r w:rsidRPr="001E1D9D">
        <w:rPr>
          <w:rFonts w:ascii="Arial" w:hAnsi="Arial" w:cs="Arial"/>
          <w:i/>
          <w:sz w:val="21"/>
          <w:szCs w:val="21"/>
        </w:rPr>
        <w:t xml:space="preserve">Praha, </w:t>
      </w:r>
      <w:r w:rsidR="00734305">
        <w:rPr>
          <w:rFonts w:ascii="Arial" w:hAnsi="Arial" w:cs="Arial"/>
          <w:i/>
          <w:sz w:val="21"/>
          <w:szCs w:val="21"/>
        </w:rPr>
        <w:t>13</w:t>
      </w:r>
      <w:bookmarkStart w:id="0" w:name="_GoBack"/>
      <w:bookmarkEnd w:id="0"/>
      <w:r w:rsidR="003426AA" w:rsidRPr="001E1D9D">
        <w:rPr>
          <w:rFonts w:ascii="Arial" w:hAnsi="Arial" w:cs="Arial"/>
          <w:i/>
          <w:sz w:val="21"/>
          <w:szCs w:val="21"/>
        </w:rPr>
        <w:t xml:space="preserve">. </w:t>
      </w:r>
      <w:r w:rsidR="001F6C24" w:rsidRPr="001E1D9D">
        <w:rPr>
          <w:rFonts w:ascii="Arial" w:hAnsi="Arial" w:cs="Arial"/>
          <w:i/>
          <w:sz w:val="21"/>
          <w:szCs w:val="21"/>
        </w:rPr>
        <w:t>ledna</w:t>
      </w:r>
      <w:r w:rsidR="00B3476A" w:rsidRPr="001E1D9D">
        <w:rPr>
          <w:rFonts w:ascii="Arial" w:hAnsi="Arial" w:cs="Arial"/>
          <w:i/>
          <w:sz w:val="21"/>
          <w:szCs w:val="21"/>
        </w:rPr>
        <w:t xml:space="preserve"> </w:t>
      </w:r>
      <w:r w:rsidR="001F6C24" w:rsidRPr="001E1D9D">
        <w:rPr>
          <w:rFonts w:ascii="Arial" w:hAnsi="Arial" w:cs="Arial"/>
          <w:i/>
          <w:sz w:val="21"/>
          <w:szCs w:val="21"/>
        </w:rPr>
        <w:t>2023</w:t>
      </w:r>
      <w:r w:rsidR="00197879" w:rsidRPr="001E1D9D">
        <w:rPr>
          <w:rFonts w:ascii="Arial" w:hAnsi="Arial" w:cs="Arial"/>
          <w:i/>
          <w:sz w:val="21"/>
          <w:szCs w:val="21"/>
        </w:rPr>
        <w:t xml:space="preserve"> </w:t>
      </w:r>
      <w:r w:rsidR="00197879" w:rsidRPr="001E1D9D">
        <w:rPr>
          <w:rFonts w:ascii="Arial" w:hAnsi="Arial" w:cs="Arial"/>
          <w:b/>
          <w:sz w:val="21"/>
          <w:szCs w:val="21"/>
        </w:rPr>
        <w:t>–</w:t>
      </w:r>
      <w:r w:rsidR="00AB5142" w:rsidRPr="001E1D9D">
        <w:rPr>
          <w:rFonts w:ascii="Arial" w:hAnsi="Arial" w:cs="Arial"/>
          <w:b/>
          <w:sz w:val="21"/>
          <w:szCs w:val="21"/>
        </w:rPr>
        <w:t xml:space="preserve"> </w:t>
      </w:r>
      <w:r w:rsidR="001A4EE2" w:rsidRPr="001E1D9D">
        <w:rPr>
          <w:rFonts w:ascii="Arial" w:hAnsi="Arial" w:cs="Arial"/>
          <w:b/>
          <w:sz w:val="21"/>
          <w:szCs w:val="21"/>
        </w:rPr>
        <w:t>Podle vý</w:t>
      </w:r>
      <w:r w:rsidR="00E02ED1" w:rsidRPr="001E1D9D">
        <w:rPr>
          <w:rFonts w:ascii="Arial" w:hAnsi="Arial" w:cs="Arial"/>
          <w:b/>
          <w:sz w:val="21"/>
          <w:szCs w:val="21"/>
        </w:rPr>
        <w:t xml:space="preserve">sledků Broker </w:t>
      </w:r>
      <w:proofErr w:type="spellStart"/>
      <w:r w:rsidR="00E02ED1" w:rsidRPr="001E1D9D">
        <w:rPr>
          <w:rFonts w:ascii="Arial" w:hAnsi="Arial" w:cs="Arial"/>
          <w:b/>
          <w:sz w:val="21"/>
          <w:szCs w:val="21"/>
        </w:rPr>
        <w:t>Consulting</w:t>
      </w:r>
      <w:proofErr w:type="spellEnd"/>
      <w:r w:rsidR="00E02ED1" w:rsidRPr="001E1D9D">
        <w:rPr>
          <w:rFonts w:ascii="Arial" w:hAnsi="Arial" w:cs="Arial"/>
          <w:b/>
          <w:sz w:val="21"/>
          <w:szCs w:val="21"/>
        </w:rPr>
        <w:t xml:space="preserve"> Indexu klesla za prosinec hodnota u všech monitorovaných typů podílových fondů. </w:t>
      </w:r>
      <w:r w:rsidR="000E3086">
        <w:rPr>
          <w:rFonts w:ascii="Arial" w:hAnsi="Arial" w:cs="Arial"/>
          <w:b/>
          <w:sz w:val="21"/>
          <w:szCs w:val="21"/>
        </w:rPr>
        <w:t>Naměřené hodnoty se tak</w:t>
      </w:r>
      <w:r w:rsidR="0072115C">
        <w:rPr>
          <w:rFonts w:ascii="Arial" w:hAnsi="Arial" w:cs="Arial"/>
          <w:b/>
          <w:sz w:val="21"/>
          <w:szCs w:val="21"/>
        </w:rPr>
        <w:t xml:space="preserve"> po listopadovém růstu </w:t>
      </w:r>
      <w:r w:rsidR="000E3086">
        <w:rPr>
          <w:rFonts w:ascii="Arial" w:hAnsi="Arial" w:cs="Arial"/>
          <w:b/>
          <w:sz w:val="21"/>
          <w:szCs w:val="21"/>
        </w:rPr>
        <w:t>vrátily ke klesajícímu trendu, který na kapitálových trzích převládal po většinu roku.</w:t>
      </w:r>
      <w:r w:rsidR="00C82309">
        <w:rPr>
          <w:rFonts w:ascii="Arial" w:hAnsi="Arial" w:cs="Arial"/>
          <w:b/>
          <w:sz w:val="21"/>
          <w:szCs w:val="21"/>
        </w:rPr>
        <w:t xml:space="preserve"> Na p</w:t>
      </w:r>
      <w:r w:rsidR="000E3086">
        <w:rPr>
          <w:rFonts w:ascii="Arial" w:hAnsi="Arial" w:cs="Arial"/>
          <w:b/>
          <w:sz w:val="21"/>
          <w:szCs w:val="21"/>
        </w:rPr>
        <w:t xml:space="preserve">rosincové obchodování </w:t>
      </w:r>
      <w:r w:rsidR="001B530D">
        <w:rPr>
          <w:rFonts w:ascii="Arial" w:hAnsi="Arial" w:cs="Arial"/>
          <w:b/>
          <w:sz w:val="21"/>
          <w:szCs w:val="21"/>
        </w:rPr>
        <w:t>měly</w:t>
      </w:r>
      <w:r w:rsidR="000E3086">
        <w:rPr>
          <w:rFonts w:ascii="Arial" w:hAnsi="Arial" w:cs="Arial"/>
          <w:b/>
          <w:sz w:val="21"/>
          <w:szCs w:val="21"/>
        </w:rPr>
        <w:t xml:space="preserve"> </w:t>
      </w:r>
      <w:r w:rsidR="001B530D">
        <w:rPr>
          <w:rFonts w:ascii="Arial" w:hAnsi="Arial" w:cs="Arial"/>
          <w:b/>
          <w:sz w:val="21"/>
          <w:szCs w:val="21"/>
        </w:rPr>
        <w:t xml:space="preserve">vliv především přicházející </w:t>
      </w:r>
      <w:proofErr w:type="spellStart"/>
      <w:r w:rsidR="001B530D">
        <w:rPr>
          <w:rFonts w:ascii="Arial" w:hAnsi="Arial" w:cs="Arial"/>
          <w:b/>
          <w:sz w:val="21"/>
          <w:szCs w:val="21"/>
        </w:rPr>
        <w:t>m</w:t>
      </w:r>
      <w:r w:rsidR="008B37D1">
        <w:rPr>
          <w:rFonts w:ascii="Arial" w:hAnsi="Arial" w:cs="Arial"/>
          <w:b/>
          <w:sz w:val="21"/>
          <w:szCs w:val="21"/>
        </w:rPr>
        <w:t>akrodata</w:t>
      </w:r>
      <w:proofErr w:type="spellEnd"/>
      <w:r w:rsidR="008B37D1">
        <w:rPr>
          <w:rFonts w:ascii="Arial" w:hAnsi="Arial" w:cs="Arial"/>
          <w:b/>
          <w:sz w:val="21"/>
          <w:szCs w:val="21"/>
        </w:rPr>
        <w:t>, která</w:t>
      </w:r>
      <w:r w:rsidR="001B530D">
        <w:rPr>
          <w:rFonts w:ascii="Arial" w:hAnsi="Arial" w:cs="Arial"/>
          <w:b/>
          <w:sz w:val="21"/>
          <w:szCs w:val="21"/>
        </w:rPr>
        <w:t xml:space="preserve"> napříč trhy podpořila růst obav z recese. Podílové fondy vlivem toho skončily v posledním měsíci roku 2022 v červených číslech.</w:t>
      </w:r>
      <w:r w:rsidR="00694DBB">
        <w:rPr>
          <w:rFonts w:ascii="Arial" w:hAnsi="Arial" w:cs="Arial"/>
          <w:b/>
          <w:sz w:val="21"/>
          <w:szCs w:val="21"/>
        </w:rPr>
        <w:t xml:space="preserve"> Nejvíce </w:t>
      </w:r>
      <w:r w:rsidR="000E3086">
        <w:rPr>
          <w:rFonts w:ascii="Arial" w:hAnsi="Arial" w:cs="Arial"/>
          <w:b/>
          <w:sz w:val="21"/>
          <w:szCs w:val="21"/>
        </w:rPr>
        <w:t>ztratily komodity,</w:t>
      </w:r>
      <w:r w:rsidR="00ED10B9">
        <w:rPr>
          <w:rFonts w:ascii="Arial" w:hAnsi="Arial" w:cs="Arial"/>
          <w:b/>
          <w:sz w:val="21"/>
          <w:szCs w:val="21"/>
        </w:rPr>
        <w:br/>
      </w:r>
      <w:r w:rsidR="000E3086">
        <w:rPr>
          <w:rFonts w:ascii="Arial" w:hAnsi="Arial" w:cs="Arial"/>
          <w:b/>
          <w:sz w:val="21"/>
          <w:szCs w:val="21"/>
        </w:rPr>
        <w:t>s</w:t>
      </w:r>
      <w:r w:rsidR="0027305C">
        <w:rPr>
          <w:rFonts w:ascii="Arial" w:hAnsi="Arial" w:cs="Arial"/>
          <w:b/>
          <w:sz w:val="21"/>
          <w:szCs w:val="21"/>
        </w:rPr>
        <w:t xml:space="preserve"> </w:t>
      </w:r>
      <w:r w:rsidR="00694DBB">
        <w:rPr>
          <w:rFonts w:ascii="Arial" w:hAnsi="Arial" w:cs="Arial"/>
          <w:b/>
          <w:sz w:val="21"/>
          <w:szCs w:val="21"/>
        </w:rPr>
        <w:t xml:space="preserve">nízkou ztrátou vyšly </w:t>
      </w:r>
      <w:r w:rsidR="000E3086">
        <w:rPr>
          <w:rFonts w:ascii="Arial" w:hAnsi="Arial" w:cs="Arial"/>
          <w:b/>
          <w:sz w:val="21"/>
          <w:szCs w:val="21"/>
        </w:rPr>
        <w:t>i nemovitostí fondy</w:t>
      </w:r>
      <w:r w:rsidR="008B37D1">
        <w:rPr>
          <w:rFonts w:ascii="Arial" w:hAnsi="Arial" w:cs="Arial"/>
          <w:b/>
          <w:sz w:val="21"/>
          <w:szCs w:val="21"/>
        </w:rPr>
        <w:t>. Ty ale</w:t>
      </w:r>
      <w:r w:rsidR="00694DBB">
        <w:rPr>
          <w:rFonts w:ascii="Arial" w:hAnsi="Arial" w:cs="Arial"/>
          <w:b/>
          <w:sz w:val="21"/>
          <w:szCs w:val="21"/>
        </w:rPr>
        <w:t xml:space="preserve"> </w:t>
      </w:r>
      <w:r w:rsidR="008B37D1">
        <w:rPr>
          <w:rFonts w:ascii="Arial" w:hAnsi="Arial" w:cs="Arial"/>
          <w:b/>
          <w:sz w:val="21"/>
          <w:szCs w:val="21"/>
        </w:rPr>
        <w:t xml:space="preserve">i tak </w:t>
      </w:r>
      <w:r w:rsidR="00694DBB">
        <w:rPr>
          <w:rFonts w:ascii="Arial" w:hAnsi="Arial" w:cs="Arial"/>
          <w:b/>
          <w:sz w:val="21"/>
          <w:szCs w:val="21"/>
        </w:rPr>
        <w:t>vykázaly</w:t>
      </w:r>
      <w:r w:rsidR="008B37D1">
        <w:rPr>
          <w:rFonts w:ascii="Arial" w:hAnsi="Arial" w:cs="Arial"/>
          <w:b/>
          <w:sz w:val="21"/>
          <w:szCs w:val="21"/>
        </w:rPr>
        <w:t xml:space="preserve"> celoroční</w:t>
      </w:r>
      <w:r w:rsidR="00ED10B9">
        <w:rPr>
          <w:rFonts w:ascii="Arial" w:hAnsi="Arial" w:cs="Arial"/>
          <w:b/>
          <w:sz w:val="21"/>
          <w:szCs w:val="21"/>
        </w:rPr>
        <w:t xml:space="preserve"> </w:t>
      </w:r>
      <w:r w:rsidR="008B37D1">
        <w:rPr>
          <w:rFonts w:ascii="Arial" w:hAnsi="Arial" w:cs="Arial"/>
          <w:b/>
          <w:sz w:val="21"/>
          <w:szCs w:val="21"/>
        </w:rPr>
        <w:t>v</w:t>
      </w:r>
      <w:r w:rsidR="00694DBB">
        <w:rPr>
          <w:rFonts w:ascii="Arial" w:hAnsi="Arial" w:cs="Arial"/>
          <w:b/>
          <w:sz w:val="21"/>
          <w:szCs w:val="21"/>
        </w:rPr>
        <w:t>ysokou výkonnost</w:t>
      </w:r>
      <w:r w:rsidR="007D3E32">
        <w:rPr>
          <w:rFonts w:ascii="Arial" w:hAnsi="Arial" w:cs="Arial"/>
          <w:b/>
          <w:sz w:val="21"/>
          <w:szCs w:val="21"/>
        </w:rPr>
        <w:t>.</w:t>
      </w:r>
    </w:p>
    <w:p w14:paraId="4A9501E7" w14:textId="5B5A3014" w:rsidR="002A4750" w:rsidRPr="001E1D9D" w:rsidRDefault="002A4750" w:rsidP="000F0B3D">
      <w:pPr>
        <w:jc w:val="both"/>
        <w:rPr>
          <w:rFonts w:ascii="Arial" w:hAnsi="Arial" w:cs="Arial"/>
          <w:b/>
          <w:sz w:val="21"/>
          <w:szCs w:val="21"/>
        </w:rPr>
      </w:pPr>
    </w:p>
    <w:p w14:paraId="0BA411F2" w14:textId="3068471D" w:rsidR="0067176D" w:rsidRDefault="0011234F" w:rsidP="00A46073">
      <w:pPr>
        <w:jc w:val="both"/>
        <w:rPr>
          <w:rFonts w:ascii="Arial" w:hAnsi="Arial" w:cs="Arial"/>
          <w:sz w:val="21"/>
          <w:szCs w:val="21"/>
        </w:rPr>
      </w:pPr>
      <w:r w:rsidRPr="001E1D9D">
        <w:rPr>
          <w:rFonts w:ascii="Arial" w:hAnsi="Arial" w:cs="Arial"/>
          <w:sz w:val="21"/>
          <w:szCs w:val="21"/>
        </w:rPr>
        <w:t>„</w:t>
      </w:r>
      <w:r w:rsidRPr="001E1D9D">
        <w:rPr>
          <w:rFonts w:ascii="Arial" w:hAnsi="Arial" w:cs="Arial"/>
          <w:i/>
          <w:sz w:val="21"/>
          <w:szCs w:val="21"/>
        </w:rPr>
        <w:t>V prosinci jsme poprvé a naposledy během loňska evidovali pokles na všech trzích, které v rámci indexu monitorujeme. Na rozdíl od převážné většiny roku se do mírného poklesu dostaly nově i nemovitostní fondy</w:t>
      </w:r>
      <w:r w:rsidRPr="001E1D9D">
        <w:rPr>
          <w:rFonts w:ascii="Arial" w:hAnsi="Arial" w:cs="Arial"/>
          <w:sz w:val="21"/>
          <w:szCs w:val="21"/>
        </w:rPr>
        <w:t xml:space="preserve">,“ poznamenává k posledním výsledkům Broker </w:t>
      </w:r>
      <w:proofErr w:type="spellStart"/>
      <w:r w:rsidRPr="001E1D9D">
        <w:rPr>
          <w:rFonts w:ascii="Arial" w:hAnsi="Arial" w:cs="Arial"/>
          <w:sz w:val="21"/>
          <w:szCs w:val="21"/>
        </w:rPr>
        <w:t>Consulting</w:t>
      </w:r>
      <w:proofErr w:type="spellEnd"/>
      <w:r w:rsidRPr="001E1D9D">
        <w:rPr>
          <w:rFonts w:ascii="Arial" w:hAnsi="Arial" w:cs="Arial"/>
          <w:sz w:val="21"/>
          <w:szCs w:val="21"/>
        </w:rPr>
        <w:t xml:space="preserve"> Indexu podílových fondů </w:t>
      </w:r>
      <w:r w:rsidRPr="001E1D9D">
        <w:rPr>
          <w:rFonts w:ascii="Arial" w:hAnsi="Arial" w:cs="Arial"/>
          <w:b/>
          <w:sz w:val="21"/>
          <w:szCs w:val="21"/>
        </w:rPr>
        <w:t xml:space="preserve">Martin Novák, hlavní analytik společnosti Broker </w:t>
      </w:r>
      <w:proofErr w:type="spellStart"/>
      <w:r w:rsidRPr="001E1D9D">
        <w:rPr>
          <w:rFonts w:ascii="Arial" w:hAnsi="Arial" w:cs="Arial"/>
          <w:b/>
          <w:sz w:val="21"/>
          <w:szCs w:val="21"/>
        </w:rPr>
        <w:t>Consulting</w:t>
      </w:r>
      <w:proofErr w:type="spellEnd"/>
      <w:r w:rsidRPr="001E1D9D">
        <w:rPr>
          <w:rFonts w:ascii="Arial" w:hAnsi="Arial" w:cs="Arial"/>
          <w:b/>
          <w:sz w:val="21"/>
          <w:szCs w:val="21"/>
        </w:rPr>
        <w:t>.</w:t>
      </w:r>
      <w:r w:rsidRPr="001E1D9D">
        <w:rPr>
          <w:rFonts w:ascii="Arial" w:hAnsi="Arial" w:cs="Arial"/>
          <w:sz w:val="21"/>
          <w:szCs w:val="21"/>
        </w:rPr>
        <w:t xml:space="preserve"> Ten zároveň druhým dechem dodává, že </w:t>
      </w:r>
      <w:r w:rsidRPr="001E1D9D">
        <w:rPr>
          <w:rFonts w:ascii="Arial" w:hAnsi="Arial" w:cs="Arial"/>
          <w:i/>
          <w:sz w:val="21"/>
          <w:szCs w:val="21"/>
        </w:rPr>
        <w:t>„v druhé polovině prosince na trzích převládla</w:t>
      </w:r>
      <w:r w:rsidR="00692F5F">
        <w:rPr>
          <w:rFonts w:ascii="Arial" w:hAnsi="Arial" w:cs="Arial"/>
          <w:i/>
          <w:sz w:val="21"/>
          <w:szCs w:val="21"/>
        </w:rPr>
        <w:t xml:space="preserve"> tradičně nízká aktivita</w:t>
      </w:r>
      <w:r w:rsidR="00D41DF2" w:rsidRPr="001E1D9D">
        <w:rPr>
          <w:rFonts w:ascii="Arial" w:hAnsi="Arial" w:cs="Arial"/>
          <w:i/>
          <w:sz w:val="21"/>
          <w:szCs w:val="21"/>
        </w:rPr>
        <w:t xml:space="preserve">, kterou </w:t>
      </w:r>
      <w:r w:rsidRPr="001E1D9D">
        <w:rPr>
          <w:rFonts w:ascii="Arial" w:hAnsi="Arial" w:cs="Arial"/>
          <w:i/>
          <w:sz w:val="21"/>
          <w:szCs w:val="21"/>
        </w:rPr>
        <w:t>způsobily vánoční svátky. U</w:t>
      </w:r>
      <w:r w:rsidR="00D41DF2" w:rsidRPr="001E1D9D">
        <w:rPr>
          <w:rFonts w:ascii="Arial" w:hAnsi="Arial" w:cs="Arial"/>
          <w:i/>
          <w:sz w:val="21"/>
          <w:szCs w:val="21"/>
        </w:rPr>
        <w:t xml:space="preserve"> v</w:t>
      </w:r>
      <w:r w:rsidR="00F24AA5">
        <w:rPr>
          <w:rFonts w:ascii="Arial" w:hAnsi="Arial" w:cs="Arial"/>
          <w:i/>
          <w:sz w:val="21"/>
          <w:szCs w:val="21"/>
        </w:rPr>
        <w:t xml:space="preserve">ětšiny aktiv </w:t>
      </w:r>
      <w:r w:rsidRPr="001E1D9D">
        <w:rPr>
          <w:rFonts w:ascii="Arial" w:hAnsi="Arial" w:cs="Arial"/>
          <w:i/>
          <w:sz w:val="21"/>
          <w:szCs w:val="21"/>
        </w:rPr>
        <w:t xml:space="preserve">tak </w:t>
      </w:r>
      <w:r w:rsidR="00F24AA5">
        <w:rPr>
          <w:rFonts w:ascii="Arial" w:hAnsi="Arial" w:cs="Arial"/>
          <w:i/>
          <w:sz w:val="21"/>
          <w:szCs w:val="21"/>
        </w:rPr>
        <w:t>bylo možné pozorovat</w:t>
      </w:r>
      <w:r w:rsidR="00D41DF2" w:rsidRPr="001E1D9D">
        <w:rPr>
          <w:rFonts w:ascii="Arial" w:hAnsi="Arial" w:cs="Arial"/>
          <w:i/>
          <w:sz w:val="21"/>
          <w:szCs w:val="21"/>
        </w:rPr>
        <w:t xml:space="preserve"> pouze </w:t>
      </w:r>
      <w:r w:rsidR="00657EE5" w:rsidRPr="001E1D9D">
        <w:rPr>
          <w:rFonts w:ascii="Arial" w:hAnsi="Arial" w:cs="Arial"/>
          <w:i/>
          <w:sz w:val="21"/>
          <w:szCs w:val="21"/>
        </w:rPr>
        <w:t>mírnou odchylku</w:t>
      </w:r>
      <w:r w:rsidRPr="001E1D9D">
        <w:rPr>
          <w:rFonts w:ascii="Arial" w:hAnsi="Arial" w:cs="Arial"/>
          <w:i/>
          <w:sz w:val="21"/>
          <w:szCs w:val="21"/>
        </w:rPr>
        <w:t>, bez větší volatility</w:t>
      </w:r>
      <w:r w:rsidRPr="001E1D9D">
        <w:rPr>
          <w:rFonts w:ascii="Arial" w:hAnsi="Arial" w:cs="Arial"/>
          <w:sz w:val="21"/>
          <w:szCs w:val="21"/>
        </w:rPr>
        <w:t>.“</w:t>
      </w:r>
    </w:p>
    <w:p w14:paraId="271BE8E3" w14:textId="133C1C9E" w:rsidR="001D03BA" w:rsidRDefault="008807C3" w:rsidP="00A46073">
      <w:pPr>
        <w:jc w:val="both"/>
        <w:rPr>
          <w:rFonts w:ascii="Arial" w:hAnsi="Arial" w:cs="Arial"/>
          <w:sz w:val="21"/>
          <w:szCs w:val="21"/>
        </w:rPr>
      </w:pPr>
      <w:r w:rsidRPr="0042653C">
        <w:rPr>
          <w:rFonts w:ascii="Arial" w:hAnsi="Arial" w:cs="Arial"/>
          <w:sz w:val="21"/>
          <w:szCs w:val="21"/>
        </w:rPr>
        <w:t xml:space="preserve"> </w:t>
      </w:r>
    </w:p>
    <w:p w14:paraId="042294F9" w14:textId="16F19D33" w:rsidR="00ED0273" w:rsidRDefault="00ED0273" w:rsidP="00A4607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 výsledků posledního loňského měření vyplynulo, že největší ztráty tentokrát zaznamenaly komoditní fondy. Jejich výnosy byly ovlivněny zejména velkou korekcí u zemního plynu, </w:t>
      </w:r>
      <w:r w:rsidR="009C08B7">
        <w:rPr>
          <w:rFonts w:ascii="Arial" w:hAnsi="Arial" w:cs="Arial"/>
          <w:sz w:val="21"/>
          <w:szCs w:val="21"/>
        </w:rPr>
        <w:t xml:space="preserve">jehož </w:t>
      </w:r>
      <w:r>
        <w:rPr>
          <w:rFonts w:ascii="Arial" w:hAnsi="Arial" w:cs="Arial"/>
          <w:sz w:val="21"/>
          <w:szCs w:val="21"/>
        </w:rPr>
        <w:t>astronomicky vysoké ceny poklesly v prosi</w:t>
      </w:r>
      <w:r w:rsidR="009C08B7">
        <w:rPr>
          <w:rFonts w:ascii="Arial" w:hAnsi="Arial" w:cs="Arial"/>
          <w:sz w:val="21"/>
          <w:szCs w:val="21"/>
        </w:rPr>
        <w:t>nci o 35 procent a vrátily se tak</w:t>
      </w:r>
      <w:r>
        <w:rPr>
          <w:rFonts w:ascii="Arial" w:hAnsi="Arial" w:cs="Arial"/>
          <w:sz w:val="21"/>
          <w:szCs w:val="21"/>
        </w:rPr>
        <w:t xml:space="preserve"> k</w:t>
      </w:r>
      <w:r w:rsidR="00BA6317">
        <w:rPr>
          <w:rFonts w:ascii="Arial" w:hAnsi="Arial" w:cs="Arial"/>
          <w:sz w:val="21"/>
          <w:szCs w:val="21"/>
        </w:rPr>
        <w:t> </w:t>
      </w:r>
      <w:r w:rsidR="00276593">
        <w:rPr>
          <w:rFonts w:ascii="Arial" w:hAnsi="Arial" w:cs="Arial"/>
          <w:sz w:val="21"/>
          <w:szCs w:val="21"/>
        </w:rPr>
        <w:t>cenám běžným</w:t>
      </w:r>
      <w:r>
        <w:rPr>
          <w:rFonts w:ascii="Arial" w:hAnsi="Arial" w:cs="Arial"/>
          <w:sz w:val="21"/>
          <w:szCs w:val="21"/>
        </w:rPr>
        <w:t xml:space="preserve"> před válkou na Ukrajině. </w:t>
      </w:r>
      <w:r w:rsidR="009C08B7">
        <w:rPr>
          <w:rFonts w:ascii="Arial" w:hAnsi="Arial" w:cs="Arial"/>
          <w:sz w:val="21"/>
          <w:szCs w:val="21"/>
        </w:rPr>
        <w:t>Celkový pokles komodit se odehrál i kvůli</w:t>
      </w:r>
      <w:r w:rsidR="00224E8A">
        <w:rPr>
          <w:rFonts w:ascii="Arial" w:hAnsi="Arial" w:cs="Arial"/>
          <w:sz w:val="21"/>
          <w:szCs w:val="21"/>
        </w:rPr>
        <w:t xml:space="preserve"> snížení ceny ropy, které </w:t>
      </w:r>
      <w:r w:rsidR="00276593">
        <w:rPr>
          <w:rFonts w:ascii="Arial" w:hAnsi="Arial" w:cs="Arial"/>
          <w:sz w:val="21"/>
          <w:szCs w:val="21"/>
        </w:rPr>
        <w:t>se promítlo</w:t>
      </w:r>
      <w:r w:rsidR="00224E8A">
        <w:rPr>
          <w:rFonts w:ascii="Arial" w:hAnsi="Arial" w:cs="Arial"/>
          <w:sz w:val="21"/>
          <w:szCs w:val="21"/>
        </w:rPr>
        <w:t xml:space="preserve"> i</w:t>
      </w:r>
      <w:r w:rsidR="00550064">
        <w:rPr>
          <w:rFonts w:ascii="Arial" w:hAnsi="Arial" w:cs="Arial"/>
          <w:sz w:val="21"/>
          <w:szCs w:val="21"/>
        </w:rPr>
        <w:t xml:space="preserve"> do maloobchodních cen</w:t>
      </w:r>
      <w:r w:rsidR="00276593">
        <w:rPr>
          <w:rFonts w:ascii="Arial" w:hAnsi="Arial" w:cs="Arial"/>
          <w:sz w:val="21"/>
          <w:szCs w:val="21"/>
        </w:rPr>
        <w:t xml:space="preserve"> nafty a benzínu na čerpacích stanicích.</w:t>
      </w:r>
      <w:r w:rsidR="00BC79B3">
        <w:rPr>
          <w:rFonts w:ascii="Arial" w:hAnsi="Arial" w:cs="Arial"/>
          <w:sz w:val="21"/>
          <w:szCs w:val="21"/>
        </w:rPr>
        <w:t xml:space="preserve"> Naopak zlato a stříbro na tržní </w:t>
      </w:r>
      <w:r w:rsidR="00DF1FFF">
        <w:rPr>
          <w:rFonts w:ascii="Arial" w:hAnsi="Arial" w:cs="Arial"/>
          <w:sz w:val="21"/>
          <w:szCs w:val="21"/>
        </w:rPr>
        <w:t>ceně koncem roku posilovalo</w:t>
      </w:r>
      <w:r w:rsidR="000C45C7">
        <w:rPr>
          <w:rFonts w:ascii="Arial" w:hAnsi="Arial" w:cs="Arial"/>
          <w:sz w:val="21"/>
          <w:szCs w:val="21"/>
        </w:rPr>
        <w:t>.</w:t>
      </w:r>
      <w:r w:rsidR="00550064">
        <w:rPr>
          <w:rFonts w:ascii="Arial" w:hAnsi="Arial" w:cs="Arial"/>
          <w:sz w:val="21"/>
          <w:szCs w:val="21"/>
        </w:rPr>
        <w:t xml:space="preserve"> Celoročně pak komoditní fondy jako jedny ze dvou vyšly s malým ziskem, a to 1,97 procent. </w:t>
      </w:r>
    </w:p>
    <w:p w14:paraId="071DC4BC" w14:textId="1C11041D" w:rsidR="00BA6317" w:rsidRDefault="00BA6317" w:rsidP="00A46073">
      <w:pPr>
        <w:jc w:val="both"/>
        <w:rPr>
          <w:rFonts w:ascii="Arial" w:hAnsi="Arial" w:cs="Arial"/>
          <w:sz w:val="21"/>
          <w:szCs w:val="21"/>
        </w:rPr>
      </w:pPr>
    </w:p>
    <w:p w14:paraId="035C29BC" w14:textId="57A0D336" w:rsidR="00BA6317" w:rsidRDefault="001809F6" w:rsidP="00A4607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O něco málo menší pokles registruje index u akciových fondů, </w:t>
      </w:r>
      <w:r w:rsidR="00860290">
        <w:rPr>
          <w:rFonts w:ascii="Arial" w:hAnsi="Arial" w:cs="Arial"/>
          <w:sz w:val="21"/>
          <w:szCs w:val="21"/>
        </w:rPr>
        <w:t xml:space="preserve">ty se ale v porovnání s listopadem propadly o více než dvanáct procent. </w:t>
      </w:r>
      <w:r w:rsidR="00D43451">
        <w:rPr>
          <w:rFonts w:ascii="Arial" w:hAnsi="Arial" w:cs="Arial"/>
          <w:sz w:val="21"/>
          <w:szCs w:val="21"/>
        </w:rPr>
        <w:t>V prosinci ztrácely nejvíce</w:t>
      </w:r>
      <w:r w:rsidR="008C5A69">
        <w:rPr>
          <w:rFonts w:ascii="Arial" w:hAnsi="Arial" w:cs="Arial"/>
          <w:sz w:val="21"/>
          <w:szCs w:val="21"/>
        </w:rPr>
        <w:t xml:space="preserve"> americké akcie, mírná korekce byla </w:t>
      </w:r>
      <w:r w:rsidR="00D43451">
        <w:rPr>
          <w:rFonts w:ascii="Arial" w:hAnsi="Arial" w:cs="Arial"/>
          <w:sz w:val="21"/>
          <w:szCs w:val="21"/>
        </w:rPr>
        <w:t xml:space="preserve">ale kvůli obavám z recese </w:t>
      </w:r>
      <w:r w:rsidR="008C5A69">
        <w:rPr>
          <w:rFonts w:ascii="Arial" w:hAnsi="Arial" w:cs="Arial"/>
          <w:sz w:val="21"/>
          <w:szCs w:val="21"/>
        </w:rPr>
        <w:t xml:space="preserve">patrná i na evropském trhu. </w:t>
      </w:r>
      <w:r w:rsidR="00D43451">
        <w:rPr>
          <w:rFonts w:ascii="Arial" w:hAnsi="Arial" w:cs="Arial"/>
          <w:sz w:val="21"/>
          <w:szCs w:val="21"/>
        </w:rPr>
        <w:t xml:space="preserve">Rozvojové trhy oproti tomu </w:t>
      </w:r>
      <w:r w:rsidR="00796334">
        <w:rPr>
          <w:rFonts w:ascii="Arial" w:hAnsi="Arial" w:cs="Arial"/>
          <w:sz w:val="21"/>
          <w:szCs w:val="21"/>
        </w:rPr>
        <w:t xml:space="preserve">naopak vykázaly </w:t>
      </w:r>
      <w:r w:rsidR="00D43451">
        <w:rPr>
          <w:rFonts w:ascii="Arial" w:hAnsi="Arial" w:cs="Arial"/>
          <w:sz w:val="21"/>
          <w:szCs w:val="21"/>
        </w:rPr>
        <w:t>mírný růst.</w:t>
      </w:r>
    </w:p>
    <w:p w14:paraId="57C930DD" w14:textId="03735723" w:rsidR="00BA6317" w:rsidRDefault="00BA6317" w:rsidP="00A46073">
      <w:pPr>
        <w:jc w:val="both"/>
        <w:rPr>
          <w:rFonts w:ascii="Arial" w:hAnsi="Arial" w:cs="Arial"/>
          <w:sz w:val="21"/>
          <w:szCs w:val="21"/>
        </w:rPr>
      </w:pPr>
    </w:p>
    <w:p w14:paraId="1B9A2B9B" w14:textId="688E274C" w:rsidR="00B65FF3" w:rsidRPr="00B65FF3" w:rsidRDefault="0036040B" w:rsidP="00A4607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 několik procent klesly také dluhopisové fondy</w:t>
      </w:r>
      <w:r w:rsidR="004628B4">
        <w:rPr>
          <w:rFonts w:ascii="Arial" w:hAnsi="Arial" w:cs="Arial"/>
          <w:sz w:val="21"/>
          <w:szCs w:val="21"/>
        </w:rPr>
        <w:t xml:space="preserve"> a fondy peněžního trhu</w:t>
      </w:r>
      <w:r>
        <w:rPr>
          <w:rFonts w:ascii="Arial" w:hAnsi="Arial" w:cs="Arial"/>
          <w:sz w:val="21"/>
          <w:szCs w:val="21"/>
        </w:rPr>
        <w:t>,</w:t>
      </w:r>
      <w:r w:rsidR="004628B4">
        <w:rPr>
          <w:rFonts w:ascii="Arial" w:hAnsi="Arial" w:cs="Arial"/>
          <w:sz w:val="21"/>
          <w:szCs w:val="21"/>
        </w:rPr>
        <w:t xml:space="preserve"> jež</w:t>
      </w:r>
      <w:r w:rsidR="00903105">
        <w:rPr>
          <w:rFonts w:ascii="Arial" w:hAnsi="Arial" w:cs="Arial"/>
          <w:sz w:val="21"/>
          <w:szCs w:val="21"/>
        </w:rPr>
        <w:t xml:space="preserve"> byly</w:t>
      </w:r>
      <w:r w:rsidR="004628B4">
        <w:rPr>
          <w:rFonts w:ascii="Arial" w:hAnsi="Arial" w:cs="Arial"/>
          <w:sz w:val="21"/>
          <w:szCs w:val="21"/>
        </w:rPr>
        <w:t xml:space="preserve"> ovlivňovány</w:t>
      </w:r>
      <w:r>
        <w:rPr>
          <w:rFonts w:ascii="Arial" w:hAnsi="Arial" w:cs="Arial"/>
          <w:sz w:val="21"/>
          <w:szCs w:val="21"/>
        </w:rPr>
        <w:t xml:space="preserve"> </w:t>
      </w:r>
      <w:r w:rsidR="004628B4">
        <w:rPr>
          <w:rFonts w:ascii="Arial" w:hAnsi="Arial" w:cs="Arial"/>
          <w:sz w:val="21"/>
          <w:szCs w:val="21"/>
        </w:rPr>
        <w:t>zvýšenými úrokovými sazbami</w:t>
      </w:r>
      <w:r>
        <w:rPr>
          <w:rFonts w:ascii="Arial" w:hAnsi="Arial" w:cs="Arial"/>
          <w:sz w:val="21"/>
          <w:szCs w:val="21"/>
        </w:rPr>
        <w:t>.</w:t>
      </w:r>
      <w:r w:rsidR="00B65FF3">
        <w:rPr>
          <w:rFonts w:ascii="Arial" w:hAnsi="Arial" w:cs="Arial"/>
          <w:sz w:val="21"/>
          <w:szCs w:val="21"/>
        </w:rPr>
        <w:t xml:space="preserve"> </w:t>
      </w:r>
      <w:r w:rsidR="00B65FF3" w:rsidRPr="00B65FF3">
        <w:rPr>
          <w:rFonts w:ascii="Arial" w:hAnsi="Arial" w:cs="Arial"/>
          <w:sz w:val="21"/>
          <w:szCs w:val="21"/>
        </w:rPr>
        <w:t>„</w:t>
      </w:r>
      <w:r w:rsidR="00B65FF3" w:rsidRPr="00E854FA">
        <w:rPr>
          <w:rFonts w:ascii="Arial" w:hAnsi="Arial" w:cs="Arial"/>
          <w:i/>
          <w:sz w:val="21"/>
          <w:szCs w:val="21"/>
        </w:rPr>
        <w:t>V České republice se sice úrokové sazby ustálily na 7 procentech, což</w:t>
      </w:r>
      <w:r w:rsidR="004628B4">
        <w:rPr>
          <w:rFonts w:ascii="Arial" w:hAnsi="Arial" w:cs="Arial"/>
          <w:i/>
          <w:sz w:val="21"/>
          <w:szCs w:val="21"/>
        </w:rPr>
        <w:t xml:space="preserve"> obecně</w:t>
      </w:r>
      <w:r w:rsidR="00B65FF3" w:rsidRPr="00E854FA">
        <w:rPr>
          <w:rFonts w:ascii="Arial" w:hAnsi="Arial" w:cs="Arial"/>
          <w:i/>
          <w:sz w:val="21"/>
          <w:szCs w:val="21"/>
        </w:rPr>
        <w:t xml:space="preserve"> zmírnilo napětí na trhu, v zahraničí ale centrální banky nadále pomalu zvyšují úrokové sazby. Činí tak zejména kvůli snížení inflačních tlaků</w:t>
      </w:r>
      <w:r w:rsidR="00E854FA" w:rsidRPr="00E854FA">
        <w:rPr>
          <w:rFonts w:ascii="Arial" w:hAnsi="Arial" w:cs="Arial"/>
          <w:i/>
          <w:sz w:val="21"/>
          <w:szCs w:val="21"/>
        </w:rPr>
        <w:t xml:space="preserve"> na ekonomiku. V kontextu toho předpokládáme, že</w:t>
      </w:r>
      <w:r w:rsidR="00B65FF3" w:rsidRPr="00E854FA">
        <w:rPr>
          <w:rFonts w:ascii="Arial" w:hAnsi="Arial" w:cs="Arial"/>
          <w:i/>
          <w:sz w:val="21"/>
          <w:szCs w:val="21"/>
        </w:rPr>
        <w:t xml:space="preserve"> </w:t>
      </w:r>
      <w:r w:rsidR="00E854FA" w:rsidRPr="00E854FA">
        <w:rPr>
          <w:rFonts w:ascii="Arial" w:hAnsi="Arial" w:cs="Arial"/>
          <w:i/>
          <w:sz w:val="21"/>
          <w:szCs w:val="21"/>
        </w:rPr>
        <w:t xml:space="preserve">bude i </w:t>
      </w:r>
      <w:r w:rsidR="00B65FF3" w:rsidRPr="00E854FA">
        <w:rPr>
          <w:rFonts w:ascii="Arial" w:hAnsi="Arial" w:cs="Arial"/>
          <w:i/>
          <w:sz w:val="21"/>
          <w:szCs w:val="21"/>
        </w:rPr>
        <w:t xml:space="preserve">v příštích měsících </w:t>
      </w:r>
      <w:r w:rsidR="00E854FA" w:rsidRPr="00E854FA">
        <w:rPr>
          <w:rFonts w:ascii="Arial" w:hAnsi="Arial" w:cs="Arial"/>
          <w:i/>
          <w:sz w:val="21"/>
          <w:szCs w:val="21"/>
        </w:rPr>
        <w:t>klesat tržní cena</w:t>
      </w:r>
      <w:r w:rsidR="00903105">
        <w:rPr>
          <w:rFonts w:ascii="Arial" w:hAnsi="Arial" w:cs="Arial"/>
          <w:i/>
          <w:sz w:val="21"/>
          <w:szCs w:val="21"/>
        </w:rPr>
        <w:t xml:space="preserve"> zahraničních dluhopisů a to</w:t>
      </w:r>
      <w:r w:rsidR="00B65FF3" w:rsidRPr="00E854FA">
        <w:rPr>
          <w:rFonts w:ascii="Arial" w:hAnsi="Arial" w:cs="Arial"/>
          <w:i/>
          <w:sz w:val="21"/>
          <w:szCs w:val="21"/>
        </w:rPr>
        <w:t xml:space="preserve"> i přes to, že se domácí trh postupně zotavuje</w:t>
      </w:r>
      <w:r w:rsidR="00E854FA">
        <w:rPr>
          <w:rFonts w:ascii="Arial" w:hAnsi="Arial" w:cs="Arial"/>
          <w:sz w:val="21"/>
          <w:szCs w:val="21"/>
        </w:rPr>
        <w:t xml:space="preserve">,“ dodává </w:t>
      </w:r>
      <w:r w:rsidR="00E854FA" w:rsidRPr="00E854FA">
        <w:rPr>
          <w:rFonts w:ascii="Arial" w:hAnsi="Arial" w:cs="Arial"/>
          <w:b/>
          <w:sz w:val="21"/>
          <w:szCs w:val="21"/>
        </w:rPr>
        <w:t>Novák</w:t>
      </w:r>
      <w:r w:rsidR="00E854FA">
        <w:rPr>
          <w:rFonts w:ascii="Arial" w:hAnsi="Arial" w:cs="Arial"/>
          <w:sz w:val="21"/>
          <w:szCs w:val="21"/>
        </w:rPr>
        <w:t xml:space="preserve">. </w:t>
      </w:r>
    </w:p>
    <w:p w14:paraId="356325BD" w14:textId="37AB82E7" w:rsidR="00BA6317" w:rsidRDefault="00BA6317" w:rsidP="00A46073">
      <w:pPr>
        <w:jc w:val="both"/>
        <w:rPr>
          <w:rFonts w:ascii="Arial" w:hAnsi="Arial" w:cs="Arial"/>
          <w:sz w:val="21"/>
          <w:szCs w:val="21"/>
        </w:rPr>
      </w:pPr>
    </w:p>
    <w:p w14:paraId="29186C8E" w14:textId="3CE3DFF0" w:rsidR="006F07E3" w:rsidRDefault="00CA6C68" w:rsidP="00A46073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Překvapivý vývoj zaznamenal index u nemovitost</w:t>
      </w:r>
      <w:r w:rsidR="006F07E3">
        <w:rPr>
          <w:rFonts w:ascii="Arial" w:hAnsi="Arial" w:cs="Arial"/>
          <w:sz w:val="21"/>
          <w:szCs w:val="21"/>
        </w:rPr>
        <w:t>n</w:t>
      </w:r>
      <w:r w:rsidR="001A0318">
        <w:rPr>
          <w:rFonts w:ascii="Arial" w:hAnsi="Arial" w:cs="Arial"/>
          <w:sz w:val="21"/>
          <w:szCs w:val="21"/>
        </w:rPr>
        <w:t xml:space="preserve">ích fondů. </w:t>
      </w:r>
      <w:r w:rsidR="003071C4">
        <w:rPr>
          <w:rFonts w:ascii="Arial" w:hAnsi="Arial" w:cs="Arial"/>
          <w:sz w:val="21"/>
          <w:szCs w:val="21"/>
        </w:rPr>
        <w:t>U těch</w:t>
      </w:r>
      <w:r>
        <w:rPr>
          <w:rFonts w:ascii="Arial" w:hAnsi="Arial" w:cs="Arial"/>
          <w:sz w:val="21"/>
          <w:szCs w:val="21"/>
        </w:rPr>
        <w:t>, ačkoli se držely v průběhu celého roku</w:t>
      </w:r>
      <w:r w:rsidR="003071C4">
        <w:rPr>
          <w:rFonts w:ascii="Arial" w:hAnsi="Arial" w:cs="Arial"/>
          <w:sz w:val="21"/>
          <w:szCs w:val="21"/>
        </w:rPr>
        <w:t xml:space="preserve"> v zelených číslech, klesla</w:t>
      </w:r>
      <w:r w:rsidR="006F07E3">
        <w:rPr>
          <w:rFonts w:ascii="Arial" w:hAnsi="Arial" w:cs="Arial"/>
          <w:sz w:val="21"/>
          <w:szCs w:val="21"/>
        </w:rPr>
        <w:t xml:space="preserve"> </w:t>
      </w:r>
      <w:r w:rsidR="001A0318">
        <w:rPr>
          <w:rFonts w:ascii="Arial" w:hAnsi="Arial" w:cs="Arial"/>
          <w:sz w:val="21"/>
          <w:szCs w:val="21"/>
        </w:rPr>
        <w:t>tržní hodnota o</w:t>
      </w:r>
      <w:r w:rsidR="006F07E3">
        <w:rPr>
          <w:rFonts w:ascii="Arial" w:hAnsi="Arial" w:cs="Arial"/>
          <w:sz w:val="21"/>
          <w:szCs w:val="21"/>
        </w:rPr>
        <w:t xml:space="preserve"> téměř půl procenta. </w:t>
      </w:r>
      <w:r w:rsidR="006121A8">
        <w:rPr>
          <w:rFonts w:ascii="Arial" w:hAnsi="Arial" w:cs="Arial"/>
          <w:sz w:val="21"/>
          <w:szCs w:val="21"/>
        </w:rPr>
        <w:t xml:space="preserve">Na rozdíl od akcií nebo dluhopisů ale roční výsledky </w:t>
      </w:r>
      <w:r w:rsidR="006F07E3">
        <w:rPr>
          <w:rFonts w:ascii="Arial" w:hAnsi="Arial" w:cs="Arial"/>
          <w:sz w:val="21"/>
          <w:szCs w:val="21"/>
        </w:rPr>
        <w:t>u nemovitostí potvrdily celkově vysokou výkonnost</w:t>
      </w:r>
      <w:r w:rsidR="006121A8">
        <w:rPr>
          <w:rFonts w:ascii="Arial" w:hAnsi="Arial" w:cs="Arial"/>
          <w:sz w:val="21"/>
          <w:szCs w:val="21"/>
        </w:rPr>
        <w:t>,</w:t>
      </w:r>
      <w:r w:rsidR="006F07E3">
        <w:rPr>
          <w:rFonts w:ascii="Arial" w:hAnsi="Arial" w:cs="Arial"/>
          <w:sz w:val="21"/>
          <w:szCs w:val="21"/>
        </w:rPr>
        <w:t xml:space="preserve"> </w:t>
      </w:r>
      <w:r w:rsidR="000C45C7">
        <w:rPr>
          <w:rFonts w:ascii="Arial" w:hAnsi="Arial" w:cs="Arial"/>
          <w:sz w:val="21"/>
          <w:szCs w:val="21"/>
        </w:rPr>
        <w:t>předchozí rok totiž t</w:t>
      </w:r>
      <w:r w:rsidR="006121A8">
        <w:rPr>
          <w:rFonts w:ascii="Arial" w:hAnsi="Arial" w:cs="Arial"/>
          <w:sz w:val="21"/>
          <w:szCs w:val="21"/>
        </w:rPr>
        <w:t xml:space="preserve">yto fondy </w:t>
      </w:r>
      <w:r w:rsidR="006F07E3">
        <w:rPr>
          <w:rFonts w:ascii="Arial" w:hAnsi="Arial" w:cs="Arial"/>
          <w:sz w:val="21"/>
          <w:szCs w:val="21"/>
        </w:rPr>
        <w:t>zakončily</w:t>
      </w:r>
      <w:r w:rsidR="006121A8">
        <w:rPr>
          <w:rFonts w:ascii="Arial" w:hAnsi="Arial" w:cs="Arial"/>
          <w:sz w:val="21"/>
          <w:szCs w:val="21"/>
        </w:rPr>
        <w:t xml:space="preserve"> </w:t>
      </w:r>
      <w:r w:rsidR="00563745">
        <w:rPr>
          <w:rFonts w:ascii="Arial" w:hAnsi="Arial" w:cs="Arial"/>
          <w:sz w:val="21"/>
          <w:szCs w:val="21"/>
        </w:rPr>
        <w:t xml:space="preserve">nejen v plusu, ale </w:t>
      </w:r>
      <w:r w:rsidR="006F07E3">
        <w:rPr>
          <w:rFonts w:ascii="Arial" w:hAnsi="Arial" w:cs="Arial"/>
          <w:sz w:val="21"/>
          <w:szCs w:val="21"/>
        </w:rPr>
        <w:t>s</w:t>
      </w:r>
      <w:r w:rsidR="00866600">
        <w:rPr>
          <w:rFonts w:ascii="Arial" w:hAnsi="Arial" w:cs="Arial"/>
          <w:sz w:val="21"/>
          <w:szCs w:val="21"/>
        </w:rPr>
        <w:t xml:space="preserve"> průměrnou</w:t>
      </w:r>
      <w:r w:rsidR="006F07E3">
        <w:rPr>
          <w:rFonts w:ascii="Arial" w:hAnsi="Arial" w:cs="Arial"/>
          <w:sz w:val="21"/>
          <w:szCs w:val="21"/>
        </w:rPr>
        <w:t> hod</w:t>
      </w:r>
      <w:r w:rsidR="008C4A0A">
        <w:rPr>
          <w:rFonts w:ascii="Arial" w:hAnsi="Arial" w:cs="Arial"/>
          <w:sz w:val="21"/>
          <w:szCs w:val="21"/>
        </w:rPr>
        <w:t>notou zlehka</w:t>
      </w:r>
      <w:r w:rsidR="006F07E3">
        <w:rPr>
          <w:rFonts w:ascii="Arial" w:hAnsi="Arial" w:cs="Arial"/>
          <w:sz w:val="21"/>
          <w:szCs w:val="21"/>
        </w:rPr>
        <w:t xml:space="preserve"> nad sedmi procenty.</w:t>
      </w:r>
    </w:p>
    <w:p w14:paraId="66D655D4" w14:textId="77777777" w:rsidR="006F07E3" w:rsidRDefault="006F07E3" w:rsidP="00A46073">
      <w:pPr>
        <w:jc w:val="both"/>
        <w:rPr>
          <w:rFonts w:ascii="Arial" w:hAnsi="Arial" w:cs="Arial"/>
          <w:sz w:val="21"/>
          <w:szCs w:val="21"/>
        </w:rPr>
      </w:pPr>
    </w:p>
    <w:p w14:paraId="658D74FB" w14:textId="41A36896" w:rsidR="00F50E79" w:rsidRDefault="00F50E79" w:rsidP="000C5411">
      <w:pPr>
        <w:jc w:val="both"/>
        <w:rPr>
          <w:rFonts w:ascii="Arial" w:hAnsi="Arial" w:cs="Arial"/>
          <w:sz w:val="20"/>
          <w:szCs w:val="20"/>
        </w:rPr>
      </w:pPr>
    </w:p>
    <w:p w14:paraId="32243568" w14:textId="6647CA44" w:rsidR="000C5411" w:rsidRDefault="00D47CC8" w:rsidP="006061BD">
      <w:pPr>
        <w:jc w:val="center"/>
        <w:rPr>
          <w:rFonts w:ascii="Arial" w:hAnsi="Arial" w:cs="Arial"/>
          <w:sz w:val="20"/>
          <w:szCs w:val="20"/>
        </w:rPr>
      </w:pPr>
      <w:r w:rsidRPr="00D47CC8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 wp14:anchorId="5AF15217" wp14:editId="762BD0DA">
            <wp:extent cx="6610350" cy="1587500"/>
            <wp:effectExtent l="19050" t="19050" r="19050" b="12700"/>
            <wp:docPr id="1" name="Obrázek 1" descr="C:\Users\msahulova\Desktop\INVESTIČNÍ INDEX\Graf BC Index podílových fondů - prosinec 2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ahulova\Desktop\INVESTIČNÍ INDEX\Graf BC Index podílových fondů - prosinec 20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587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82581" w14:textId="1CB4365E" w:rsidR="001A5E5C" w:rsidRDefault="001A5E5C" w:rsidP="003D733D">
      <w:pPr>
        <w:rPr>
          <w:rFonts w:ascii="Arial" w:hAnsi="Arial" w:cs="Arial"/>
          <w:sz w:val="20"/>
          <w:szCs w:val="20"/>
        </w:rPr>
      </w:pPr>
    </w:p>
    <w:p w14:paraId="34FEB54E" w14:textId="0B237180" w:rsidR="001A5E5C" w:rsidRDefault="001A5E5C" w:rsidP="006061B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</w:t>
      </w:r>
    </w:p>
    <w:p w14:paraId="488A85B8" w14:textId="7B27F764" w:rsidR="00A23DCC" w:rsidRDefault="00A23DCC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7C39FA25" w14:textId="48334FDC" w:rsidR="00833ECF" w:rsidRPr="008D767A" w:rsidRDefault="00E6319B" w:rsidP="00265810">
      <w:pPr>
        <w:jc w:val="both"/>
        <w:rPr>
          <w:rFonts w:ascii="Arial" w:hAnsi="Arial" w:cs="Arial"/>
          <w:color w:val="1D1D1B"/>
          <w:w w:val="105"/>
          <w:sz w:val="20"/>
          <w:szCs w:val="20"/>
        </w:rPr>
      </w:pPr>
      <w:r w:rsidRPr="00957DEA">
        <w:rPr>
          <w:rFonts w:ascii="Arial" w:hAnsi="Arial" w:cs="Arial"/>
          <w:b/>
          <w:sz w:val="20"/>
          <w:szCs w:val="20"/>
        </w:rPr>
        <w:t>Poznámka pro média:</w:t>
      </w:r>
      <w:r w:rsidRPr="00957DEA">
        <w:rPr>
          <w:rFonts w:ascii="Arial" w:hAnsi="Arial" w:cs="Arial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="00957DEA"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="00670237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>např.</w:t>
      </w:r>
      <w:r w:rsidR="00957DEA" w:rsidRPr="00957DEA">
        <w:rPr>
          <w:rFonts w:ascii="Arial" w:hAnsi="Arial" w:cs="Arial"/>
          <w:color w:val="1D1D1B"/>
          <w:spacing w:val="-3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r w:rsidRPr="00957DEA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hypoteční</w:t>
      </w:r>
      <w:r w:rsidRPr="00957DEA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="00D21E1C">
        <w:rPr>
          <w:rFonts w:ascii="Arial" w:hAnsi="Arial" w:cs="Arial"/>
          <w:color w:val="1D1D1B"/>
          <w:w w:val="105"/>
          <w:sz w:val="20"/>
          <w:szCs w:val="20"/>
        </w:rPr>
        <w:t xml:space="preserve">index). 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 xml:space="preserve">Více informací najdete též na </w:t>
      </w:r>
      <w:r w:rsidR="00E32181">
        <w:rPr>
          <w:rFonts w:ascii="Arial" w:hAnsi="Arial" w:cs="Arial"/>
          <w:color w:val="1D1D1B"/>
          <w:w w:val="105"/>
          <w:sz w:val="20"/>
          <w:szCs w:val="20"/>
        </w:rPr>
        <w:t xml:space="preserve">stránkách </w:t>
      </w:r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www.bcas.cz/</w:t>
      </w:r>
      <w:proofErr w:type="spellStart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onas</w:t>
      </w:r>
      <w:proofErr w:type="spellEnd"/>
      <w:r w:rsidR="00E32181">
        <w:rPr>
          <w:rStyle w:val="Hypertextovodkaz"/>
          <w:rFonts w:ascii="Arial" w:hAnsi="Arial" w:cs="Arial"/>
          <w:w w:val="105"/>
          <w:sz w:val="20"/>
          <w:szCs w:val="20"/>
        </w:rPr>
        <w:t>/pro-media</w:t>
      </w:r>
      <w:r w:rsidRPr="00957DEA">
        <w:rPr>
          <w:rFonts w:ascii="Arial" w:hAnsi="Arial" w:cs="Arial"/>
          <w:color w:val="1D1D1B"/>
          <w:w w:val="105"/>
          <w:sz w:val="20"/>
          <w:szCs w:val="20"/>
        </w:rPr>
        <w:t>.</w:t>
      </w:r>
      <w:r w:rsidRPr="00957DEA">
        <w:rPr>
          <w:rFonts w:ascii="Arial" w:hAnsi="Arial" w:cs="Arial"/>
          <w:i/>
          <w:color w:val="1D1D1B"/>
          <w:w w:val="105"/>
          <w:sz w:val="20"/>
          <w:szCs w:val="20"/>
        </w:rPr>
        <w:t xml:space="preserve"> </w:t>
      </w:r>
    </w:p>
    <w:p w14:paraId="495C3E03" w14:textId="77777777" w:rsidR="003655AB" w:rsidRDefault="003655AB" w:rsidP="00265810">
      <w:pPr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61C7488E" w14:textId="2F8CD88C" w:rsidR="00265810" w:rsidRDefault="00265810" w:rsidP="00554A42">
      <w:pPr>
        <w:jc w:val="both"/>
        <w:rPr>
          <w:rFonts w:ascii="Arial" w:eastAsia="Times New Roman" w:hAnsi="Arial" w:cs="Arial"/>
          <w:sz w:val="20"/>
          <w:szCs w:val="20"/>
        </w:rPr>
      </w:pPr>
      <w:r w:rsidRPr="00265810">
        <w:rPr>
          <w:rFonts w:ascii="Arial" w:eastAsia="Times New Roman" w:hAnsi="Arial" w:cs="Arial"/>
          <w:b/>
          <w:sz w:val="20"/>
          <w:szCs w:val="20"/>
        </w:rPr>
        <w:t>Index podílových fondů</w:t>
      </w:r>
      <w:r>
        <w:rPr>
          <w:rFonts w:ascii="Arial" w:eastAsia="Times New Roman" w:hAnsi="Arial" w:cs="Arial"/>
          <w:sz w:val="20"/>
          <w:szCs w:val="20"/>
        </w:rPr>
        <w:t xml:space="preserve"> reprezentuje portfolio převážně českého inves</w:t>
      </w:r>
      <w:r w:rsidR="00E32181">
        <w:rPr>
          <w:rFonts w:ascii="Arial" w:eastAsia="Times New Roman" w:hAnsi="Arial" w:cs="Arial"/>
          <w:sz w:val="20"/>
          <w:szCs w:val="20"/>
        </w:rPr>
        <w:t xml:space="preserve">tora. U akciových fondů </w:t>
      </w:r>
      <w:r w:rsidR="0071058C">
        <w:rPr>
          <w:rFonts w:ascii="Arial" w:eastAsia="Times New Roman" w:hAnsi="Arial" w:cs="Arial"/>
          <w:sz w:val="20"/>
          <w:szCs w:val="20"/>
        </w:rPr>
        <w:t xml:space="preserve">nebere </w:t>
      </w:r>
      <w:r w:rsidR="0071058C" w:rsidRPr="0071058C">
        <w:rPr>
          <w:rFonts w:ascii="Arial" w:eastAsia="Times New Roman" w:hAnsi="Arial" w:cs="Arial"/>
          <w:sz w:val="20"/>
          <w:szCs w:val="20"/>
        </w:rPr>
        <w:t>v potaz úzké regionální či sektorové zaměření</w:t>
      </w:r>
      <w:r w:rsidR="0071058C">
        <w:rPr>
          <w:rFonts w:ascii="Arial" w:eastAsia="Times New Roman" w:hAnsi="Arial" w:cs="Arial"/>
          <w:sz w:val="20"/>
          <w:szCs w:val="20"/>
        </w:rPr>
        <w:t>, ale</w:t>
      </w:r>
      <w:r w:rsidR="00E32181">
        <w:rPr>
          <w:rFonts w:ascii="Arial" w:eastAsia="Times New Roman" w:hAnsi="Arial" w:cs="Arial"/>
          <w:sz w:val="20"/>
          <w:szCs w:val="20"/>
        </w:rPr>
        <w:t xml:space="preserve"> zaměřuje</w:t>
      </w:r>
      <w:r>
        <w:rPr>
          <w:rFonts w:ascii="Arial" w:eastAsia="Times New Roman" w:hAnsi="Arial" w:cs="Arial"/>
          <w:sz w:val="20"/>
          <w:szCs w:val="20"/>
        </w:rPr>
        <w:t xml:space="preserve"> se na globální akciový trh. Složení fondů v akciovém indexu reflektuje </w:t>
      </w:r>
      <w:r>
        <w:rPr>
          <w:rFonts w:ascii="Arial" w:eastAsia="Times New Roman" w:hAnsi="Arial" w:cs="Arial"/>
          <w:sz w:val="20"/>
          <w:szCs w:val="20"/>
        </w:rPr>
        <w:lastRenderedPageBreak/>
        <w:t>portfolio běžného českého investora investujícího do akciových fondů. Podobné je to také u komoditních fondů, kde index reflektuje výkonnost fondů investujících převážně do tradičních komodi</w:t>
      </w:r>
      <w:r w:rsidR="00E32181">
        <w:rPr>
          <w:rFonts w:ascii="Arial" w:eastAsia="Times New Roman" w:hAnsi="Arial" w:cs="Arial"/>
          <w:sz w:val="20"/>
          <w:szCs w:val="20"/>
        </w:rPr>
        <w:t>t. U dluhopisových fondů klade index</w:t>
      </w:r>
      <w:r>
        <w:rPr>
          <w:rFonts w:ascii="Arial" w:eastAsia="Times New Roman" w:hAnsi="Arial" w:cs="Arial"/>
          <w:sz w:val="20"/>
          <w:szCs w:val="20"/>
        </w:rPr>
        <w:t xml:space="preserve"> větší důraz na české a evropské dluhopisové fondy</w:t>
      </w:r>
      <w:r w:rsidR="00E32181">
        <w:rPr>
          <w:rFonts w:ascii="Arial" w:eastAsia="Times New Roman" w:hAnsi="Arial" w:cs="Arial"/>
          <w:sz w:val="20"/>
          <w:szCs w:val="20"/>
        </w:rPr>
        <w:t>, ale ve výkonnosti zohledňuje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="00E32181">
        <w:rPr>
          <w:rFonts w:ascii="Arial" w:eastAsia="Times New Roman" w:hAnsi="Arial" w:cs="Arial"/>
          <w:sz w:val="20"/>
          <w:szCs w:val="20"/>
        </w:rPr>
        <w:t xml:space="preserve">i dluhopisové fondy investující </w:t>
      </w:r>
      <w:r>
        <w:rPr>
          <w:rFonts w:ascii="Arial" w:eastAsia="Times New Roman" w:hAnsi="Arial" w:cs="Arial"/>
          <w:sz w:val="20"/>
          <w:szCs w:val="20"/>
        </w:rPr>
        <w:t>do státních dluhopisů různých ekonomik a také dluhopisové fondy zaměřující na rizikovější dluhopisy, ale již s menší v</w:t>
      </w:r>
      <w:r w:rsidR="00E32181"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 xml:space="preserve">hou. U peněžních fondů </w:t>
      </w:r>
      <w:r w:rsidR="00E32181">
        <w:rPr>
          <w:rFonts w:ascii="Arial" w:eastAsia="Times New Roman" w:hAnsi="Arial" w:cs="Arial"/>
          <w:sz w:val="20"/>
          <w:szCs w:val="20"/>
        </w:rPr>
        <w:t>a nemovitostních fondů je sledována</w:t>
      </w:r>
      <w:r>
        <w:rPr>
          <w:rFonts w:ascii="Arial" w:eastAsia="Times New Roman" w:hAnsi="Arial" w:cs="Arial"/>
          <w:sz w:val="20"/>
          <w:szCs w:val="20"/>
        </w:rPr>
        <w:t xml:space="preserve"> pouze výkonnost českých podílových fondů.</w:t>
      </w:r>
    </w:p>
    <w:p w14:paraId="7CEC62BD" w14:textId="5F5C84A3" w:rsidR="00265810" w:rsidRDefault="00265810" w:rsidP="00A12A99">
      <w:pPr>
        <w:jc w:val="both"/>
        <w:rPr>
          <w:rFonts w:ascii="Arial" w:hAnsi="Arial" w:cs="Arial"/>
          <w:b/>
          <w:sz w:val="20"/>
          <w:szCs w:val="20"/>
        </w:rPr>
      </w:pPr>
    </w:p>
    <w:p w14:paraId="64BF3F06" w14:textId="77589A4C" w:rsidR="003805E6" w:rsidRDefault="00836812" w:rsidP="00A12A9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/>
      </w:r>
      <w:r w:rsidR="003805E6" w:rsidRPr="00957DEA">
        <w:rPr>
          <w:rFonts w:ascii="Arial" w:hAnsi="Arial" w:cs="Arial"/>
          <w:b/>
          <w:sz w:val="20"/>
          <w:szCs w:val="20"/>
        </w:rPr>
        <w:t>Proč je dobré</w:t>
      </w:r>
      <w:r w:rsidR="00355B3D">
        <w:rPr>
          <w:rFonts w:ascii="Arial" w:hAnsi="Arial" w:cs="Arial"/>
          <w:b/>
          <w:sz w:val="20"/>
          <w:szCs w:val="20"/>
        </w:rPr>
        <w:t xml:space="preserve"> tento </w:t>
      </w:r>
      <w:r w:rsidR="003805E6" w:rsidRPr="00957DEA">
        <w:rPr>
          <w:rFonts w:ascii="Arial" w:hAnsi="Arial" w:cs="Arial"/>
          <w:b/>
          <w:sz w:val="20"/>
          <w:szCs w:val="20"/>
        </w:rPr>
        <w:t xml:space="preserve">index sledovat: </w:t>
      </w:r>
      <w:r w:rsidR="003805E6" w:rsidRPr="00957DEA">
        <w:rPr>
          <w:rFonts w:ascii="Arial" w:hAnsi="Arial" w:cs="Arial"/>
          <w:sz w:val="20"/>
          <w:szCs w:val="20"/>
        </w:rPr>
        <w:t xml:space="preserve">Čeští investoři mají v podílových fondech zainvestován majetek ve výši zhruba 557 miliard korun. Fondy jsou velmi využívanou platformou pro dlouhodobé investování, zejména při vytváření rezerv pro období </w:t>
      </w:r>
      <w:proofErr w:type="spellStart"/>
      <w:r w:rsidR="003805E6" w:rsidRPr="00957DEA">
        <w:rPr>
          <w:rFonts w:ascii="Arial" w:hAnsi="Arial" w:cs="Arial"/>
          <w:sz w:val="20"/>
          <w:szCs w:val="20"/>
        </w:rPr>
        <w:t>postaktivního</w:t>
      </w:r>
      <w:proofErr w:type="spellEnd"/>
      <w:r w:rsidR="003805E6" w:rsidRPr="00957DEA">
        <w:rPr>
          <w:rFonts w:ascii="Arial" w:hAnsi="Arial" w:cs="Arial"/>
          <w:sz w:val="20"/>
          <w:szCs w:val="20"/>
        </w:rPr>
        <w:t xml:space="preserve"> věku (60+). Index ukazuje, jak se vede fondům dle jednotlivých tříd investičních aktiv. Investoři si mohou mimo jiné srovnávat,  jak si jimi vybrané fondy vedou v porovnání s průměrem trhu.</w:t>
      </w:r>
    </w:p>
    <w:p w14:paraId="1D244135" w14:textId="12E661CD" w:rsidR="005D57C1" w:rsidRDefault="005D57C1" w:rsidP="00A12A99">
      <w:pPr>
        <w:jc w:val="both"/>
        <w:rPr>
          <w:rFonts w:ascii="Arial" w:hAnsi="Arial" w:cs="Arial"/>
          <w:sz w:val="20"/>
          <w:szCs w:val="20"/>
        </w:rPr>
      </w:pPr>
    </w:p>
    <w:p w14:paraId="3A6340E7" w14:textId="77777777" w:rsidR="005D57C1" w:rsidRDefault="005D57C1" w:rsidP="005D57C1">
      <w:pPr>
        <w:pStyle w:val="Zkladntext"/>
        <w:spacing w:before="33" w:line="237" w:lineRule="auto"/>
        <w:rPr>
          <w:rFonts w:ascii="Arial" w:hAnsi="Arial" w:cs="Arial"/>
          <w:b/>
          <w:sz w:val="18"/>
          <w:szCs w:val="18"/>
        </w:rPr>
      </w:pPr>
    </w:p>
    <w:p w14:paraId="0CBDB30A" w14:textId="77777777" w:rsidR="005D57C1" w:rsidRPr="005B3DDD" w:rsidRDefault="005D57C1" w:rsidP="005D57C1">
      <w:pPr>
        <w:rPr>
          <w:rFonts w:ascii="Arial" w:hAnsi="Arial" w:cs="Arial"/>
          <w:sz w:val="20"/>
          <w:szCs w:val="20"/>
        </w:rPr>
      </w:pPr>
      <w:r w:rsidRPr="00F64A9E">
        <w:rPr>
          <w:rFonts w:ascii="Arial" w:hAnsi="Arial" w:cs="Arial"/>
          <w:b/>
          <w:sz w:val="20"/>
          <w:szCs w:val="20"/>
        </w:rPr>
        <w:t>Poznámka pro média:</w:t>
      </w:r>
      <w:r w:rsidRPr="00F64A9E">
        <w:rPr>
          <w:rFonts w:ascii="Arial" w:hAnsi="Arial" w:cs="Arial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Broker</w:t>
      </w:r>
      <w:r w:rsidRPr="00F64A9E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proofErr w:type="spellStart"/>
      <w:r w:rsidRPr="00F64A9E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proofErr w:type="spellEnd"/>
      <w:r w:rsidRPr="00F64A9E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Indexy</w:t>
      </w:r>
      <w:r w:rsidRPr="00F64A9E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je</w:t>
      </w:r>
      <w:r w:rsidRPr="00F64A9E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možné</w:t>
      </w:r>
      <w:r w:rsidRPr="00F64A9E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volně</w:t>
      </w:r>
      <w:r w:rsidRPr="00F64A9E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spacing w:val="2"/>
          <w:w w:val="105"/>
          <w:sz w:val="20"/>
          <w:szCs w:val="20"/>
        </w:rPr>
        <w:t>publikovat</w:t>
      </w:r>
      <w:r w:rsidRPr="00F64A9E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pouze</w:t>
      </w:r>
      <w:r w:rsidRPr="00F64A9E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s</w:t>
      </w:r>
      <w:r w:rsidRPr="00F64A9E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označením</w:t>
      </w:r>
      <w:r w:rsidRPr="00F64A9E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„Broker</w:t>
      </w:r>
      <w:r w:rsidRPr="00F64A9E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proofErr w:type="spellStart"/>
      <w:r w:rsidRPr="00F64A9E">
        <w:rPr>
          <w:rFonts w:ascii="Arial" w:hAnsi="Arial" w:cs="Arial"/>
          <w:color w:val="1D1D1B"/>
          <w:w w:val="105"/>
          <w:sz w:val="20"/>
          <w:szCs w:val="20"/>
        </w:rPr>
        <w:t>Consulting</w:t>
      </w:r>
      <w:proofErr w:type="spellEnd"/>
      <w:r w:rsidRPr="00F64A9E">
        <w:rPr>
          <w:rFonts w:ascii="Arial" w:hAnsi="Arial" w:cs="Arial"/>
          <w:color w:val="1D1D1B"/>
          <w:spacing w:val="-8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w w:val="105"/>
          <w:sz w:val="20"/>
          <w:szCs w:val="20"/>
        </w:rPr>
        <w:t>Index“</w:t>
      </w:r>
      <w:r w:rsidRPr="00F64A9E">
        <w:rPr>
          <w:rFonts w:ascii="Arial" w:hAnsi="Arial" w:cs="Arial"/>
          <w:color w:val="1D1D1B"/>
          <w:spacing w:val="-9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color w:val="1D1D1B"/>
          <w:spacing w:val="-3"/>
          <w:w w:val="105"/>
          <w:sz w:val="20"/>
          <w:szCs w:val="20"/>
        </w:rPr>
        <w:t>(</w:t>
      </w:r>
      <w:r w:rsidRPr="00F64A9E">
        <w:rPr>
          <w:rFonts w:ascii="Arial" w:hAnsi="Arial" w:cs="Arial"/>
          <w:i/>
          <w:color w:val="1D1D1B"/>
          <w:spacing w:val="-3"/>
          <w:w w:val="105"/>
          <w:sz w:val="20"/>
          <w:szCs w:val="20"/>
        </w:rPr>
        <w:t>např.</w:t>
      </w:r>
      <w:r w:rsidRPr="00F64A9E">
        <w:rPr>
          <w:rFonts w:ascii="Arial" w:hAnsi="Arial" w:cs="Arial"/>
          <w:i/>
          <w:color w:val="1D1D1B"/>
          <w:spacing w:val="-8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i/>
          <w:color w:val="1D1D1B"/>
          <w:w w:val="105"/>
          <w:sz w:val="20"/>
          <w:szCs w:val="20"/>
        </w:rPr>
        <w:t>Broker</w:t>
      </w:r>
      <w:r w:rsidRPr="00F64A9E">
        <w:rPr>
          <w:rFonts w:ascii="Arial" w:hAnsi="Arial" w:cs="Arial"/>
          <w:i/>
          <w:color w:val="1D1D1B"/>
          <w:spacing w:val="-9"/>
          <w:w w:val="105"/>
          <w:sz w:val="20"/>
          <w:szCs w:val="20"/>
        </w:rPr>
        <w:t xml:space="preserve"> </w:t>
      </w:r>
      <w:proofErr w:type="spellStart"/>
      <w:r w:rsidRPr="00F64A9E">
        <w:rPr>
          <w:rFonts w:ascii="Arial" w:hAnsi="Arial" w:cs="Arial"/>
          <w:i/>
          <w:color w:val="1D1D1B"/>
          <w:w w:val="105"/>
          <w:sz w:val="20"/>
          <w:szCs w:val="20"/>
        </w:rPr>
        <w:t>Consulting</w:t>
      </w:r>
      <w:proofErr w:type="spellEnd"/>
      <w:r w:rsidRPr="00F64A9E">
        <w:rPr>
          <w:rFonts w:ascii="Arial" w:hAnsi="Arial" w:cs="Arial"/>
          <w:i/>
          <w:color w:val="1D1D1B"/>
          <w:spacing w:val="-8"/>
          <w:w w:val="105"/>
          <w:sz w:val="20"/>
          <w:szCs w:val="20"/>
        </w:rPr>
        <w:t xml:space="preserve"> </w:t>
      </w:r>
      <w:r w:rsidRPr="00F64A9E">
        <w:rPr>
          <w:rFonts w:ascii="Arial" w:hAnsi="Arial" w:cs="Arial"/>
          <w:i/>
          <w:color w:val="1D1D1B"/>
          <w:w w:val="105"/>
          <w:sz w:val="20"/>
          <w:szCs w:val="20"/>
        </w:rPr>
        <w:t xml:space="preserve">Index hypotečních úvěrů). Více informací najdete též na webu </w:t>
      </w:r>
      <w:r w:rsidRPr="00F64A9E">
        <w:rPr>
          <w:rStyle w:val="Hypertextovodkaz"/>
          <w:rFonts w:ascii="Arial" w:hAnsi="Arial" w:cs="Arial"/>
          <w:i/>
          <w:w w:val="105"/>
          <w:sz w:val="20"/>
          <w:szCs w:val="20"/>
        </w:rPr>
        <w:t>https://www.bcas.cz/onas/pro-media/</w:t>
      </w:r>
      <w:r w:rsidRPr="00F64A9E">
        <w:rPr>
          <w:rFonts w:ascii="Arial" w:hAnsi="Arial" w:cs="Arial"/>
          <w:i/>
          <w:color w:val="1D1D1B"/>
          <w:w w:val="105"/>
          <w:sz w:val="20"/>
          <w:szCs w:val="20"/>
        </w:rPr>
        <w:t xml:space="preserve">. </w:t>
      </w:r>
    </w:p>
    <w:p w14:paraId="7D3C1D2B" w14:textId="648A474B" w:rsidR="00836812" w:rsidRDefault="00836812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5D2E985E" w14:textId="77777777" w:rsidR="00957DEA" w:rsidRPr="00D60D98" w:rsidRDefault="00957DEA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</w:p>
    <w:p w14:paraId="7C1907C0" w14:textId="77777777" w:rsidR="00D60D98" w:rsidRDefault="00D60D98" w:rsidP="00A12A99">
      <w:pPr>
        <w:jc w:val="both"/>
        <w:rPr>
          <w:rFonts w:ascii="Arial" w:eastAsia="Calibri" w:hAnsi="Arial" w:cs="Arial"/>
          <w:b/>
          <w:bCs/>
          <w:noProof/>
          <w:sz w:val="20"/>
          <w:szCs w:val="20"/>
        </w:rPr>
      </w:pPr>
      <w:r w:rsidRPr="00D60D98">
        <w:rPr>
          <w:rFonts w:ascii="Arial" w:eastAsia="Calibri" w:hAnsi="Arial" w:cs="Arial"/>
          <w:b/>
          <w:bCs/>
          <w:noProof/>
          <w:sz w:val="20"/>
          <w:szCs w:val="20"/>
        </w:rPr>
        <w:t>Kontakt pro média:</w:t>
      </w:r>
    </w:p>
    <w:p w14:paraId="259AB6B0" w14:textId="70F61464" w:rsidR="00D60D98" w:rsidRPr="00957DEA" w:rsidRDefault="00D60D98" w:rsidP="00A12A99">
      <w:pPr>
        <w:jc w:val="both"/>
        <w:rPr>
          <w:rFonts w:ascii="Arial" w:eastAsia="Calibri" w:hAnsi="Arial" w:cs="Arial"/>
          <w:bCs/>
          <w:noProof/>
          <w:sz w:val="20"/>
          <w:szCs w:val="20"/>
          <w:lang w:bidi="ar-SA"/>
        </w:rPr>
      </w:pPr>
      <w:r w:rsidRPr="00957DEA">
        <w:rPr>
          <w:sz w:val="20"/>
        </w:rPr>
        <w:br/>
      </w:r>
      <w:r w:rsidR="00D17042">
        <w:rPr>
          <w:rFonts w:ascii="Arial" w:eastAsia="Calibri" w:hAnsi="Arial" w:cs="Arial"/>
          <w:bCs/>
          <w:noProof/>
          <w:sz w:val="20"/>
          <w:szCs w:val="20"/>
        </w:rPr>
        <w:t>Michaela Sahulová</w:t>
      </w:r>
    </w:p>
    <w:p w14:paraId="25594E3F" w14:textId="18C1D62A" w:rsid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s</w:t>
      </w:r>
      <w:r w:rsidR="00D60D98" w:rsidRPr="00957DEA">
        <w:rPr>
          <w:rFonts w:ascii="Arial" w:eastAsia="Calibri" w:hAnsi="Arial" w:cs="Arial"/>
          <w:noProof/>
          <w:sz w:val="20"/>
          <w:szCs w:val="20"/>
        </w:rPr>
        <w:t xml:space="preserve">pecialistka PR a </w:t>
      </w:r>
      <w:r w:rsidR="00D60D98" w:rsidRPr="00E32181">
        <w:rPr>
          <w:rFonts w:ascii="Arial" w:eastAsia="Calibri" w:hAnsi="Arial" w:cs="Arial"/>
          <w:bCs/>
          <w:noProof/>
          <w:sz w:val="20"/>
          <w:szCs w:val="20"/>
        </w:rPr>
        <w:t>externí komunikace</w:t>
      </w:r>
    </w:p>
    <w:p w14:paraId="55796197" w14:textId="1A82BC79" w:rsidR="00E32181" w:rsidRPr="00E05804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bCs/>
          <w:noProof/>
          <w:sz w:val="20"/>
          <w:szCs w:val="20"/>
        </w:rPr>
        <w:t>m</w:t>
      </w:r>
      <w:r w:rsidR="008D397B" w:rsidRPr="00E32181">
        <w:rPr>
          <w:rFonts w:ascii="Arial" w:eastAsia="Calibri" w:hAnsi="Arial" w:cs="Arial"/>
          <w:bCs/>
          <w:noProof/>
          <w:sz w:val="20"/>
          <w:szCs w:val="20"/>
        </w:rPr>
        <w:t>obil: +420</w:t>
      </w:r>
      <w:r w:rsidR="0089587C">
        <w:rPr>
          <w:rFonts w:ascii="Arial" w:eastAsia="Calibri" w:hAnsi="Arial" w:cs="Arial"/>
          <w:noProof/>
          <w:sz w:val="20"/>
          <w:szCs w:val="20"/>
        </w:rPr>
        <w:t> 731 538 373</w:t>
      </w:r>
    </w:p>
    <w:p w14:paraId="7F1C61B2" w14:textId="65FA2081" w:rsidR="008D397B" w:rsidRPr="00E32181" w:rsidRDefault="00E744BC" w:rsidP="00E32181">
      <w:pPr>
        <w:pStyle w:val="Bezmezer"/>
        <w:rPr>
          <w:rFonts w:ascii="Arial" w:eastAsia="Calibri" w:hAnsi="Arial" w:cs="Arial"/>
          <w:bCs/>
          <w:noProof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</w:rPr>
        <w:t>e</w:t>
      </w:r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-mail: </w:t>
      </w:r>
      <w:hyperlink r:id="rId26" w:history="1">
        <w:r w:rsidR="00C47123" w:rsidRPr="0098038B">
          <w:rPr>
            <w:rStyle w:val="Hypertextovodkaz"/>
            <w:rFonts w:ascii="Arial" w:eastAsia="Calibri" w:hAnsi="Arial" w:cs="Arial"/>
            <w:noProof/>
            <w:sz w:val="20"/>
            <w:szCs w:val="20"/>
          </w:rPr>
          <w:t>michaela.sahulova@bcas.cz</w:t>
        </w:r>
      </w:hyperlink>
      <w:r w:rsidR="008D397B" w:rsidRPr="00E32181">
        <w:rPr>
          <w:rFonts w:ascii="Arial" w:eastAsia="Calibri" w:hAnsi="Arial" w:cs="Arial"/>
          <w:noProof/>
          <w:sz w:val="20"/>
          <w:szCs w:val="20"/>
        </w:rPr>
        <w:t xml:space="preserve"> </w:t>
      </w:r>
    </w:p>
    <w:p w14:paraId="025F1B2F" w14:textId="5313D60C" w:rsidR="00D60D98" w:rsidRPr="009F59EE" w:rsidRDefault="00D60D98" w:rsidP="00A12A99">
      <w:pPr>
        <w:jc w:val="both"/>
        <w:rPr>
          <w:sz w:val="20"/>
        </w:rPr>
      </w:pPr>
    </w:p>
    <w:sectPr w:rsidR="00D60D98" w:rsidRPr="009F59EE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ED416" w14:textId="77777777" w:rsidR="00D310CA" w:rsidRDefault="00D310CA">
      <w:r>
        <w:separator/>
      </w:r>
    </w:p>
  </w:endnote>
  <w:endnote w:type="continuationSeparator" w:id="0">
    <w:p w14:paraId="5AB32CCD" w14:textId="77777777" w:rsidR="00D310CA" w:rsidRDefault="00D3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CE9966" w14:textId="77777777" w:rsidR="00D80B6D" w:rsidRDefault="00D80B6D">
    <w:pPr>
      <w:pStyle w:val="Zpa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1D50D1F" wp14:editId="456544FD">
              <wp:simplePos x="0" y="0"/>
              <wp:positionH relativeFrom="margin">
                <wp:align>right</wp:align>
              </wp:positionH>
              <wp:positionV relativeFrom="page">
                <wp:posOffset>10411460</wp:posOffset>
              </wp:positionV>
              <wp:extent cx="1507490" cy="193040"/>
              <wp:effectExtent l="0" t="0" r="16510" b="16510"/>
              <wp:wrapNone/>
              <wp:docPr id="1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7490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C45A8" w14:textId="16B40CAC" w:rsidR="00D80B6D" w:rsidRPr="00081616" w:rsidRDefault="00D310CA" w:rsidP="00081616">
                          <w:pPr>
                            <w:pStyle w:val="Zkladntext"/>
                            <w:spacing w:before="16"/>
                            <w:ind w:left="20"/>
                            <w:jc w:val="right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</w:rPr>
                          </w:pPr>
                          <w:hyperlink r:id="rId1" w:history="1">
                            <w:r w:rsidR="00081616" w:rsidRPr="00081616">
                              <w:rPr>
                                <w:rStyle w:val="Hypertextovodkaz"/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u w:val="none"/>
                              </w:rPr>
                              <w:t>www.realityspolu.cz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50D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5pt;margin-top:819.8pt;width:118.7pt;height:15.2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" filled="f" stroked="f">
              <v:textbox inset="0,0,0,0">
                <w:txbxContent>
                  <w:p w14:paraId="38FC45A8" w14:textId="16B40CAC" w:rsidR="00D80B6D" w:rsidRPr="00081616" w:rsidRDefault="009A4F6D" w:rsidP="00081616">
                    <w:pPr>
                      <w:pStyle w:val="Zkladntext"/>
                      <w:spacing w:before="16"/>
                      <w:ind w:left="20"/>
                      <w:jc w:val="right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</w:rPr>
                    </w:pPr>
                    <w:hyperlink r:id="rId2" w:history="1">
                      <w:r w:rsidR="00081616" w:rsidRPr="00081616">
                        <w:rPr>
                          <w:rStyle w:val="Hypertextovodkaz"/>
                          <w:rFonts w:ascii="Arial" w:hAnsi="Arial" w:cs="Arial"/>
                          <w:b/>
                          <w:color w:val="FFFFFF" w:themeColor="background1"/>
                          <w:sz w:val="20"/>
                          <w:u w:val="none"/>
                        </w:rPr>
                        <w:t>www.realityspolu.cz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91478DF" wp14:editId="016DF07C">
              <wp:simplePos x="0" y="0"/>
              <wp:positionH relativeFrom="margin">
                <wp:align>center</wp:align>
              </wp:positionH>
              <wp:positionV relativeFrom="page">
                <wp:posOffset>10408920</wp:posOffset>
              </wp:positionV>
              <wp:extent cx="1105535" cy="193040"/>
              <wp:effectExtent l="0" t="0" r="18415" b="16510"/>
              <wp:wrapNone/>
              <wp:docPr id="1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61A37" w14:textId="77777777" w:rsidR="00D80B6D" w:rsidRPr="00E95698" w:rsidRDefault="00D310CA" w:rsidP="00E9569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3">
                            <w:r w:rsidR="00D80B6D" w:rsidRPr="00E9569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www.okpointy.cz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1478DF" id="Text Box 2" o:spid="_x0000_s1027" type="#_x0000_t202" style="position:absolute;margin-left:0;margin-top:819.6pt;width:87.05pt;height:15.2pt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NAsgIAALI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" filled="f" stroked="f">
              <v:textbox inset="0,0,0,0">
                <w:txbxContent>
                  <w:p w14:paraId="11E61A37" w14:textId="77777777" w:rsidR="00D80B6D" w:rsidRPr="00E95698" w:rsidRDefault="009A4F6D" w:rsidP="00E9569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4">
                      <w:r w:rsidR="00D80B6D" w:rsidRPr="00E9569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www.okpointy.cz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1AF86FB" wp14:editId="75DA4564">
              <wp:simplePos x="0" y="0"/>
              <wp:positionH relativeFrom="margin">
                <wp:align>left</wp:align>
              </wp:positionH>
              <wp:positionV relativeFrom="page">
                <wp:posOffset>10408920</wp:posOffset>
              </wp:positionV>
              <wp:extent cx="833755" cy="193040"/>
              <wp:effectExtent l="0" t="0" r="4445" b="16510"/>
              <wp:wrapNone/>
              <wp:docPr id="1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375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644D1" w14:textId="77777777" w:rsidR="00D80B6D" w:rsidRPr="00943B58" w:rsidRDefault="00D310CA" w:rsidP="00943B58">
                          <w:pPr>
                            <w:pStyle w:val="Zkladntext"/>
                            <w:spacing w:before="16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hyperlink r:id="rId5">
                            <w:r w:rsidR="00D80B6D" w:rsidRPr="00943B58">
                              <w:rPr>
                                <w:rFonts w:ascii="Arial" w:hAnsi="Arial" w:cs="Arial"/>
                                <w:b/>
                                <w:color w:val="FFFFFF"/>
                                <w:sz w:val="20"/>
                              </w:rPr>
                              <w:t>www.bcas.cz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AF86FB" id="Text Box 3" o:spid="_x0000_s1028" type="#_x0000_t202" style="position:absolute;margin-left:0;margin-top:819.6pt;width:65.65pt;height:15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" filled="f" stroked="f">
              <v:textbox inset="0,0,0,0">
                <w:txbxContent>
                  <w:p w14:paraId="663644D1" w14:textId="77777777" w:rsidR="00D80B6D" w:rsidRPr="00943B58" w:rsidRDefault="009A4F6D" w:rsidP="00943B58">
                    <w:pPr>
                      <w:pStyle w:val="Zkladntext"/>
                      <w:spacing w:before="16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hyperlink r:id="rId6">
                      <w:r w:rsidR="00D80B6D" w:rsidRPr="00943B58">
                        <w:rPr>
                          <w:rFonts w:ascii="Arial" w:hAnsi="Arial" w:cs="Arial"/>
                          <w:b/>
                          <w:color w:val="FFFFFF"/>
                          <w:sz w:val="20"/>
                        </w:rPr>
                        <w:t>www.bcas.cz</w:t>
                      </w:r>
                    </w:hyperlink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1A4FC99" wp14:editId="417B4962">
              <wp:simplePos x="0" y="0"/>
              <wp:positionH relativeFrom="page">
                <wp:align>left</wp:align>
              </wp:positionH>
              <wp:positionV relativeFrom="page">
                <wp:posOffset>10349230</wp:posOffset>
              </wp:positionV>
              <wp:extent cx="7560310" cy="319405"/>
              <wp:effectExtent l="0" t="0" r="2540" b="4445"/>
              <wp:wrapNone/>
              <wp:docPr id="2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319405"/>
                      </a:xfrm>
                      <a:prstGeom prst="rect">
                        <a:avLst/>
                      </a:prstGeom>
                      <a:solidFill>
                        <a:srgbClr val="CD171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E6853E3" id="Rectangle 4" o:spid="_x0000_s1026" style="position:absolute;margin-left:0;margin-top:814.9pt;width:595.3pt;height:25.15pt;z-index:-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" fillcolor="#cd1719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44C53E" w14:textId="0E45F0AC" w:rsidR="00D31127" w:rsidRPr="001675AF" w:rsidRDefault="00D31127" w:rsidP="001675AF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9CF20" w14:textId="77777777" w:rsidR="00D310CA" w:rsidRDefault="00D310CA">
      <w:r>
        <w:separator/>
      </w:r>
    </w:p>
  </w:footnote>
  <w:footnote w:type="continuationSeparator" w:id="0">
    <w:p w14:paraId="41AEB228" w14:textId="77777777" w:rsidR="00D310CA" w:rsidRDefault="00D3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E95698" w:rsidRDefault="00D80B6D" w:rsidP="00E95698">
    <w:pPr>
      <w:tabs>
        <w:tab w:val="left" w:pos="8633"/>
      </w:tabs>
      <w:spacing w:before="80"/>
      <w:ind w:firstLine="2880"/>
      <w:rPr>
        <w:rFonts w:ascii="Arial" w:hAnsi="Arial" w:cs="Arial"/>
        <w:sz w:val="52"/>
      </w:rPr>
    </w:pPr>
    <w:r w:rsidRPr="00E95698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E95698">
      <w:rPr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95698">
      <w:rPr>
        <w:rFonts w:ascii="Arial" w:hAnsi="Arial" w:cs="Arial"/>
        <w:color w:val="1D1D1B"/>
        <w:sz w:val="48"/>
      </w:rPr>
      <w:t xml:space="preserve">BROKER CONSULTING </w:t>
    </w:r>
    <w:r w:rsidRPr="00E95698">
      <w:rPr>
        <w:rFonts w:ascii="Arial" w:hAnsi="Arial" w:cs="Arial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080E7B52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2E9D9ACF" w:rsidR="00B65A3B" w:rsidRDefault="009F2CEE" w:rsidP="009F2CEE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>
      <w:rPr>
        <w:rFonts w:ascii="Arial" w:hAnsi="Arial" w:cs="Arial"/>
        <w:color w:val="E52713"/>
        <w:sz w:val="28"/>
        <w:szCs w:val="28"/>
      </w:rPr>
      <w:t>PODÍLOVÝCH FONDŮ</w:t>
    </w:r>
  </w:p>
  <w:p w14:paraId="6F48BC81" w14:textId="77777777" w:rsidR="00A02308" w:rsidRPr="00B65A3B" w:rsidRDefault="00A02308" w:rsidP="009F2CEE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6D5E6F51" w:rsidR="00D80B6D" w:rsidRPr="009F59EE" w:rsidRDefault="009F59EE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r w:rsidRPr="00B65A3B">
      <w:rPr>
        <w:rFonts w:ascii="Arial" w:hAnsi="Arial" w:cs="Arial"/>
        <w:color w:val="E52713"/>
        <w:sz w:val="28"/>
        <w:szCs w:val="28"/>
      </w:rPr>
      <w:t xml:space="preserve">INDEX </w:t>
    </w:r>
    <w:r w:rsidR="009F2CEE">
      <w:rPr>
        <w:rFonts w:ascii="Arial" w:hAnsi="Arial" w:cs="Arial"/>
        <w:color w:val="E52713"/>
        <w:sz w:val="28"/>
        <w:szCs w:val="28"/>
      </w:rPr>
      <w:t>PODÍLOVÝCH FONDŮ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2221"/>
    <w:rsid w:val="00003FF5"/>
    <w:rsid w:val="000053DF"/>
    <w:rsid w:val="00020EC7"/>
    <w:rsid w:val="000220E4"/>
    <w:rsid w:val="000239F7"/>
    <w:rsid w:val="00026F23"/>
    <w:rsid w:val="000277AC"/>
    <w:rsid w:val="0003028F"/>
    <w:rsid w:val="000313E1"/>
    <w:rsid w:val="000324E2"/>
    <w:rsid w:val="00032D62"/>
    <w:rsid w:val="00032D94"/>
    <w:rsid w:val="000374D7"/>
    <w:rsid w:val="00037DAF"/>
    <w:rsid w:val="000400E4"/>
    <w:rsid w:val="000474CD"/>
    <w:rsid w:val="000479F1"/>
    <w:rsid w:val="0005423A"/>
    <w:rsid w:val="00054A18"/>
    <w:rsid w:val="00056D05"/>
    <w:rsid w:val="000600DC"/>
    <w:rsid w:val="0006012F"/>
    <w:rsid w:val="000611E3"/>
    <w:rsid w:val="000663B6"/>
    <w:rsid w:val="00070DAC"/>
    <w:rsid w:val="00073AD9"/>
    <w:rsid w:val="00074539"/>
    <w:rsid w:val="0007624D"/>
    <w:rsid w:val="000766E7"/>
    <w:rsid w:val="00080BB8"/>
    <w:rsid w:val="00081616"/>
    <w:rsid w:val="0008288F"/>
    <w:rsid w:val="000853D4"/>
    <w:rsid w:val="00090CF3"/>
    <w:rsid w:val="0009776B"/>
    <w:rsid w:val="000A60B9"/>
    <w:rsid w:val="000A7CEE"/>
    <w:rsid w:val="000B060E"/>
    <w:rsid w:val="000B6B6D"/>
    <w:rsid w:val="000C45C7"/>
    <w:rsid w:val="000C5411"/>
    <w:rsid w:val="000D14E2"/>
    <w:rsid w:val="000D3E1D"/>
    <w:rsid w:val="000D46D7"/>
    <w:rsid w:val="000E1018"/>
    <w:rsid w:val="000E1085"/>
    <w:rsid w:val="000E1337"/>
    <w:rsid w:val="000E3086"/>
    <w:rsid w:val="000E3D86"/>
    <w:rsid w:val="000E60BE"/>
    <w:rsid w:val="000E672C"/>
    <w:rsid w:val="000E79A9"/>
    <w:rsid w:val="000F0B3D"/>
    <w:rsid w:val="000F265E"/>
    <w:rsid w:val="000F4E1D"/>
    <w:rsid w:val="000F5AB4"/>
    <w:rsid w:val="000F6249"/>
    <w:rsid w:val="000F7333"/>
    <w:rsid w:val="00105D3A"/>
    <w:rsid w:val="001068FC"/>
    <w:rsid w:val="001103A6"/>
    <w:rsid w:val="00110812"/>
    <w:rsid w:val="00111C28"/>
    <w:rsid w:val="0011234F"/>
    <w:rsid w:val="00113A0A"/>
    <w:rsid w:val="00114C29"/>
    <w:rsid w:val="001152A6"/>
    <w:rsid w:val="00117FB4"/>
    <w:rsid w:val="00120F6A"/>
    <w:rsid w:val="00122CD1"/>
    <w:rsid w:val="001253CC"/>
    <w:rsid w:val="0013044E"/>
    <w:rsid w:val="00131A69"/>
    <w:rsid w:val="00132BF9"/>
    <w:rsid w:val="00132F04"/>
    <w:rsid w:val="00136D8D"/>
    <w:rsid w:val="00137003"/>
    <w:rsid w:val="0013717C"/>
    <w:rsid w:val="00145B8B"/>
    <w:rsid w:val="001464F4"/>
    <w:rsid w:val="00154277"/>
    <w:rsid w:val="00156082"/>
    <w:rsid w:val="00157FA9"/>
    <w:rsid w:val="00161879"/>
    <w:rsid w:val="00162672"/>
    <w:rsid w:val="00164CE5"/>
    <w:rsid w:val="001665D8"/>
    <w:rsid w:val="00166AB1"/>
    <w:rsid w:val="001675AF"/>
    <w:rsid w:val="00170034"/>
    <w:rsid w:val="0017084B"/>
    <w:rsid w:val="001767A5"/>
    <w:rsid w:val="001809F6"/>
    <w:rsid w:val="00180D72"/>
    <w:rsid w:val="00192716"/>
    <w:rsid w:val="0019453C"/>
    <w:rsid w:val="00197879"/>
    <w:rsid w:val="001A0318"/>
    <w:rsid w:val="001A4EE2"/>
    <w:rsid w:val="001A54DD"/>
    <w:rsid w:val="001A5E5C"/>
    <w:rsid w:val="001A5E76"/>
    <w:rsid w:val="001A607A"/>
    <w:rsid w:val="001A613B"/>
    <w:rsid w:val="001B088B"/>
    <w:rsid w:val="001B21B5"/>
    <w:rsid w:val="001B501B"/>
    <w:rsid w:val="001B530D"/>
    <w:rsid w:val="001B6EFB"/>
    <w:rsid w:val="001C58A4"/>
    <w:rsid w:val="001C603A"/>
    <w:rsid w:val="001D015A"/>
    <w:rsid w:val="001D03BA"/>
    <w:rsid w:val="001D3DFC"/>
    <w:rsid w:val="001D5D27"/>
    <w:rsid w:val="001E1D9D"/>
    <w:rsid w:val="001E4209"/>
    <w:rsid w:val="001E48DE"/>
    <w:rsid w:val="001E54E2"/>
    <w:rsid w:val="001E763B"/>
    <w:rsid w:val="001F032C"/>
    <w:rsid w:val="001F6C24"/>
    <w:rsid w:val="001F7194"/>
    <w:rsid w:val="001F71BA"/>
    <w:rsid w:val="002141AF"/>
    <w:rsid w:val="002150CB"/>
    <w:rsid w:val="002152A7"/>
    <w:rsid w:val="002217AA"/>
    <w:rsid w:val="00221820"/>
    <w:rsid w:val="002225C6"/>
    <w:rsid w:val="00224E8A"/>
    <w:rsid w:val="00235EDC"/>
    <w:rsid w:val="002360AE"/>
    <w:rsid w:val="002368F3"/>
    <w:rsid w:val="002368FB"/>
    <w:rsid w:val="00241313"/>
    <w:rsid w:val="0025264B"/>
    <w:rsid w:val="0025428A"/>
    <w:rsid w:val="002601CA"/>
    <w:rsid w:val="00265810"/>
    <w:rsid w:val="0026621E"/>
    <w:rsid w:val="002662AC"/>
    <w:rsid w:val="002674EF"/>
    <w:rsid w:val="00267551"/>
    <w:rsid w:val="00270DB3"/>
    <w:rsid w:val="0027305C"/>
    <w:rsid w:val="002745EF"/>
    <w:rsid w:val="002761EE"/>
    <w:rsid w:val="00276593"/>
    <w:rsid w:val="00276C57"/>
    <w:rsid w:val="002831A1"/>
    <w:rsid w:val="00283D28"/>
    <w:rsid w:val="00292A70"/>
    <w:rsid w:val="00295407"/>
    <w:rsid w:val="002974F0"/>
    <w:rsid w:val="00297CEA"/>
    <w:rsid w:val="002A4750"/>
    <w:rsid w:val="002A4BC3"/>
    <w:rsid w:val="002A5439"/>
    <w:rsid w:val="002A5C74"/>
    <w:rsid w:val="002A7937"/>
    <w:rsid w:val="002B03FE"/>
    <w:rsid w:val="002B2EDF"/>
    <w:rsid w:val="002B43B8"/>
    <w:rsid w:val="002B46FF"/>
    <w:rsid w:val="002C01FF"/>
    <w:rsid w:val="002C35D8"/>
    <w:rsid w:val="002C582E"/>
    <w:rsid w:val="002D2A18"/>
    <w:rsid w:val="002D539D"/>
    <w:rsid w:val="002D6378"/>
    <w:rsid w:val="002D76B4"/>
    <w:rsid w:val="002D7A2E"/>
    <w:rsid w:val="002E0C7C"/>
    <w:rsid w:val="002E2954"/>
    <w:rsid w:val="002E2A85"/>
    <w:rsid w:val="002E6311"/>
    <w:rsid w:val="002F002B"/>
    <w:rsid w:val="002F2E49"/>
    <w:rsid w:val="002F3074"/>
    <w:rsid w:val="002F485A"/>
    <w:rsid w:val="002F7EC2"/>
    <w:rsid w:val="00301F39"/>
    <w:rsid w:val="0030348B"/>
    <w:rsid w:val="0030505E"/>
    <w:rsid w:val="003071C4"/>
    <w:rsid w:val="00307229"/>
    <w:rsid w:val="00307E95"/>
    <w:rsid w:val="00310DBC"/>
    <w:rsid w:val="003128F8"/>
    <w:rsid w:val="00313082"/>
    <w:rsid w:val="00313891"/>
    <w:rsid w:val="0031770F"/>
    <w:rsid w:val="00321009"/>
    <w:rsid w:val="00322A3F"/>
    <w:rsid w:val="003247B0"/>
    <w:rsid w:val="003278AC"/>
    <w:rsid w:val="00330918"/>
    <w:rsid w:val="0033197C"/>
    <w:rsid w:val="003326F9"/>
    <w:rsid w:val="00334048"/>
    <w:rsid w:val="0034220D"/>
    <w:rsid w:val="0034220F"/>
    <w:rsid w:val="003426AA"/>
    <w:rsid w:val="00342F85"/>
    <w:rsid w:val="00346375"/>
    <w:rsid w:val="00347557"/>
    <w:rsid w:val="00347D68"/>
    <w:rsid w:val="00352515"/>
    <w:rsid w:val="00355366"/>
    <w:rsid w:val="00355B3D"/>
    <w:rsid w:val="00355D3E"/>
    <w:rsid w:val="0036040B"/>
    <w:rsid w:val="003606E0"/>
    <w:rsid w:val="00360D43"/>
    <w:rsid w:val="003629B6"/>
    <w:rsid w:val="00362CEF"/>
    <w:rsid w:val="003655AB"/>
    <w:rsid w:val="003721AD"/>
    <w:rsid w:val="003747DC"/>
    <w:rsid w:val="00376855"/>
    <w:rsid w:val="003805E6"/>
    <w:rsid w:val="00383DC5"/>
    <w:rsid w:val="003842CE"/>
    <w:rsid w:val="00385EED"/>
    <w:rsid w:val="00390B58"/>
    <w:rsid w:val="00391240"/>
    <w:rsid w:val="003A4F52"/>
    <w:rsid w:val="003A5757"/>
    <w:rsid w:val="003A6435"/>
    <w:rsid w:val="003A689B"/>
    <w:rsid w:val="003B02A7"/>
    <w:rsid w:val="003B0E4F"/>
    <w:rsid w:val="003B46D1"/>
    <w:rsid w:val="003C0CBE"/>
    <w:rsid w:val="003D10B1"/>
    <w:rsid w:val="003D1987"/>
    <w:rsid w:val="003D2036"/>
    <w:rsid w:val="003D733D"/>
    <w:rsid w:val="003E3311"/>
    <w:rsid w:val="003E64E9"/>
    <w:rsid w:val="003E7356"/>
    <w:rsid w:val="003E77AF"/>
    <w:rsid w:val="003F0400"/>
    <w:rsid w:val="003F1100"/>
    <w:rsid w:val="003F1CE8"/>
    <w:rsid w:val="003F2732"/>
    <w:rsid w:val="003F652F"/>
    <w:rsid w:val="003F79EC"/>
    <w:rsid w:val="00403571"/>
    <w:rsid w:val="00407541"/>
    <w:rsid w:val="0040784A"/>
    <w:rsid w:val="00410B0C"/>
    <w:rsid w:val="00412828"/>
    <w:rsid w:val="00413BEC"/>
    <w:rsid w:val="00417787"/>
    <w:rsid w:val="00421847"/>
    <w:rsid w:val="0042193A"/>
    <w:rsid w:val="00421BEC"/>
    <w:rsid w:val="00423383"/>
    <w:rsid w:val="00425687"/>
    <w:rsid w:val="0042653C"/>
    <w:rsid w:val="00427549"/>
    <w:rsid w:val="0043067D"/>
    <w:rsid w:val="004313F1"/>
    <w:rsid w:val="004438D9"/>
    <w:rsid w:val="004443E3"/>
    <w:rsid w:val="00445D0A"/>
    <w:rsid w:val="004478A0"/>
    <w:rsid w:val="0045405B"/>
    <w:rsid w:val="00454843"/>
    <w:rsid w:val="004553A8"/>
    <w:rsid w:val="00455445"/>
    <w:rsid w:val="004571C1"/>
    <w:rsid w:val="004627B9"/>
    <w:rsid w:val="004628B4"/>
    <w:rsid w:val="004632E5"/>
    <w:rsid w:val="004707BA"/>
    <w:rsid w:val="004735E9"/>
    <w:rsid w:val="00475191"/>
    <w:rsid w:val="004766EC"/>
    <w:rsid w:val="00476C50"/>
    <w:rsid w:val="0048788A"/>
    <w:rsid w:val="00495C10"/>
    <w:rsid w:val="00497374"/>
    <w:rsid w:val="004A0A3B"/>
    <w:rsid w:val="004B1CE6"/>
    <w:rsid w:val="004B2AFA"/>
    <w:rsid w:val="004B5797"/>
    <w:rsid w:val="004C398C"/>
    <w:rsid w:val="004C3F71"/>
    <w:rsid w:val="004C7DDE"/>
    <w:rsid w:val="004D00AF"/>
    <w:rsid w:val="004D3977"/>
    <w:rsid w:val="004E18FD"/>
    <w:rsid w:val="004E458A"/>
    <w:rsid w:val="004E55FE"/>
    <w:rsid w:val="004E7AEB"/>
    <w:rsid w:val="004E7E0B"/>
    <w:rsid w:val="00500F93"/>
    <w:rsid w:val="00501A9E"/>
    <w:rsid w:val="005031AA"/>
    <w:rsid w:val="005051FB"/>
    <w:rsid w:val="00505697"/>
    <w:rsid w:val="0050659B"/>
    <w:rsid w:val="00507504"/>
    <w:rsid w:val="00512B46"/>
    <w:rsid w:val="00512F01"/>
    <w:rsid w:val="005139C3"/>
    <w:rsid w:val="005153F7"/>
    <w:rsid w:val="00517A29"/>
    <w:rsid w:val="005218FE"/>
    <w:rsid w:val="005224C1"/>
    <w:rsid w:val="005256D0"/>
    <w:rsid w:val="00526D02"/>
    <w:rsid w:val="0053153F"/>
    <w:rsid w:val="00536954"/>
    <w:rsid w:val="00537697"/>
    <w:rsid w:val="00537FE0"/>
    <w:rsid w:val="00540606"/>
    <w:rsid w:val="00540F3B"/>
    <w:rsid w:val="00541870"/>
    <w:rsid w:val="005436EC"/>
    <w:rsid w:val="00544A37"/>
    <w:rsid w:val="00547867"/>
    <w:rsid w:val="00550064"/>
    <w:rsid w:val="0055263D"/>
    <w:rsid w:val="00554A42"/>
    <w:rsid w:val="005575DE"/>
    <w:rsid w:val="00560C6D"/>
    <w:rsid w:val="00563745"/>
    <w:rsid w:val="005655BD"/>
    <w:rsid w:val="005663AE"/>
    <w:rsid w:val="00576F53"/>
    <w:rsid w:val="00577D19"/>
    <w:rsid w:val="005809D3"/>
    <w:rsid w:val="0058369A"/>
    <w:rsid w:val="005842ED"/>
    <w:rsid w:val="005966D4"/>
    <w:rsid w:val="005A29CA"/>
    <w:rsid w:val="005A3473"/>
    <w:rsid w:val="005A37E5"/>
    <w:rsid w:val="005A481B"/>
    <w:rsid w:val="005A4F61"/>
    <w:rsid w:val="005A5BBA"/>
    <w:rsid w:val="005A5F08"/>
    <w:rsid w:val="005B0AEF"/>
    <w:rsid w:val="005B16D3"/>
    <w:rsid w:val="005B24EB"/>
    <w:rsid w:val="005B31D7"/>
    <w:rsid w:val="005C0189"/>
    <w:rsid w:val="005C22F8"/>
    <w:rsid w:val="005C5B9E"/>
    <w:rsid w:val="005D34CC"/>
    <w:rsid w:val="005D57C1"/>
    <w:rsid w:val="005E4D88"/>
    <w:rsid w:val="005E51C5"/>
    <w:rsid w:val="005E7952"/>
    <w:rsid w:val="005F0E46"/>
    <w:rsid w:val="005F1DB3"/>
    <w:rsid w:val="005F2623"/>
    <w:rsid w:val="005F6C1E"/>
    <w:rsid w:val="005F7090"/>
    <w:rsid w:val="00600436"/>
    <w:rsid w:val="00600E58"/>
    <w:rsid w:val="00603538"/>
    <w:rsid w:val="006061BD"/>
    <w:rsid w:val="0061103B"/>
    <w:rsid w:val="00611905"/>
    <w:rsid w:val="006121A8"/>
    <w:rsid w:val="0061253F"/>
    <w:rsid w:val="006135FD"/>
    <w:rsid w:val="00614133"/>
    <w:rsid w:val="006172AA"/>
    <w:rsid w:val="006203C4"/>
    <w:rsid w:val="0062480B"/>
    <w:rsid w:val="0062747C"/>
    <w:rsid w:val="006307A5"/>
    <w:rsid w:val="00630C84"/>
    <w:rsid w:val="006318CC"/>
    <w:rsid w:val="00631E38"/>
    <w:rsid w:val="00631E80"/>
    <w:rsid w:val="006321D6"/>
    <w:rsid w:val="006337CD"/>
    <w:rsid w:val="00633E13"/>
    <w:rsid w:val="00637BCA"/>
    <w:rsid w:val="0064160C"/>
    <w:rsid w:val="0064286C"/>
    <w:rsid w:val="00645171"/>
    <w:rsid w:val="00650189"/>
    <w:rsid w:val="00650654"/>
    <w:rsid w:val="00650DD6"/>
    <w:rsid w:val="00650DEB"/>
    <w:rsid w:val="00654E3E"/>
    <w:rsid w:val="0065659A"/>
    <w:rsid w:val="00657EE5"/>
    <w:rsid w:val="0066135D"/>
    <w:rsid w:val="00663038"/>
    <w:rsid w:val="00667012"/>
    <w:rsid w:val="00667776"/>
    <w:rsid w:val="00670237"/>
    <w:rsid w:val="0067176D"/>
    <w:rsid w:val="0067414D"/>
    <w:rsid w:val="00676757"/>
    <w:rsid w:val="006768F0"/>
    <w:rsid w:val="00677078"/>
    <w:rsid w:val="0068195B"/>
    <w:rsid w:val="006829B7"/>
    <w:rsid w:val="00683626"/>
    <w:rsid w:val="00685FBC"/>
    <w:rsid w:val="0068617E"/>
    <w:rsid w:val="00686364"/>
    <w:rsid w:val="00687F4F"/>
    <w:rsid w:val="006909B5"/>
    <w:rsid w:val="0069177B"/>
    <w:rsid w:val="00692F5F"/>
    <w:rsid w:val="006939E4"/>
    <w:rsid w:val="00694DBB"/>
    <w:rsid w:val="00695452"/>
    <w:rsid w:val="00697EB5"/>
    <w:rsid w:val="006A2F6C"/>
    <w:rsid w:val="006A3BE2"/>
    <w:rsid w:val="006A4030"/>
    <w:rsid w:val="006A48F1"/>
    <w:rsid w:val="006A6681"/>
    <w:rsid w:val="006B4780"/>
    <w:rsid w:val="006B48B2"/>
    <w:rsid w:val="006C61E8"/>
    <w:rsid w:val="006D192A"/>
    <w:rsid w:val="006D603F"/>
    <w:rsid w:val="006D65EC"/>
    <w:rsid w:val="006D7BF3"/>
    <w:rsid w:val="006E12FE"/>
    <w:rsid w:val="006E26DC"/>
    <w:rsid w:val="006E564C"/>
    <w:rsid w:val="006F052D"/>
    <w:rsid w:val="006F07E3"/>
    <w:rsid w:val="006F1124"/>
    <w:rsid w:val="006F2045"/>
    <w:rsid w:val="006F32FB"/>
    <w:rsid w:val="00705D83"/>
    <w:rsid w:val="00710523"/>
    <w:rsid w:val="0071058C"/>
    <w:rsid w:val="007142D0"/>
    <w:rsid w:val="0072112F"/>
    <w:rsid w:val="0072115C"/>
    <w:rsid w:val="00732F8D"/>
    <w:rsid w:val="0073328E"/>
    <w:rsid w:val="00734305"/>
    <w:rsid w:val="0073706E"/>
    <w:rsid w:val="007373A6"/>
    <w:rsid w:val="0073790D"/>
    <w:rsid w:val="00737D83"/>
    <w:rsid w:val="00740E22"/>
    <w:rsid w:val="00740FE3"/>
    <w:rsid w:val="00744343"/>
    <w:rsid w:val="0074449D"/>
    <w:rsid w:val="00750BD4"/>
    <w:rsid w:val="00755700"/>
    <w:rsid w:val="00757D8B"/>
    <w:rsid w:val="00760B0E"/>
    <w:rsid w:val="00761868"/>
    <w:rsid w:val="00761D9B"/>
    <w:rsid w:val="00762D33"/>
    <w:rsid w:val="00765FD4"/>
    <w:rsid w:val="00767C3D"/>
    <w:rsid w:val="00771B91"/>
    <w:rsid w:val="00771DFE"/>
    <w:rsid w:val="007733DB"/>
    <w:rsid w:val="00776CBE"/>
    <w:rsid w:val="007824F4"/>
    <w:rsid w:val="00782D03"/>
    <w:rsid w:val="00784109"/>
    <w:rsid w:val="007853F8"/>
    <w:rsid w:val="00785FC5"/>
    <w:rsid w:val="0078631B"/>
    <w:rsid w:val="00786BA5"/>
    <w:rsid w:val="007905D5"/>
    <w:rsid w:val="00791A2B"/>
    <w:rsid w:val="00792EE9"/>
    <w:rsid w:val="0079572A"/>
    <w:rsid w:val="00796334"/>
    <w:rsid w:val="007A0849"/>
    <w:rsid w:val="007A1121"/>
    <w:rsid w:val="007A1122"/>
    <w:rsid w:val="007A15A6"/>
    <w:rsid w:val="007A5987"/>
    <w:rsid w:val="007B026B"/>
    <w:rsid w:val="007B048D"/>
    <w:rsid w:val="007B1F73"/>
    <w:rsid w:val="007B232E"/>
    <w:rsid w:val="007B358E"/>
    <w:rsid w:val="007B3E55"/>
    <w:rsid w:val="007B435F"/>
    <w:rsid w:val="007B4E88"/>
    <w:rsid w:val="007B6899"/>
    <w:rsid w:val="007B7E44"/>
    <w:rsid w:val="007C0BC2"/>
    <w:rsid w:val="007C32F8"/>
    <w:rsid w:val="007C3AAA"/>
    <w:rsid w:val="007C5CE8"/>
    <w:rsid w:val="007C7073"/>
    <w:rsid w:val="007C7B64"/>
    <w:rsid w:val="007D05B3"/>
    <w:rsid w:val="007D29E5"/>
    <w:rsid w:val="007D3D51"/>
    <w:rsid w:val="007D3E32"/>
    <w:rsid w:val="007E1FBA"/>
    <w:rsid w:val="007E3355"/>
    <w:rsid w:val="007E5614"/>
    <w:rsid w:val="007F048B"/>
    <w:rsid w:val="007F7409"/>
    <w:rsid w:val="008005EB"/>
    <w:rsid w:val="00807CDD"/>
    <w:rsid w:val="00812E77"/>
    <w:rsid w:val="00813300"/>
    <w:rsid w:val="0081387C"/>
    <w:rsid w:val="0081466F"/>
    <w:rsid w:val="00821B36"/>
    <w:rsid w:val="008242F9"/>
    <w:rsid w:val="0083053E"/>
    <w:rsid w:val="00831B5E"/>
    <w:rsid w:val="00833A44"/>
    <w:rsid w:val="00833ECF"/>
    <w:rsid w:val="008348A0"/>
    <w:rsid w:val="00834D4D"/>
    <w:rsid w:val="00835880"/>
    <w:rsid w:val="00836812"/>
    <w:rsid w:val="00840704"/>
    <w:rsid w:val="0084178F"/>
    <w:rsid w:val="00845A18"/>
    <w:rsid w:val="00845A34"/>
    <w:rsid w:val="00846F99"/>
    <w:rsid w:val="00851C45"/>
    <w:rsid w:val="00855897"/>
    <w:rsid w:val="00860290"/>
    <w:rsid w:val="00860837"/>
    <w:rsid w:val="00860EE4"/>
    <w:rsid w:val="00863B54"/>
    <w:rsid w:val="00866600"/>
    <w:rsid w:val="00870F82"/>
    <w:rsid w:val="0088035D"/>
    <w:rsid w:val="0088046D"/>
    <w:rsid w:val="00880547"/>
    <w:rsid w:val="008807C3"/>
    <w:rsid w:val="00882D8E"/>
    <w:rsid w:val="008831E8"/>
    <w:rsid w:val="0088326D"/>
    <w:rsid w:val="00883A3E"/>
    <w:rsid w:val="00883FFA"/>
    <w:rsid w:val="00885B2F"/>
    <w:rsid w:val="00886F0E"/>
    <w:rsid w:val="00890117"/>
    <w:rsid w:val="00891790"/>
    <w:rsid w:val="008926E5"/>
    <w:rsid w:val="008926F3"/>
    <w:rsid w:val="00892C78"/>
    <w:rsid w:val="00893577"/>
    <w:rsid w:val="0089587C"/>
    <w:rsid w:val="00895B78"/>
    <w:rsid w:val="00896B59"/>
    <w:rsid w:val="008A04D3"/>
    <w:rsid w:val="008A14E4"/>
    <w:rsid w:val="008A2132"/>
    <w:rsid w:val="008A476C"/>
    <w:rsid w:val="008A6F1B"/>
    <w:rsid w:val="008B37D1"/>
    <w:rsid w:val="008B480A"/>
    <w:rsid w:val="008C0E53"/>
    <w:rsid w:val="008C1795"/>
    <w:rsid w:val="008C4A0A"/>
    <w:rsid w:val="008C4B0D"/>
    <w:rsid w:val="008C5A69"/>
    <w:rsid w:val="008C5E3B"/>
    <w:rsid w:val="008C60E2"/>
    <w:rsid w:val="008C6335"/>
    <w:rsid w:val="008D397B"/>
    <w:rsid w:val="008D556E"/>
    <w:rsid w:val="008D767A"/>
    <w:rsid w:val="008E065B"/>
    <w:rsid w:val="008E19F3"/>
    <w:rsid w:val="008E2945"/>
    <w:rsid w:val="008F1F50"/>
    <w:rsid w:val="008F241C"/>
    <w:rsid w:val="008F36F5"/>
    <w:rsid w:val="008F6AAF"/>
    <w:rsid w:val="00903105"/>
    <w:rsid w:val="00904004"/>
    <w:rsid w:val="009051BB"/>
    <w:rsid w:val="00906176"/>
    <w:rsid w:val="00906C63"/>
    <w:rsid w:val="00906E67"/>
    <w:rsid w:val="00913530"/>
    <w:rsid w:val="00915ADA"/>
    <w:rsid w:val="00915DB2"/>
    <w:rsid w:val="009220A7"/>
    <w:rsid w:val="009222C9"/>
    <w:rsid w:val="00924BDE"/>
    <w:rsid w:val="00927B66"/>
    <w:rsid w:val="00927EB8"/>
    <w:rsid w:val="00932625"/>
    <w:rsid w:val="00934023"/>
    <w:rsid w:val="009344C2"/>
    <w:rsid w:val="00935552"/>
    <w:rsid w:val="009356F6"/>
    <w:rsid w:val="00937539"/>
    <w:rsid w:val="00941A60"/>
    <w:rsid w:val="00941B52"/>
    <w:rsid w:val="009439C3"/>
    <w:rsid w:val="0094705C"/>
    <w:rsid w:val="00947476"/>
    <w:rsid w:val="00957B41"/>
    <w:rsid w:val="00957DEA"/>
    <w:rsid w:val="00965500"/>
    <w:rsid w:val="00967D7E"/>
    <w:rsid w:val="00977040"/>
    <w:rsid w:val="0098121D"/>
    <w:rsid w:val="00982987"/>
    <w:rsid w:val="0098362A"/>
    <w:rsid w:val="009858E1"/>
    <w:rsid w:val="00986B30"/>
    <w:rsid w:val="0098747F"/>
    <w:rsid w:val="00990864"/>
    <w:rsid w:val="00991554"/>
    <w:rsid w:val="009A4F6D"/>
    <w:rsid w:val="009A6705"/>
    <w:rsid w:val="009A69B1"/>
    <w:rsid w:val="009A71FE"/>
    <w:rsid w:val="009B043D"/>
    <w:rsid w:val="009B07EF"/>
    <w:rsid w:val="009B608A"/>
    <w:rsid w:val="009B691E"/>
    <w:rsid w:val="009C08B7"/>
    <w:rsid w:val="009C0DA6"/>
    <w:rsid w:val="009C0ECA"/>
    <w:rsid w:val="009C0F81"/>
    <w:rsid w:val="009C17C7"/>
    <w:rsid w:val="009C45BA"/>
    <w:rsid w:val="009C6DD2"/>
    <w:rsid w:val="009D05AD"/>
    <w:rsid w:val="009D2821"/>
    <w:rsid w:val="009D2ECE"/>
    <w:rsid w:val="009D68F9"/>
    <w:rsid w:val="009D6A2C"/>
    <w:rsid w:val="009D6ABF"/>
    <w:rsid w:val="009E0062"/>
    <w:rsid w:val="009E317D"/>
    <w:rsid w:val="009E3B52"/>
    <w:rsid w:val="009E5916"/>
    <w:rsid w:val="009F0267"/>
    <w:rsid w:val="009F2CB2"/>
    <w:rsid w:val="009F2CEE"/>
    <w:rsid w:val="009F4695"/>
    <w:rsid w:val="009F59EE"/>
    <w:rsid w:val="009F5B6E"/>
    <w:rsid w:val="00A00251"/>
    <w:rsid w:val="00A0060A"/>
    <w:rsid w:val="00A02308"/>
    <w:rsid w:val="00A025BA"/>
    <w:rsid w:val="00A04189"/>
    <w:rsid w:val="00A069E2"/>
    <w:rsid w:val="00A1093F"/>
    <w:rsid w:val="00A11C0F"/>
    <w:rsid w:val="00A11C90"/>
    <w:rsid w:val="00A12A99"/>
    <w:rsid w:val="00A13346"/>
    <w:rsid w:val="00A15E33"/>
    <w:rsid w:val="00A1653A"/>
    <w:rsid w:val="00A16F18"/>
    <w:rsid w:val="00A2214C"/>
    <w:rsid w:val="00A23DCC"/>
    <w:rsid w:val="00A30D93"/>
    <w:rsid w:val="00A31FAC"/>
    <w:rsid w:val="00A35524"/>
    <w:rsid w:val="00A355AB"/>
    <w:rsid w:val="00A36D79"/>
    <w:rsid w:val="00A36E5B"/>
    <w:rsid w:val="00A37B91"/>
    <w:rsid w:val="00A37D04"/>
    <w:rsid w:val="00A4066D"/>
    <w:rsid w:val="00A40B94"/>
    <w:rsid w:val="00A41942"/>
    <w:rsid w:val="00A46073"/>
    <w:rsid w:val="00A4618A"/>
    <w:rsid w:val="00A5254F"/>
    <w:rsid w:val="00A55879"/>
    <w:rsid w:val="00A55E01"/>
    <w:rsid w:val="00A55E85"/>
    <w:rsid w:val="00A56CD6"/>
    <w:rsid w:val="00A61996"/>
    <w:rsid w:val="00A63FF7"/>
    <w:rsid w:val="00A7081D"/>
    <w:rsid w:val="00A726DE"/>
    <w:rsid w:val="00A75776"/>
    <w:rsid w:val="00A77932"/>
    <w:rsid w:val="00A7796E"/>
    <w:rsid w:val="00A77CA3"/>
    <w:rsid w:val="00A80480"/>
    <w:rsid w:val="00A82DA1"/>
    <w:rsid w:val="00A84486"/>
    <w:rsid w:val="00A860EC"/>
    <w:rsid w:val="00A87479"/>
    <w:rsid w:val="00A9461D"/>
    <w:rsid w:val="00AA1259"/>
    <w:rsid w:val="00AA218A"/>
    <w:rsid w:val="00AB5142"/>
    <w:rsid w:val="00AC614D"/>
    <w:rsid w:val="00AD2CA1"/>
    <w:rsid w:val="00AD61C2"/>
    <w:rsid w:val="00AE548F"/>
    <w:rsid w:val="00B00BCA"/>
    <w:rsid w:val="00B05444"/>
    <w:rsid w:val="00B058E3"/>
    <w:rsid w:val="00B0678D"/>
    <w:rsid w:val="00B07144"/>
    <w:rsid w:val="00B11974"/>
    <w:rsid w:val="00B12CF8"/>
    <w:rsid w:val="00B15519"/>
    <w:rsid w:val="00B244B9"/>
    <w:rsid w:val="00B27178"/>
    <w:rsid w:val="00B3476A"/>
    <w:rsid w:val="00B36BED"/>
    <w:rsid w:val="00B41CE5"/>
    <w:rsid w:val="00B42E81"/>
    <w:rsid w:val="00B43ABC"/>
    <w:rsid w:val="00B4711F"/>
    <w:rsid w:val="00B47199"/>
    <w:rsid w:val="00B51125"/>
    <w:rsid w:val="00B52CDF"/>
    <w:rsid w:val="00B612E7"/>
    <w:rsid w:val="00B62371"/>
    <w:rsid w:val="00B646D6"/>
    <w:rsid w:val="00B6504A"/>
    <w:rsid w:val="00B65A3B"/>
    <w:rsid w:val="00B65FF3"/>
    <w:rsid w:val="00B731F5"/>
    <w:rsid w:val="00B75627"/>
    <w:rsid w:val="00B7769E"/>
    <w:rsid w:val="00B80A35"/>
    <w:rsid w:val="00B84424"/>
    <w:rsid w:val="00B86CEE"/>
    <w:rsid w:val="00B87498"/>
    <w:rsid w:val="00B90112"/>
    <w:rsid w:val="00B90487"/>
    <w:rsid w:val="00B90BE1"/>
    <w:rsid w:val="00B92246"/>
    <w:rsid w:val="00B927D5"/>
    <w:rsid w:val="00B95BB2"/>
    <w:rsid w:val="00B95EBA"/>
    <w:rsid w:val="00B97868"/>
    <w:rsid w:val="00B979B6"/>
    <w:rsid w:val="00BA1FA3"/>
    <w:rsid w:val="00BA23D8"/>
    <w:rsid w:val="00BA6317"/>
    <w:rsid w:val="00BA7246"/>
    <w:rsid w:val="00BA7889"/>
    <w:rsid w:val="00BB1CB8"/>
    <w:rsid w:val="00BB23EC"/>
    <w:rsid w:val="00BB3F93"/>
    <w:rsid w:val="00BB4AC1"/>
    <w:rsid w:val="00BB4D49"/>
    <w:rsid w:val="00BB524F"/>
    <w:rsid w:val="00BB6439"/>
    <w:rsid w:val="00BB675F"/>
    <w:rsid w:val="00BC24F3"/>
    <w:rsid w:val="00BC3FF4"/>
    <w:rsid w:val="00BC671F"/>
    <w:rsid w:val="00BC79B3"/>
    <w:rsid w:val="00BD17B0"/>
    <w:rsid w:val="00BD3970"/>
    <w:rsid w:val="00BD50AA"/>
    <w:rsid w:val="00BD5735"/>
    <w:rsid w:val="00BD5A47"/>
    <w:rsid w:val="00BE1DA6"/>
    <w:rsid w:val="00BE4FDB"/>
    <w:rsid w:val="00BE55F1"/>
    <w:rsid w:val="00BF4A15"/>
    <w:rsid w:val="00BF6A33"/>
    <w:rsid w:val="00BF7A45"/>
    <w:rsid w:val="00C005B5"/>
    <w:rsid w:val="00C005D8"/>
    <w:rsid w:val="00C00BE3"/>
    <w:rsid w:val="00C04E58"/>
    <w:rsid w:val="00C103CC"/>
    <w:rsid w:val="00C15B3C"/>
    <w:rsid w:val="00C16B89"/>
    <w:rsid w:val="00C20A13"/>
    <w:rsid w:val="00C2215A"/>
    <w:rsid w:val="00C22A46"/>
    <w:rsid w:val="00C23E32"/>
    <w:rsid w:val="00C2463C"/>
    <w:rsid w:val="00C248C1"/>
    <w:rsid w:val="00C24953"/>
    <w:rsid w:val="00C31207"/>
    <w:rsid w:val="00C36515"/>
    <w:rsid w:val="00C407C4"/>
    <w:rsid w:val="00C42FAF"/>
    <w:rsid w:val="00C437E1"/>
    <w:rsid w:val="00C45467"/>
    <w:rsid w:val="00C47123"/>
    <w:rsid w:val="00C54507"/>
    <w:rsid w:val="00C54A87"/>
    <w:rsid w:val="00C57D56"/>
    <w:rsid w:val="00C60B08"/>
    <w:rsid w:val="00C64CE4"/>
    <w:rsid w:val="00C67FA7"/>
    <w:rsid w:val="00C82309"/>
    <w:rsid w:val="00C864DC"/>
    <w:rsid w:val="00C878E5"/>
    <w:rsid w:val="00CA1041"/>
    <w:rsid w:val="00CA1722"/>
    <w:rsid w:val="00CA27C3"/>
    <w:rsid w:val="00CA4711"/>
    <w:rsid w:val="00CA6621"/>
    <w:rsid w:val="00CA6B02"/>
    <w:rsid w:val="00CA6C68"/>
    <w:rsid w:val="00CB18B1"/>
    <w:rsid w:val="00CB2780"/>
    <w:rsid w:val="00CB38CA"/>
    <w:rsid w:val="00CB6F2B"/>
    <w:rsid w:val="00CC1067"/>
    <w:rsid w:val="00CC12D5"/>
    <w:rsid w:val="00CC580E"/>
    <w:rsid w:val="00CC5BA3"/>
    <w:rsid w:val="00CC727D"/>
    <w:rsid w:val="00CD293E"/>
    <w:rsid w:val="00CD3324"/>
    <w:rsid w:val="00CE2505"/>
    <w:rsid w:val="00CE2BEB"/>
    <w:rsid w:val="00CE6480"/>
    <w:rsid w:val="00CE6C6E"/>
    <w:rsid w:val="00CE7090"/>
    <w:rsid w:val="00CF4242"/>
    <w:rsid w:val="00D00E37"/>
    <w:rsid w:val="00D01832"/>
    <w:rsid w:val="00D04723"/>
    <w:rsid w:val="00D110AD"/>
    <w:rsid w:val="00D118CC"/>
    <w:rsid w:val="00D17042"/>
    <w:rsid w:val="00D21C96"/>
    <w:rsid w:val="00D21E1C"/>
    <w:rsid w:val="00D22A12"/>
    <w:rsid w:val="00D2771F"/>
    <w:rsid w:val="00D303DC"/>
    <w:rsid w:val="00D30854"/>
    <w:rsid w:val="00D310CA"/>
    <w:rsid w:val="00D31127"/>
    <w:rsid w:val="00D32EE1"/>
    <w:rsid w:val="00D33258"/>
    <w:rsid w:val="00D40116"/>
    <w:rsid w:val="00D41DF2"/>
    <w:rsid w:val="00D43451"/>
    <w:rsid w:val="00D453BF"/>
    <w:rsid w:val="00D45C7A"/>
    <w:rsid w:val="00D46B40"/>
    <w:rsid w:val="00D46B44"/>
    <w:rsid w:val="00D4735E"/>
    <w:rsid w:val="00D47CC8"/>
    <w:rsid w:val="00D50703"/>
    <w:rsid w:val="00D51372"/>
    <w:rsid w:val="00D56BD6"/>
    <w:rsid w:val="00D60628"/>
    <w:rsid w:val="00D60D98"/>
    <w:rsid w:val="00D737C7"/>
    <w:rsid w:val="00D750F3"/>
    <w:rsid w:val="00D759AC"/>
    <w:rsid w:val="00D76C6E"/>
    <w:rsid w:val="00D80B6D"/>
    <w:rsid w:val="00D80FAF"/>
    <w:rsid w:val="00D83938"/>
    <w:rsid w:val="00D8513A"/>
    <w:rsid w:val="00D85BBB"/>
    <w:rsid w:val="00D93F1C"/>
    <w:rsid w:val="00D94CEA"/>
    <w:rsid w:val="00D95929"/>
    <w:rsid w:val="00D9690A"/>
    <w:rsid w:val="00DA13A4"/>
    <w:rsid w:val="00DA2DAA"/>
    <w:rsid w:val="00DA7B87"/>
    <w:rsid w:val="00DA7DAC"/>
    <w:rsid w:val="00DB0367"/>
    <w:rsid w:val="00DB37EF"/>
    <w:rsid w:val="00DB5F9C"/>
    <w:rsid w:val="00DB63D9"/>
    <w:rsid w:val="00DB6CC3"/>
    <w:rsid w:val="00DB7E77"/>
    <w:rsid w:val="00DC0784"/>
    <w:rsid w:val="00DC0E36"/>
    <w:rsid w:val="00DC20EE"/>
    <w:rsid w:val="00DC30D0"/>
    <w:rsid w:val="00DC3F71"/>
    <w:rsid w:val="00DC5C33"/>
    <w:rsid w:val="00DC5F84"/>
    <w:rsid w:val="00DD154C"/>
    <w:rsid w:val="00DD205C"/>
    <w:rsid w:val="00DD4BDD"/>
    <w:rsid w:val="00DD6E74"/>
    <w:rsid w:val="00DE5847"/>
    <w:rsid w:val="00DE69CC"/>
    <w:rsid w:val="00DF04DA"/>
    <w:rsid w:val="00DF1FFF"/>
    <w:rsid w:val="00DF6AE1"/>
    <w:rsid w:val="00DF72D4"/>
    <w:rsid w:val="00E00DC6"/>
    <w:rsid w:val="00E02292"/>
    <w:rsid w:val="00E02ED1"/>
    <w:rsid w:val="00E05471"/>
    <w:rsid w:val="00E05804"/>
    <w:rsid w:val="00E058A3"/>
    <w:rsid w:val="00E151F3"/>
    <w:rsid w:val="00E15A82"/>
    <w:rsid w:val="00E17539"/>
    <w:rsid w:val="00E2306C"/>
    <w:rsid w:val="00E32181"/>
    <w:rsid w:val="00E42296"/>
    <w:rsid w:val="00E44495"/>
    <w:rsid w:val="00E52C11"/>
    <w:rsid w:val="00E57F9B"/>
    <w:rsid w:val="00E6319B"/>
    <w:rsid w:val="00E63BFA"/>
    <w:rsid w:val="00E64D70"/>
    <w:rsid w:val="00E6726D"/>
    <w:rsid w:val="00E67581"/>
    <w:rsid w:val="00E7333B"/>
    <w:rsid w:val="00E744BC"/>
    <w:rsid w:val="00E81433"/>
    <w:rsid w:val="00E81C95"/>
    <w:rsid w:val="00E85297"/>
    <w:rsid w:val="00E852A3"/>
    <w:rsid w:val="00E854FA"/>
    <w:rsid w:val="00E855B1"/>
    <w:rsid w:val="00E85B77"/>
    <w:rsid w:val="00E909E2"/>
    <w:rsid w:val="00E92A9E"/>
    <w:rsid w:val="00E97A43"/>
    <w:rsid w:val="00EA0C1C"/>
    <w:rsid w:val="00EA23EC"/>
    <w:rsid w:val="00EA2EF1"/>
    <w:rsid w:val="00EA3BA2"/>
    <w:rsid w:val="00EA477A"/>
    <w:rsid w:val="00EB1F74"/>
    <w:rsid w:val="00EB6810"/>
    <w:rsid w:val="00EB7AB1"/>
    <w:rsid w:val="00EC039E"/>
    <w:rsid w:val="00EC2121"/>
    <w:rsid w:val="00EC304A"/>
    <w:rsid w:val="00EC3BD3"/>
    <w:rsid w:val="00EC4F4C"/>
    <w:rsid w:val="00EC6133"/>
    <w:rsid w:val="00EC73D3"/>
    <w:rsid w:val="00EC7F0E"/>
    <w:rsid w:val="00ED0273"/>
    <w:rsid w:val="00ED10B9"/>
    <w:rsid w:val="00ED2D1F"/>
    <w:rsid w:val="00ED58E9"/>
    <w:rsid w:val="00ED79D6"/>
    <w:rsid w:val="00EE1831"/>
    <w:rsid w:val="00EE2EA3"/>
    <w:rsid w:val="00EE6DD8"/>
    <w:rsid w:val="00EF213B"/>
    <w:rsid w:val="00EF2F7C"/>
    <w:rsid w:val="00F00576"/>
    <w:rsid w:val="00F01CBF"/>
    <w:rsid w:val="00F03F85"/>
    <w:rsid w:val="00F056CD"/>
    <w:rsid w:val="00F1101A"/>
    <w:rsid w:val="00F1156B"/>
    <w:rsid w:val="00F123DF"/>
    <w:rsid w:val="00F14155"/>
    <w:rsid w:val="00F14982"/>
    <w:rsid w:val="00F14F6A"/>
    <w:rsid w:val="00F17CF8"/>
    <w:rsid w:val="00F21322"/>
    <w:rsid w:val="00F215FE"/>
    <w:rsid w:val="00F225DC"/>
    <w:rsid w:val="00F23006"/>
    <w:rsid w:val="00F24929"/>
    <w:rsid w:val="00F24AA5"/>
    <w:rsid w:val="00F2598D"/>
    <w:rsid w:val="00F27E5C"/>
    <w:rsid w:val="00F336A2"/>
    <w:rsid w:val="00F338C4"/>
    <w:rsid w:val="00F360BC"/>
    <w:rsid w:val="00F42045"/>
    <w:rsid w:val="00F4472C"/>
    <w:rsid w:val="00F44AEB"/>
    <w:rsid w:val="00F45620"/>
    <w:rsid w:val="00F50CA6"/>
    <w:rsid w:val="00F50E79"/>
    <w:rsid w:val="00F53DEC"/>
    <w:rsid w:val="00F5470D"/>
    <w:rsid w:val="00F55A81"/>
    <w:rsid w:val="00F569B4"/>
    <w:rsid w:val="00F57F9B"/>
    <w:rsid w:val="00F63CCA"/>
    <w:rsid w:val="00F64000"/>
    <w:rsid w:val="00F71092"/>
    <w:rsid w:val="00F7238C"/>
    <w:rsid w:val="00F80EE8"/>
    <w:rsid w:val="00F81DA7"/>
    <w:rsid w:val="00F852D9"/>
    <w:rsid w:val="00F87177"/>
    <w:rsid w:val="00F9173C"/>
    <w:rsid w:val="00F9256E"/>
    <w:rsid w:val="00F967A1"/>
    <w:rsid w:val="00F96EED"/>
    <w:rsid w:val="00F97B53"/>
    <w:rsid w:val="00FA0081"/>
    <w:rsid w:val="00FA00DD"/>
    <w:rsid w:val="00FA1F74"/>
    <w:rsid w:val="00FB062E"/>
    <w:rsid w:val="00FB18D0"/>
    <w:rsid w:val="00FB2ED6"/>
    <w:rsid w:val="00FB3A74"/>
    <w:rsid w:val="00FC00C6"/>
    <w:rsid w:val="00FC02D8"/>
    <w:rsid w:val="00FC1486"/>
    <w:rsid w:val="00FC2522"/>
    <w:rsid w:val="00FC31B6"/>
    <w:rsid w:val="00FC4324"/>
    <w:rsid w:val="00FC5B56"/>
    <w:rsid w:val="00FD4B12"/>
    <w:rsid w:val="00FD7D67"/>
    <w:rsid w:val="00FE494C"/>
    <w:rsid w:val="00FF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1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7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hyperlink" Target="mailto:michaela.sahulova@bcas.cz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header" Target="header4.xml"/><Relationship Id="rId28" Type="http://schemas.openxmlformats.org/officeDocument/2006/relationships/theme" Target="theme/theme1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footer" Target="footer3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kpointy.cz/" TargetMode="External"/><Relationship Id="rId2" Type="http://schemas.openxmlformats.org/officeDocument/2006/relationships/hyperlink" Target="http://www.realityspolu.cz" TargetMode="External"/><Relationship Id="rId1" Type="http://schemas.openxmlformats.org/officeDocument/2006/relationships/hyperlink" Target="http://www.realityspolu.cz" TargetMode="External"/><Relationship Id="rId6" Type="http://schemas.openxmlformats.org/officeDocument/2006/relationships/hyperlink" Target="http://www.bcas.cz/" TargetMode="External"/><Relationship Id="rId5" Type="http://schemas.openxmlformats.org/officeDocument/2006/relationships/hyperlink" Target="http://www.bcas.cz/" TargetMode="External"/><Relationship Id="rId4" Type="http://schemas.openxmlformats.org/officeDocument/2006/relationships/hyperlink" Target="http://www.okpointy.cz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64FFC-9363-4486-98BE-3D2D1BAC5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1283</TotalTime>
  <Pages>3</Pages>
  <Words>943</Words>
  <Characters>5565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Michaela Sahulová</cp:lastModifiedBy>
  <cp:revision>49</cp:revision>
  <dcterms:created xsi:type="dcterms:W3CDTF">2023-01-09T21:14:00Z</dcterms:created>
  <dcterms:modified xsi:type="dcterms:W3CDTF">2023-01-13T09:20:00Z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