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10255C90"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C0488B"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B6F0DF" w14:textId="718B2D99" w:rsidR="00AC1E03" w:rsidRDefault="008C7230" w:rsidP="00562DBA">
      <w:pPr>
        <w:jc w:val="center"/>
        <w:rPr>
          <w:rFonts w:ascii="Arial" w:hAnsi="Arial" w:cs="Arial"/>
          <w:b/>
          <w:sz w:val="30"/>
          <w:szCs w:val="30"/>
        </w:rPr>
      </w:pPr>
      <w:r w:rsidRPr="00551D82">
        <w:rPr>
          <w:rFonts w:ascii="Arial" w:hAnsi="Arial" w:cs="Arial"/>
          <w:b/>
          <w:sz w:val="30"/>
          <w:szCs w:val="30"/>
        </w:rPr>
        <w:t xml:space="preserve">Říjen pokračoval v mírném zdražování </w:t>
      </w:r>
      <w:r>
        <w:rPr>
          <w:rFonts w:ascii="Arial" w:hAnsi="Arial" w:cs="Arial"/>
          <w:b/>
          <w:sz w:val="30"/>
          <w:szCs w:val="30"/>
        </w:rPr>
        <w:t>povinného ručení</w:t>
      </w:r>
    </w:p>
    <w:p w14:paraId="03613CAC" w14:textId="77777777" w:rsidR="008C7230" w:rsidRPr="00A3163A" w:rsidRDefault="008C7230" w:rsidP="00562DBA">
      <w:pPr>
        <w:jc w:val="center"/>
        <w:rPr>
          <w:rFonts w:ascii="Arial" w:hAnsi="Arial" w:cs="Arial"/>
          <w:i/>
          <w:sz w:val="20"/>
          <w:szCs w:val="20"/>
        </w:rPr>
      </w:pPr>
    </w:p>
    <w:p w14:paraId="2B5E1A20" w14:textId="77777777" w:rsidR="008C7230" w:rsidRPr="008C7230" w:rsidRDefault="008C7230" w:rsidP="008C7230">
      <w:pPr>
        <w:ind w:right="130"/>
        <w:jc w:val="both"/>
        <w:rPr>
          <w:rFonts w:ascii="Arial" w:hAnsi="Arial" w:cs="Arial"/>
          <w:b/>
          <w:color w:val="000000" w:themeColor="text1"/>
          <w:sz w:val="21"/>
          <w:szCs w:val="21"/>
        </w:rPr>
      </w:pPr>
      <w:r w:rsidRPr="008C7230">
        <w:rPr>
          <w:rFonts w:ascii="Arial" w:hAnsi="Arial" w:cs="Arial"/>
          <w:i/>
          <w:sz w:val="21"/>
          <w:szCs w:val="21"/>
        </w:rPr>
        <w:t xml:space="preserve">Praha, 2. prosince 2022 - </w:t>
      </w:r>
      <w:r w:rsidRPr="008C7230">
        <w:rPr>
          <w:rFonts w:ascii="Arial" w:hAnsi="Arial" w:cs="Arial"/>
          <w:b/>
          <w:color w:val="000000" w:themeColor="text1"/>
          <w:sz w:val="21"/>
          <w:szCs w:val="21"/>
        </w:rPr>
        <w:t xml:space="preserve">Podle říjnových výsledků Broker </w:t>
      </w:r>
      <w:proofErr w:type="spellStart"/>
      <w:r w:rsidRPr="008C7230">
        <w:rPr>
          <w:rFonts w:ascii="Arial" w:hAnsi="Arial" w:cs="Arial"/>
          <w:b/>
          <w:color w:val="000000" w:themeColor="text1"/>
          <w:sz w:val="21"/>
          <w:szCs w:val="21"/>
        </w:rPr>
        <w:t>Consulting</w:t>
      </w:r>
      <w:proofErr w:type="spellEnd"/>
      <w:r w:rsidRPr="008C7230">
        <w:rPr>
          <w:rFonts w:ascii="Arial" w:hAnsi="Arial" w:cs="Arial"/>
          <w:b/>
          <w:color w:val="000000" w:themeColor="text1"/>
          <w:sz w:val="21"/>
          <w:szCs w:val="21"/>
        </w:rPr>
        <w:t xml:space="preserve"> </w:t>
      </w:r>
      <w:proofErr w:type="spellStart"/>
      <w:r w:rsidRPr="008C7230">
        <w:rPr>
          <w:rFonts w:ascii="Arial" w:hAnsi="Arial" w:cs="Arial"/>
          <w:b/>
          <w:color w:val="000000" w:themeColor="text1"/>
          <w:sz w:val="21"/>
          <w:szCs w:val="21"/>
        </w:rPr>
        <w:t>POVIndexu</w:t>
      </w:r>
      <w:proofErr w:type="spellEnd"/>
      <w:r w:rsidRPr="008C7230">
        <w:rPr>
          <w:rFonts w:ascii="Arial" w:hAnsi="Arial" w:cs="Arial"/>
          <w:b/>
          <w:color w:val="000000" w:themeColor="text1"/>
          <w:sz w:val="21"/>
          <w:szCs w:val="21"/>
        </w:rPr>
        <w:t xml:space="preserve"> se ceny za POV mírně zvýšily. V meziměsíčním srovnání vzrostly o 11 Kč. Průměrná hodnota povinného ručení tak dosáhla na 6 628 Kč. V Praze se pak tato hodnota dostala na 7 347 Kč.</w:t>
      </w:r>
    </w:p>
    <w:p w14:paraId="541D00FC" w14:textId="77777777" w:rsidR="008C7230" w:rsidRDefault="008C7230" w:rsidP="008C7230">
      <w:pPr>
        <w:ind w:right="130"/>
        <w:jc w:val="both"/>
        <w:rPr>
          <w:rFonts w:ascii="Arial" w:hAnsi="Arial" w:cs="Arial"/>
          <w:b/>
          <w:color w:val="000000" w:themeColor="text1"/>
        </w:rPr>
      </w:pPr>
    </w:p>
    <w:p w14:paraId="77BBA8B2" w14:textId="77777777" w:rsidR="008C7230" w:rsidRPr="00551900" w:rsidRDefault="008C7230" w:rsidP="008C7230">
      <w:pPr>
        <w:ind w:right="130"/>
        <w:jc w:val="both"/>
        <w:rPr>
          <w:rFonts w:ascii="Arial" w:hAnsi="Arial" w:cs="Arial"/>
          <w:color w:val="000000" w:themeColor="text1"/>
          <w:sz w:val="20"/>
          <w:szCs w:val="20"/>
        </w:rPr>
      </w:pPr>
      <w:r w:rsidRPr="002B6172">
        <w:rPr>
          <w:rFonts w:ascii="Arial" w:hAnsi="Arial" w:cs="Arial"/>
          <w:color w:val="000000" w:themeColor="text1"/>
          <w:sz w:val="20"/>
          <w:szCs w:val="20"/>
        </w:rPr>
        <w:t xml:space="preserve">Již tři měsíce po sobě </w:t>
      </w:r>
      <w:r>
        <w:rPr>
          <w:rFonts w:ascii="Arial" w:hAnsi="Arial" w:cs="Arial"/>
          <w:color w:val="000000" w:themeColor="text1"/>
          <w:sz w:val="20"/>
          <w:szCs w:val="20"/>
        </w:rPr>
        <w:t xml:space="preserve">hodnota </w:t>
      </w:r>
      <w:proofErr w:type="spellStart"/>
      <w:r>
        <w:rPr>
          <w:rFonts w:ascii="Arial" w:hAnsi="Arial" w:cs="Arial"/>
          <w:color w:val="000000" w:themeColor="text1"/>
          <w:sz w:val="20"/>
          <w:szCs w:val="20"/>
        </w:rPr>
        <w:t>POVIndexu</w:t>
      </w:r>
      <w:proofErr w:type="spellEnd"/>
      <w:r>
        <w:rPr>
          <w:rFonts w:ascii="Arial" w:hAnsi="Arial" w:cs="Arial"/>
          <w:color w:val="000000" w:themeColor="text1"/>
          <w:sz w:val="20"/>
          <w:szCs w:val="20"/>
        </w:rPr>
        <w:t xml:space="preserve"> roste. V říjnu tak bylo možné sjednat si pojištění odpovědnosti za škody způsobené provozem vozidla v průměru za cenu 6 628 Kč. To je ve srovnání se stejným obdobím před rokem o 184 Kč méně. Meziměsíčně se však tato cena zvedla o 11 Kč. </w:t>
      </w:r>
      <w:r>
        <w:rPr>
          <w:rFonts w:ascii="Arial" w:hAnsi="Arial" w:cs="Arial"/>
          <w:sz w:val="20"/>
          <w:szCs w:val="20"/>
        </w:rPr>
        <w:t xml:space="preserve">Porovnáme-li vývoj </w:t>
      </w:r>
      <w:proofErr w:type="spellStart"/>
      <w:r>
        <w:rPr>
          <w:rFonts w:ascii="Arial" w:hAnsi="Arial" w:cs="Arial"/>
          <w:sz w:val="20"/>
          <w:szCs w:val="20"/>
        </w:rPr>
        <w:t>POVIndexu</w:t>
      </w:r>
      <w:proofErr w:type="spellEnd"/>
      <w:r>
        <w:rPr>
          <w:rFonts w:ascii="Arial" w:hAnsi="Arial" w:cs="Arial"/>
          <w:sz w:val="20"/>
          <w:szCs w:val="20"/>
        </w:rPr>
        <w:t xml:space="preserve"> v měsíci říjnu za celé sledované období, nejvyšších hodnot tento ukazatel dosahoval v říjnu roku 2019, kdy se dostal až na 7 653 Kč. </w:t>
      </w:r>
    </w:p>
    <w:p w14:paraId="7543BD1B" w14:textId="77777777" w:rsidR="008C7230" w:rsidRDefault="008C7230" w:rsidP="008C7230">
      <w:pPr>
        <w:ind w:right="130"/>
        <w:jc w:val="both"/>
        <w:rPr>
          <w:rFonts w:ascii="Arial" w:hAnsi="Arial" w:cs="Arial"/>
          <w:sz w:val="20"/>
          <w:szCs w:val="20"/>
        </w:rPr>
      </w:pPr>
    </w:p>
    <w:p w14:paraId="42BAAC2B" w14:textId="77777777" w:rsidR="008C7230" w:rsidRDefault="008C7230" w:rsidP="008C7230">
      <w:pPr>
        <w:jc w:val="both"/>
        <w:rPr>
          <w:rFonts w:ascii="Arial" w:hAnsi="Arial" w:cs="Arial"/>
          <w:sz w:val="20"/>
          <w:szCs w:val="20"/>
        </w:rPr>
      </w:pPr>
      <w:r>
        <w:rPr>
          <w:rFonts w:ascii="Arial" w:hAnsi="Arial" w:cs="Arial"/>
          <w:color w:val="000000" w:themeColor="text1"/>
          <w:sz w:val="20"/>
          <w:szCs w:val="20"/>
        </w:rPr>
        <w:t>K hlavním faktorům, které o výši povinného ručení rozhodují, patří zejména</w:t>
      </w:r>
      <w:r w:rsidRPr="005B32C5">
        <w:rPr>
          <w:rFonts w:ascii="Arial" w:hAnsi="Arial" w:cs="Arial"/>
          <w:color w:val="000000" w:themeColor="text1"/>
          <w:sz w:val="20"/>
          <w:szCs w:val="20"/>
        </w:rPr>
        <w:t xml:space="preserve"> technické parametry vozidla</w:t>
      </w:r>
      <w:r>
        <w:rPr>
          <w:rFonts w:ascii="Arial" w:hAnsi="Arial" w:cs="Arial"/>
          <w:color w:val="000000" w:themeColor="text1"/>
          <w:sz w:val="20"/>
          <w:szCs w:val="20"/>
        </w:rPr>
        <w:t>, jako je</w:t>
      </w:r>
      <w:r w:rsidRPr="005B32C5">
        <w:rPr>
          <w:rFonts w:ascii="Arial" w:hAnsi="Arial" w:cs="Arial"/>
          <w:color w:val="000000" w:themeColor="text1"/>
          <w:sz w:val="20"/>
          <w:szCs w:val="20"/>
        </w:rPr>
        <w:t xml:space="preserve"> typ vozu, kubatura, rok výroby, značka nebo způsob užívání vozu. </w:t>
      </w:r>
      <w:r>
        <w:rPr>
          <w:rFonts w:ascii="Arial" w:hAnsi="Arial" w:cs="Arial"/>
          <w:color w:val="000000" w:themeColor="text1"/>
          <w:sz w:val="20"/>
          <w:szCs w:val="20"/>
        </w:rPr>
        <w:t>V ceně</w:t>
      </w:r>
      <w:r w:rsidRPr="005B32C5">
        <w:rPr>
          <w:rFonts w:ascii="Arial" w:hAnsi="Arial" w:cs="Arial"/>
          <w:color w:val="000000" w:themeColor="text1"/>
          <w:sz w:val="20"/>
          <w:szCs w:val="20"/>
        </w:rPr>
        <w:t xml:space="preserve"> pojistného </w:t>
      </w:r>
      <w:r>
        <w:rPr>
          <w:rFonts w:ascii="Arial" w:hAnsi="Arial" w:cs="Arial"/>
          <w:color w:val="000000" w:themeColor="text1"/>
          <w:sz w:val="20"/>
          <w:szCs w:val="20"/>
        </w:rPr>
        <w:t>se odráží rovněž</w:t>
      </w:r>
      <w:r w:rsidRPr="005B32C5">
        <w:rPr>
          <w:rFonts w:ascii="Arial" w:hAnsi="Arial" w:cs="Arial"/>
          <w:color w:val="000000" w:themeColor="text1"/>
          <w:sz w:val="20"/>
          <w:szCs w:val="20"/>
        </w:rPr>
        <w:t xml:space="preserve"> profil řidiče, respektive pojistníka. </w:t>
      </w:r>
      <w:r>
        <w:rPr>
          <w:rFonts w:ascii="Arial" w:hAnsi="Arial" w:cs="Arial"/>
          <w:color w:val="000000" w:themeColor="text1"/>
          <w:sz w:val="20"/>
          <w:szCs w:val="20"/>
        </w:rPr>
        <w:t>Významnou r</w:t>
      </w:r>
      <w:r w:rsidRPr="005B32C5">
        <w:rPr>
          <w:rFonts w:ascii="Arial" w:hAnsi="Arial" w:cs="Arial"/>
          <w:color w:val="000000" w:themeColor="text1"/>
          <w:sz w:val="20"/>
          <w:szCs w:val="20"/>
        </w:rPr>
        <w:t xml:space="preserve">oli hraje </w:t>
      </w:r>
      <w:r>
        <w:rPr>
          <w:rFonts w:ascii="Arial" w:hAnsi="Arial" w:cs="Arial"/>
          <w:color w:val="000000" w:themeColor="text1"/>
          <w:sz w:val="20"/>
          <w:szCs w:val="20"/>
        </w:rPr>
        <w:t xml:space="preserve">také </w:t>
      </w:r>
      <w:r w:rsidRPr="005B32C5">
        <w:rPr>
          <w:rFonts w:ascii="Arial" w:hAnsi="Arial" w:cs="Arial"/>
          <w:color w:val="000000" w:themeColor="text1"/>
          <w:sz w:val="20"/>
          <w:szCs w:val="20"/>
        </w:rPr>
        <w:t>jeho bydliště</w:t>
      </w:r>
      <w:r>
        <w:rPr>
          <w:rFonts w:ascii="Arial" w:hAnsi="Arial" w:cs="Arial"/>
          <w:color w:val="000000" w:themeColor="text1"/>
          <w:sz w:val="20"/>
          <w:szCs w:val="20"/>
        </w:rPr>
        <w:t xml:space="preserve"> a</w:t>
      </w:r>
      <w:r w:rsidRPr="005B32C5">
        <w:rPr>
          <w:rFonts w:ascii="Arial" w:hAnsi="Arial" w:cs="Arial"/>
          <w:color w:val="000000" w:themeColor="text1"/>
          <w:sz w:val="20"/>
          <w:szCs w:val="20"/>
        </w:rPr>
        <w:t xml:space="preserve"> věk</w:t>
      </w:r>
      <w:r>
        <w:rPr>
          <w:rFonts w:ascii="Arial" w:hAnsi="Arial" w:cs="Arial"/>
          <w:color w:val="000000" w:themeColor="text1"/>
          <w:sz w:val="20"/>
          <w:szCs w:val="20"/>
        </w:rPr>
        <w:t>.</w:t>
      </w:r>
      <w:r>
        <w:rPr>
          <w:rFonts w:ascii="Arial" w:hAnsi="Arial" w:cs="Arial"/>
          <w:sz w:val="20"/>
          <w:szCs w:val="20"/>
        </w:rPr>
        <w:t xml:space="preserve"> </w:t>
      </w:r>
    </w:p>
    <w:p w14:paraId="0E6BD51A" w14:textId="77777777" w:rsidR="008C7230" w:rsidRDefault="008C7230" w:rsidP="008C7230">
      <w:pPr>
        <w:ind w:right="130"/>
        <w:jc w:val="both"/>
        <w:rPr>
          <w:rFonts w:ascii="Arial" w:hAnsi="Arial" w:cs="Arial"/>
          <w:sz w:val="20"/>
          <w:szCs w:val="20"/>
        </w:rPr>
      </w:pPr>
    </w:p>
    <w:p w14:paraId="59DAF400" w14:textId="77777777" w:rsidR="008C7230" w:rsidRDefault="008C7230" w:rsidP="008C7230">
      <w:pPr>
        <w:ind w:right="130"/>
        <w:jc w:val="both"/>
        <w:rPr>
          <w:rFonts w:ascii="Arial" w:hAnsi="Arial" w:cs="Arial"/>
          <w:sz w:val="20"/>
          <w:szCs w:val="20"/>
        </w:rPr>
      </w:pPr>
      <w:r>
        <w:rPr>
          <w:rFonts w:ascii="Arial" w:hAnsi="Arial" w:cs="Arial"/>
          <w:sz w:val="20"/>
          <w:szCs w:val="20"/>
        </w:rPr>
        <w:t xml:space="preserve">Povinné ručení v Praze je proto také jiné, než jaký je celorepublikový průměr. Letos v říjnu se zde dostalo na hodnotu vyšší, a to na 7 347 Kč. Vývoj situace v menším městě, které je v našem případě zastoupené modelově Benešovem u Prahy, ukazuje, že letos v říjnu zde za povinné ručení řidič v průměru zaplatil jen 5 909 Kč. </w:t>
      </w:r>
    </w:p>
    <w:p w14:paraId="3FCF8EA0" w14:textId="77777777" w:rsidR="008C7230" w:rsidRDefault="008C7230" w:rsidP="008C7230">
      <w:pPr>
        <w:ind w:right="130"/>
        <w:jc w:val="both"/>
        <w:rPr>
          <w:rFonts w:ascii="Arial" w:hAnsi="Arial" w:cs="Arial"/>
          <w:sz w:val="20"/>
          <w:szCs w:val="20"/>
        </w:rPr>
      </w:pPr>
    </w:p>
    <w:p w14:paraId="189F55D0" w14:textId="4B7D8CCB" w:rsidR="008C7230" w:rsidRDefault="008C7230" w:rsidP="008C7230">
      <w:pPr>
        <w:ind w:right="130"/>
        <w:jc w:val="both"/>
        <w:rPr>
          <w:rFonts w:ascii="Arial" w:hAnsi="Arial" w:cs="Arial"/>
          <w:sz w:val="20"/>
          <w:szCs w:val="20"/>
        </w:rPr>
      </w:pPr>
      <w:r>
        <w:rPr>
          <w:rFonts w:ascii="Arial" w:hAnsi="Arial" w:cs="Arial"/>
          <w:sz w:val="20"/>
          <w:szCs w:val="20"/>
        </w:rPr>
        <w:t>„</w:t>
      </w:r>
      <w:r w:rsidRPr="008C618C">
        <w:rPr>
          <w:rFonts w:ascii="Arial" w:hAnsi="Arial" w:cs="Arial"/>
          <w:i/>
          <w:sz w:val="20"/>
          <w:szCs w:val="20"/>
        </w:rPr>
        <w:t xml:space="preserve">Mírné zdražování povinného ručení bude v dalším období nejspíše pokračovat. Vedle toho na trhu dojde nejspíše ke změnám, díky nimž si bude možné až na jeden měsíc rezervovat registrační značku, ještě než se vozidlo zapíše do registru. Dále se počítá s tím, že malý technický průkaz nahradí ten velký. Zjednodušení se má týkat i možnosti přepisu vozidla na jiného majitele či provozovatele. K uvedeným změnám by mělo dojít již od ledna příštího roku. Na druhou stranu od roku 2024 by se povinné ručení mohlo začít uplatňovat rovněž u rychlejších </w:t>
      </w:r>
      <w:proofErr w:type="spellStart"/>
      <w:r w:rsidRPr="008C618C">
        <w:rPr>
          <w:rFonts w:ascii="Arial" w:hAnsi="Arial" w:cs="Arial"/>
          <w:i/>
          <w:sz w:val="20"/>
          <w:szCs w:val="20"/>
        </w:rPr>
        <w:t>elektrokoloběžek</w:t>
      </w:r>
      <w:proofErr w:type="spellEnd"/>
      <w:r w:rsidRPr="008C618C">
        <w:rPr>
          <w:rFonts w:ascii="Arial" w:hAnsi="Arial" w:cs="Arial"/>
          <w:i/>
          <w:sz w:val="20"/>
          <w:szCs w:val="20"/>
        </w:rPr>
        <w:t>. Vymáhání úhrady na viníkovi je totiž v takových případech nyní komplikované</w:t>
      </w:r>
      <w:r>
        <w:rPr>
          <w:rFonts w:ascii="Arial" w:hAnsi="Arial" w:cs="Arial"/>
          <w:sz w:val="20"/>
          <w:szCs w:val="20"/>
        </w:rPr>
        <w:t xml:space="preserve">,“ popisuje aktuální situaci </w:t>
      </w:r>
      <w:r w:rsidRPr="00DF2214">
        <w:rPr>
          <w:rFonts w:ascii="Arial" w:hAnsi="Arial" w:cs="Arial"/>
          <w:b/>
          <w:sz w:val="20"/>
          <w:szCs w:val="20"/>
        </w:rPr>
        <w:t xml:space="preserve">Jiří Váchal, analytik neživotního pojištění společnosti Broker </w:t>
      </w:r>
      <w:proofErr w:type="spellStart"/>
      <w:r w:rsidRPr="00DF2214">
        <w:rPr>
          <w:rFonts w:ascii="Arial" w:hAnsi="Arial" w:cs="Arial"/>
          <w:b/>
          <w:sz w:val="20"/>
          <w:szCs w:val="20"/>
        </w:rPr>
        <w:t>Consulting</w:t>
      </w:r>
      <w:proofErr w:type="spellEnd"/>
      <w:r>
        <w:rPr>
          <w:rFonts w:ascii="Arial" w:hAnsi="Arial" w:cs="Arial"/>
          <w:sz w:val="20"/>
          <w:szCs w:val="20"/>
        </w:rPr>
        <w:t>.</w:t>
      </w:r>
    </w:p>
    <w:p w14:paraId="2A8F1FCA" w14:textId="4FC34C44" w:rsidR="008C7230" w:rsidRDefault="008C7230" w:rsidP="008C7230">
      <w:pPr>
        <w:ind w:right="130"/>
        <w:jc w:val="both"/>
        <w:rPr>
          <w:rFonts w:ascii="Arial" w:hAnsi="Arial" w:cs="Arial"/>
          <w:sz w:val="20"/>
          <w:szCs w:val="20"/>
        </w:rPr>
      </w:pPr>
    </w:p>
    <w:p w14:paraId="1251BC46" w14:textId="645DE34D" w:rsidR="008C7230" w:rsidRDefault="008C7230" w:rsidP="008C7230">
      <w:pPr>
        <w:ind w:right="130"/>
        <w:jc w:val="both"/>
        <w:rPr>
          <w:rFonts w:ascii="Arial" w:hAnsi="Arial" w:cs="Arial"/>
          <w:sz w:val="20"/>
          <w:szCs w:val="20"/>
        </w:rPr>
      </w:pPr>
      <w:r>
        <w:rPr>
          <w:rFonts w:ascii="Arial" w:hAnsi="Arial" w:cs="Arial"/>
          <w:noProof/>
          <w:sz w:val="20"/>
          <w:szCs w:val="20"/>
          <w:lang w:bidi="ar-SA"/>
        </w:rPr>
        <w:drawing>
          <wp:inline distT="0" distB="0" distL="0" distR="0" wp14:anchorId="00E5EF1F" wp14:editId="04D5F41E">
            <wp:extent cx="6654165" cy="2559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POVIndex - říjen 2022.png"/>
                    <pic:cNvPicPr/>
                  </pic:nvPicPr>
                  <pic:blipFill>
                    <a:blip r:embed="rId24">
                      <a:extLst>
                        <a:ext uri="{28A0092B-C50C-407E-A947-70E740481C1C}">
                          <a14:useLocalDpi xmlns:a14="http://schemas.microsoft.com/office/drawing/2010/main" val="0"/>
                        </a:ext>
                      </a:extLst>
                    </a:blip>
                    <a:stretch>
                      <a:fillRect/>
                    </a:stretch>
                  </pic:blipFill>
                  <pic:spPr>
                    <a:xfrm>
                      <a:off x="0" y="0"/>
                      <a:ext cx="6654165" cy="2559050"/>
                    </a:xfrm>
                    <a:prstGeom prst="rect">
                      <a:avLst/>
                    </a:prstGeom>
                  </pic:spPr>
                </pic:pic>
              </a:graphicData>
            </a:graphic>
          </wp:inline>
        </w:drawing>
      </w:r>
    </w:p>
    <w:p w14:paraId="6ACBE6B2" w14:textId="77777777" w:rsidR="008C7230" w:rsidRDefault="008C7230" w:rsidP="008C7230">
      <w:pPr>
        <w:ind w:right="130"/>
        <w:jc w:val="both"/>
        <w:rPr>
          <w:rFonts w:ascii="Arial" w:hAnsi="Arial" w:cs="Arial"/>
          <w:sz w:val="20"/>
          <w:szCs w:val="20"/>
        </w:rPr>
      </w:pPr>
    </w:p>
    <w:p w14:paraId="439B8DF9" w14:textId="0F2CCC44" w:rsidR="0077224E" w:rsidRPr="00625503" w:rsidRDefault="0077224E" w:rsidP="00AD2933">
      <w:pPr>
        <w:jc w:val="center"/>
        <w:rPr>
          <w:rFonts w:ascii="Arial" w:hAnsi="Arial" w:cs="Arial"/>
          <w:color w:val="000000" w:themeColor="text1"/>
          <w:sz w:val="20"/>
          <w:szCs w:val="20"/>
        </w:rPr>
      </w:pPr>
    </w:p>
    <w:p w14:paraId="1F4B2F3E" w14:textId="77777777" w:rsidR="008C7230" w:rsidRPr="008C7230" w:rsidRDefault="008C7230" w:rsidP="008C7230">
      <w:pPr>
        <w:jc w:val="both"/>
        <w:rPr>
          <w:rFonts w:ascii="Arial" w:eastAsia="Times New Roman" w:hAnsi="Arial" w:cs="Arial"/>
          <w:b/>
          <w:sz w:val="20"/>
          <w:szCs w:val="20"/>
        </w:rPr>
      </w:pPr>
      <w:r w:rsidRPr="008C7230">
        <w:rPr>
          <w:rFonts w:ascii="Arial" w:eastAsia="Times New Roman" w:hAnsi="Arial" w:cs="Arial"/>
          <w:b/>
          <w:sz w:val="20"/>
          <w:szCs w:val="20"/>
        </w:rPr>
        <w:t xml:space="preserve">Povinné ručení by mohlo platit také pro </w:t>
      </w:r>
      <w:proofErr w:type="spellStart"/>
      <w:r w:rsidRPr="008C7230">
        <w:rPr>
          <w:rFonts w:ascii="Arial" w:eastAsia="Times New Roman" w:hAnsi="Arial" w:cs="Arial"/>
          <w:b/>
          <w:sz w:val="20"/>
          <w:szCs w:val="20"/>
        </w:rPr>
        <w:t>elektrokoloběžky</w:t>
      </w:r>
      <w:proofErr w:type="spellEnd"/>
    </w:p>
    <w:p w14:paraId="226032DE" w14:textId="77777777" w:rsidR="008C7230" w:rsidRDefault="008C7230" w:rsidP="008C7230">
      <w:pPr>
        <w:jc w:val="both"/>
        <w:rPr>
          <w:rFonts w:ascii="Arial" w:eastAsia="Times New Roman" w:hAnsi="Arial" w:cs="Arial"/>
          <w:sz w:val="20"/>
          <w:szCs w:val="20"/>
        </w:rPr>
      </w:pPr>
    </w:p>
    <w:p w14:paraId="5F8C4437" w14:textId="77777777" w:rsidR="008C7230" w:rsidRDefault="008C7230" w:rsidP="008C7230">
      <w:pPr>
        <w:jc w:val="both"/>
        <w:rPr>
          <w:rFonts w:ascii="Arial" w:eastAsia="Times New Roman" w:hAnsi="Arial" w:cs="Arial"/>
          <w:sz w:val="20"/>
          <w:szCs w:val="20"/>
        </w:rPr>
      </w:pPr>
      <w:proofErr w:type="spellStart"/>
      <w:r>
        <w:rPr>
          <w:rFonts w:ascii="Arial" w:eastAsia="Times New Roman" w:hAnsi="Arial" w:cs="Arial"/>
          <w:sz w:val="20"/>
          <w:szCs w:val="20"/>
        </w:rPr>
        <w:t>Elektrokoloběžky</w:t>
      </w:r>
      <w:proofErr w:type="spellEnd"/>
      <w:r>
        <w:rPr>
          <w:rFonts w:ascii="Arial" w:eastAsia="Times New Roman" w:hAnsi="Arial" w:cs="Arial"/>
          <w:sz w:val="20"/>
          <w:szCs w:val="20"/>
        </w:rPr>
        <w:t xml:space="preserve"> se staly současným městským trendem. Odhaduje se, že v České republice jezdí přes 400 000 elektrických koloběžek. A jak je to s povinným ručením? </w:t>
      </w:r>
    </w:p>
    <w:p w14:paraId="2321DC75" w14:textId="77777777" w:rsidR="008C7230" w:rsidRDefault="008C7230" w:rsidP="008C7230">
      <w:pPr>
        <w:jc w:val="both"/>
        <w:rPr>
          <w:rFonts w:ascii="Arial" w:eastAsia="Times New Roman" w:hAnsi="Arial" w:cs="Arial"/>
          <w:sz w:val="20"/>
          <w:szCs w:val="20"/>
        </w:rPr>
      </w:pPr>
    </w:p>
    <w:p w14:paraId="58BDE3A6" w14:textId="60A35191" w:rsidR="008C7230" w:rsidRDefault="008C7230" w:rsidP="008C7230">
      <w:pPr>
        <w:jc w:val="both"/>
        <w:rPr>
          <w:rFonts w:ascii="Arial" w:eastAsia="Times New Roman" w:hAnsi="Arial" w:cs="Arial"/>
          <w:sz w:val="20"/>
          <w:szCs w:val="20"/>
        </w:rPr>
      </w:pPr>
      <w:r>
        <w:rPr>
          <w:rFonts w:ascii="Arial" w:eastAsia="Times New Roman" w:hAnsi="Arial" w:cs="Arial"/>
          <w:sz w:val="20"/>
          <w:szCs w:val="20"/>
        </w:rPr>
        <w:t xml:space="preserve">V současné době povinné ručení </w:t>
      </w:r>
      <w:proofErr w:type="spellStart"/>
      <w:r>
        <w:rPr>
          <w:rFonts w:ascii="Arial" w:eastAsia="Times New Roman" w:hAnsi="Arial" w:cs="Arial"/>
          <w:sz w:val="20"/>
          <w:szCs w:val="20"/>
        </w:rPr>
        <w:t>elektrokoloběžka</w:t>
      </w:r>
      <w:proofErr w:type="spellEnd"/>
      <w:r>
        <w:rPr>
          <w:rFonts w:ascii="Arial" w:eastAsia="Times New Roman" w:hAnsi="Arial" w:cs="Arial"/>
          <w:sz w:val="20"/>
          <w:szCs w:val="20"/>
        </w:rPr>
        <w:t xml:space="preserve"> mít nemusí. Již brzy by vše mělo být ale jinak. </w:t>
      </w:r>
      <w:proofErr w:type="spellStart"/>
      <w:r>
        <w:rPr>
          <w:rFonts w:ascii="Arial" w:eastAsia="Times New Roman" w:hAnsi="Arial" w:cs="Arial"/>
          <w:sz w:val="20"/>
          <w:szCs w:val="20"/>
        </w:rPr>
        <w:t>Elektrokoloběžky</w:t>
      </w:r>
      <w:proofErr w:type="spellEnd"/>
      <w:r>
        <w:rPr>
          <w:rFonts w:ascii="Arial" w:eastAsia="Times New Roman" w:hAnsi="Arial" w:cs="Arial"/>
          <w:sz w:val="20"/>
          <w:szCs w:val="20"/>
        </w:rPr>
        <w:t xml:space="preserve"> se totiž dělí na několik typů. Podle směrnice Evropského parlamentu a Rady budou muset mít povinné ručení od roku 2024 ty </w:t>
      </w:r>
      <w:proofErr w:type="spellStart"/>
      <w:r>
        <w:rPr>
          <w:rFonts w:ascii="Arial" w:eastAsia="Times New Roman" w:hAnsi="Arial" w:cs="Arial"/>
          <w:sz w:val="20"/>
          <w:szCs w:val="20"/>
        </w:rPr>
        <w:t>elektrokoloběžky</w:t>
      </w:r>
      <w:proofErr w:type="spellEnd"/>
      <w:r>
        <w:rPr>
          <w:rFonts w:ascii="Arial" w:eastAsia="Times New Roman" w:hAnsi="Arial" w:cs="Arial"/>
          <w:sz w:val="20"/>
          <w:szCs w:val="20"/>
        </w:rPr>
        <w:t xml:space="preserve">, které dosahují rychlost přes 25 kilometrů v hodině. </w:t>
      </w:r>
    </w:p>
    <w:p w14:paraId="07D3320C" w14:textId="77777777" w:rsidR="008C7230" w:rsidRDefault="008C7230" w:rsidP="008C7230">
      <w:pPr>
        <w:jc w:val="both"/>
        <w:rPr>
          <w:rFonts w:ascii="Arial" w:eastAsia="Times New Roman" w:hAnsi="Arial" w:cs="Arial"/>
          <w:sz w:val="20"/>
          <w:szCs w:val="20"/>
        </w:rPr>
      </w:pPr>
    </w:p>
    <w:p w14:paraId="7B2F6954" w14:textId="566823BA" w:rsidR="008C7230" w:rsidRDefault="008C7230" w:rsidP="008C7230">
      <w:pPr>
        <w:jc w:val="both"/>
        <w:rPr>
          <w:rFonts w:ascii="Arial" w:hAnsi="Arial" w:cs="Arial"/>
          <w:sz w:val="20"/>
          <w:szCs w:val="20"/>
        </w:rPr>
      </w:pPr>
      <w:r w:rsidRPr="005951EF">
        <w:rPr>
          <w:rFonts w:ascii="Arial" w:hAnsi="Arial" w:cs="Arial"/>
          <w:sz w:val="20"/>
          <w:szCs w:val="20"/>
        </w:rPr>
        <w:t xml:space="preserve">A k čemu by pojištění mělo sloužit? Povinné ručení </w:t>
      </w:r>
      <w:proofErr w:type="spellStart"/>
      <w:r w:rsidRPr="005951EF">
        <w:rPr>
          <w:rFonts w:ascii="Arial" w:hAnsi="Arial" w:cs="Arial"/>
          <w:sz w:val="20"/>
          <w:szCs w:val="20"/>
        </w:rPr>
        <w:t>elektrokoloběžek</w:t>
      </w:r>
      <w:proofErr w:type="spellEnd"/>
      <w:r w:rsidRPr="005951EF">
        <w:rPr>
          <w:rFonts w:ascii="Arial" w:hAnsi="Arial" w:cs="Arial"/>
          <w:sz w:val="20"/>
          <w:szCs w:val="20"/>
        </w:rPr>
        <w:t xml:space="preserve"> má zpřehlednit vyplácení odškodnění. Např</w:t>
      </w:r>
      <w:r>
        <w:rPr>
          <w:rFonts w:ascii="Arial" w:hAnsi="Arial" w:cs="Arial"/>
          <w:sz w:val="20"/>
          <w:szCs w:val="20"/>
        </w:rPr>
        <w:t>íklad</w:t>
      </w:r>
      <w:r w:rsidRPr="005951EF">
        <w:rPr>
          <w:rFonts w:ascii="Arial" w:hAnsi="Arial" w:cs="Arial"/>
          <w:sz w:val="20"/>
          <w:szCs w:val="20"/>
        </w:rPr>
        <w:t xml:space="preserve"> pokud jezdec na </w:t>
      </w:r>
      <w:proofErr w:type="spellStart"/>
      <w:r w:rsidRPr="005951EF">
        <w:rPr>
          <w:rFonts w:ascii="Arial" w:hAnsi="Arial" w:cs="Arial"/>
          <w:sz w:val="20"/>
          <w:szCs w:val="20"/>
        </w:rPr>
        <w:t>elektrokoloběžce</w:t>
      </w:r>
      <w:proofErr w:type="spellEnd"/>
      <w:r w:rsidRPr="005951EF">
        <w:rPr>
          <w:rFonts w:ascii="Arial" w:hAnsi="Arial" w:cs="Arial"/>
          <w:sz w:val="20"/>
          <w:szCs w:val="20"/>
        </w:rPr>
        <w:t xml:space="preserve"> způsobí nehodu, dostane poškozený pojistné plnění z povinné</w:t>
      </w:r>
      <w:r>
        <w:rPr>
          <w:rFonts w:ascii="Arial" w:hAnsi="Arial" w:cs="Arial"/>
          <w:sz w:val="20"/>
          <w:szCs w:val="20"/>
        </w:rPr>
        <w:t>ho ručení od pojišťovny viníka.</w:t>
      </w:r>
      <w:r>
        <w:rPr>
          <w:rFonts w:ascii="Arial" w:hAnsi="Arial" w:cs="Arial"/>
          <w:sz w:val="20"/>
          <w:szCs w:val="20"/>
        </w:rPr>
        <w:t xml:space="preserve"> </w:t>
      </w:r>
      <w:r>
        <w:rPr>
          <w:rFonts w:ascii="Arial" w:hAnsi="Arial" w:cs="Arial"/>
          <w:sz w:val="20"/>
          <w:szCs w:val="20"/>
        </w:rPr>
        <w:t xml:space="preserve">Viník musí hradit škody, jež se mohou vyšplhat až do výše miliónu korun, i v současnosti. Vymáhání úhrady na viníkovi je však nyní komplikovanější. Poškozený musí po viníkovi vymáhat částku sám. Někdy se tak může i stát, že viník nebude mít dostatek peněz na její pokrytí. Povinné ručení má tento nedostatek vyřešit. </w:t>
      </w:r>
    </w:p>
    <w:p w14:paraId="5B7997FF" w14:textId="77777777" w:rsidR="008C7230" w:rsidRDefault="008C7230" w:rsidP="008C7230">
      <w:pPr>
        <w:jc w:val="both"/>
        <w:rPr>
          <w:rFonts w:ascii="Arial" w:hAnsi="Arial" w:cs="Arial"/>
          <w:sz w:val="20"/>
          <w:szCs w:val="20"/>
        </w:rPr>
      </w:pPr>
    </w:p>
    <w:p w14:paraId="64E8C322" w14:textId="742F73C7" w:rsidR="008C7230" w:rsidRDefault="008C7230" w:rsidP="008C7230">
      <w:pPr>
        <w:pBdr>
          <w:bottom w:val="single" w:sz="4" w:space="1" w:color="auto"/>
        </w:pBdr>
        <w:jc w:val="both"/>
        <w:rPr>
          <w:rFonts w:ascii="Arial" w:hAnsi="Arial" w:cs="Arial"/>
          <w:sz w:val="20"/>
          <w:szCs w:val="20"/>
        </w:rPr>
      </w:pPr>
      <w:r>
        <w:rPr>
          <w:rFonts w:ascii="Arial" w:hAnsi="Arial" w:cs="Arial"/>
          <w:sz w:val="20"/>
          <w:szCs w:val="20"/>
        </w:rPr>
        <w:lastRenderedPageBreak/>
        <w:t xml:space="preserve">Podle pravidel provozu je </w:t>
      </w:r>
      <w:proofErr w:type="spellStart"/>
      <w:r>
        <w:rPr>
          <w:rFonts w:ascii="Arial" w:hAnsi="Arial" w:cs="Arial"/>
          <w:sz w:val="20"/>
          <w:szCs w:val="20"/>
        </w:rPr>
        <w:t>elektokoloběžka</w:t>
      </w:r>
      <w:proofErr w:type="spellEnd"/>
      <w:r>
        <w:rPr>
          <w:rFonts w:ascii="Arial" w:hAnsi="Arial" w:cs="Arial"/>
          <w:sz w:val="20"/>
          <w:szCs w:val="20"/>
        </w:rPr>
        <w:t xml:space="preserve"> ve stejné kategorii jako kolo. Jde tedy z pohledu zákona o řidiče nemotorového vozidla. Legislativa tedy stanovuje maximální výkon 250 W a omezení rychlosti na 25 kilometrů v hodině. Má povolení jet v jízdním pruhu po cyklisty, stezce pro cyklisty, smíšené pro chodce a cyklisty a na silnici při pravém okraji. Nesmí ale jezdit po chodníku a ani přejíždět po přechodu pro chodce. </w:t>
      </w:r>
    </w:p>
    <w:p w14:paraId="5092E6DD" w14:textId="77777777" w:rsidR="008C7230" w:rsidRDefault="008C7230" w:rsidP="008C7230">
      <w:pPr>
        <w:pBdr>
          <w:bottom w:val="single" w:sz="4" w:space="1" w:color="auto"/>
        </w:pBdr>
        <w:rPr>
          <w:rFonts w:ascii="Arial" w:hAnsi="Arial" w:cs="Arial"/>
          <w:sz w:val="20"/>
          <w:szCs w:val="20"/>
        </w:rPr>
      </w:pPr>
    </w:p>
    <w:p w14:paraId="2EAF7B43" w14:textId="0E8A6CD4" w:rsidR="008C7230" w:rsidRDefault="008C7230" w:rsidP="008C7230">
      <w:pPr>
        <w:pBdr>
          <w:bottom w:val="single" w:sz="4" w:space="1" w:color="auto"/>
        </w:pBdr>
        <w:jc w:val="both"/>
        <w:rPr>
          <w:rFonts w:ascii="Arial" w:hAnsi="Arial" w:cs="Arial"/>
          <w:sz w:val="20"/>
          <w:szCs w:val="20"/>
        </w:rPr>
      </w:pPr>
      <w:r>
        <w:rPr>
          <w:rFonts w:ascii="Arial" w:hAnsi="Arial" w:cs="Arial"/>
          <w:sz w:val="20"/>
          <w:szCs w:val="20"/>
        </w:rPr>
        <w:t xml:space="preserve">V případě, že </w:t>
      </w:r>
      <w:proofErr w:type="spellStart"/>
      <w:r>
        <w:rPr>
          <w:rFonts w:ascii="Arial" w:hAnsi="Arial" w:cs="Arial"/>
          <w:sz w:val="20"/>
          <w:szCs w:val="20"/>
        </w:rPr>
        <w:t>elektokoloběžka</w:t>
      </w:r>
      <w:proofErr w:type="spellEnd"/>
      <w:r>
        <w:rPr>
          <w:rFonts w:ascii="Arial" w:hAnsi="Arial" w:cs="Arial"/>
          <w:sz w:val="20"/>
          <w:szCs w:val="20"/>
        </w:rPr>
        <w:t xml:space="preserve"> dosahuje vyššího výkonu než 250 W a vyšší rychlosti než 25 kilometrů za hodinu, je považována za moped, tedy motorové vozidlo. Řidič by měl mít v tom případě nejen platné řidičské oprávnění, ale i homologaci STK, registrační značku a povinné ručení. Nesmí samozřejmě zapomenout ani na helmu se štítem nebo potřebné brýle. </w:t>
      </w:r>
    </w:p>
    <w:p w14:paraId="6F7DB251" w14:textId="77777777" w:rsidR="008C7230" w:rsidRDefault="008C7230" w:rsidP="008C7230">
      <w:pPr>
        <w:pBdr>
          <w:bottom w:val="single" w:sz="4" w:space="1" w:color="auto"/>
        </w:pBdr>
        <w:jc w:val="both"/>
        <w:rPr>
          <w:rFonts w:ascii="Arial" w:hAnsi="Arial" w:cs="Arial"/>
          <w:sz w:val="20"/>
          <w:szCs w:val="20"/>
        </w:rPr>
      </w:pPr>
    </w:p>
    <w:p w14:paraId="4BB3095D" w14:textId="77777777" w:rsidR="008C7230" w:rsidRDefault="008C7230" w:rsidP="006620C8">
      <w:pPr>
        <w:jc w:val="both"/>
        <w:rPr>
          <w:rFonts w:ascii="Arial" w:hAnsi="Arial" w:cs="Arial"/>
          <w:color w:val="000000" w:themeColor="text1"/>
          <w:sz w:val="21"/>
          <w:szCs w:val="21"/>
        </w:rPr>
      </w:pPr>
    </w:p>
    <w:p w14:paraId="3BDF8A87" w14:textId="4FA881DA" w:rsidR="006620C8" w:rsidRPr="008C7230" w:rsidRDefault="00C86EBC" w:rsidP="006620C8">
      <w:pPr>
        <w:jc w:val="both"/>
        <w:rPr>
          <w:rFonts w:ascii="Arial" w:hAnsi="Arial" w:cs="Arial"/>
          <w:color w:val="000000" w:themeColor="text1"/>
          <w:sz w:val="20"/>
          <w:szCs w:val="20"/>
        </w:rPr>
      </w:pP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8C7230">
        <w:rPr>
          <w:rFonts w:ascii="Arial" w:hAnsi="Arial" w:cs="Arial"/>
          <w:color w:val="000000" w:themeColor="text1"/>
          <w:sz w:val="20"/>
          <w:szCs w:val="20"/>
        </w:rPr>
        <w:t>Consulting</w:t>
      </w:r>
      <w:proofErr w:type="spellEnd"/>
      <w:r w:rsidRPr="008C7230">
        <w:rPr>
          <w:rFonts w:ascii="Arial" w:hAnsi="Arial" w:cs="Arial"/>
          <w:color w:val="000000" w:themeColor="text1"/>
          <w:sz w:val="20"/>
          <w:szCs w:val="20"/>
        </w:rPr>
        <w:t xml:space="preserve">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je počítán odlišnou metodikou, než jako používá ČKP. Pro vizualizaci je zvolena značka vozu Škoda Octavia 1,6 TDI, 85 kW.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8C7230">
        <w:rPr>
          <w:rFonts w:ascii="Arial" w:hAnsi="Arial" w:cs="Arial"/>
          <w:color w:val="000000" w:themeColor="text1"/>
          <w:sz w:val="20"/>
          <w:szCs w:val="20"/>
        </w:rPr>
        <w:t>POVIndexu</w:t>
      </w:r>
      <w:proofErr w:type="spellEnd"/>
      <w:r w:rsidRPr="008C7230">
        <w:rPr>
          <w:rFonts w:ascii="Arial" w:hAnsi="Arial" w:cs="Arial"/>
          <w:color w:val="000000" w:themeColor="text1"/>
          <w:sz w:val="20"/>
          <w:szCs w:val="20"/>
        </w:rPr>
        <w:t xml:space="preserve"> sledovat, zda pojišťovny základní sazby u typického vozu spíše zdražují, nebo zlevňují.</w:t>
      </w:r>
    </w:p>
    <w:p w14:paraId="481C9808" w14:textId="77777777" w:rsidR="005B3DDD" w:rsidRPr="008C7230" w:rsidRDefault="005B3DDD" w:rsidP="006620C8">
      <w:pPr>
        <w:jc w:val="both"/>
        <w:rPr>
          <w:rFonts w:ascii="Arial" w:hAnsi="Arial" w:cs="Arial"/>
          <w:color w:val="000000" w:themeColor="text1"/>
          <w:sz w:val="20"/>
          <w:szCs w:val="20"/>
        </w:rPr>
      </w:pPr>
    </w:p>
    <w:p w14:paraId="5D07F572" w14:textId="1A6966C8" w:rsidR="007E0AC1" w:rsidRPr="008C7230" w:rsidRDefault="005B3DDD" w:rsidP="008C7230">
      <w:pPr>
        <w:pStyle w:val="Zkladntext"/>
        <w:spacing w:before="33" w:line="237" w:lineRule="auto"/>
        <w:jc w:val="both"/>
        <w:rPr>
          <w:rFonts w:ascii="Arial" w:hAnsi="Arial" w:cs="Arial"/>
          <w:sz w:val="20"/>
          <w:szCs w:val="20"/>
        </w:rPr>
      </w:pPr>
      <w:r w:rsidRPr="008C7230">
        <w:rPr>
          <w:rFonts w:ascii="Arial" w:hAnsi="Arial" w:cs="Arial"/>
          <w:b/>
          <w:sz w:val="20"/>
          <w:szCs w:val="20"/>
        </w:rPr>
        <w:t xml:space="preserve">Broker </w:t>
      </w:r>
      <w:proofErr w:type="spellStart"/>
      <w:r w:rsidRPr="008C7230">
        <w:rPr>
          <w:rFonts w:ascii="Arial" w:hAnsi="Arial" w:cs="Arial"/>
          <w:b/>
          <w:sz w:val="20"/>
          <w:szCs w:val="20"/>
        </w:rPr>
        <w:t>Consulting</w:t>
      </w:r>
      <w:proofErr w:type="spellEnd"/>
      <w:r w:rsidRPr="008C7230">
        <w:rPr>
          <w:rFonts w:ascii="Arial" w:hAnsi="Arial" w:cs="Arial"/>
          <w:b/>
          <w:sz w:val="20"/>
          <w:szCs w:val="20"/>
        </w:rPr>
        <w:t xml:space="preserve"> </w:t>
      </w:r>
      <w:proofErr w:type="spellStart"/>
      <w:r w:rsidRPr="008C7230">
        <w:rPr>
          <w:rFonts w:ascii="Arial" w:hAnsi="Arial" w:cs="Arial"/>
          <w:b/>
          <w:sz w:val="20"/>
          <w:szCs w:val="20"/>
        </w:rPr>
        <w:t>POVIndex</w:t>
      </w:r>
      <w:proofErr w:type="spellEnd"/>
      <w:r w:rsidR="00C503A0" w:rsidRPr="008C7230">
        <w:rPr>
          <w:rFonts w:ascii="Arial" w:hAnsi="Arial" w:cs="Arial"/>
          <w:sz w:val="20"/>
          <w:szCs w:val="20"/>
        </w:rPr>
        <w:t xml:space="preserve"> j</w:t>
      </w:r>
      <w:r w:rsidRPr="008C7230">
        <w:rPr>
          <w:rFonts w:ascii="Arial" w:hAnsi="Arial" w:cs="Arial"/>
          <w:sz w:val="20"/>
          <w:szCs w:val="20"/>
        </w:rPr>
        <w:t xml:space="preserve">e založen na odlišné metodice výpočtu, než jakou používá ČKP. Jeho hodnota nevychází z průměru hodnot celé řady veličin, ale z menšího množství parametrů. </w:t>
      </w:r>
      <w:proofErr w:type="spellStart"/>
      <w:r w:rsidRPr="008C7230">
        <w:rPr>
          <w:rFonts w:ascii="Arial" w:hAnsi="Arial" w:cs="Arial"/>
          <w:sz w:val="20"/>
          <w:szCs w:val="20"/>
        </w:rPr>
        <w:t>POVIndex</w:t>
      </w:r>
      <w:proofErr w:type="spellEnd"/>
      <w:r w:rsidRPr="008C7230">
        <w:rPr>
          <w:rFonts w:ascii="Arial" w:hAnsi="Arial" w:cs="Arial"/>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8C7230">
        <w:rPr>
          <w:rFonts w:ascii="Arial" w:hAnsi="Arial" w:cs="Arial"/>
          <w:sz w:val="20"/>
          <w:szCs w:val="20"/>
        </w:rPr>
        <w:t>POVIndexu</w:t>
      </w:r>
      <w:proofErr w:type="spellEnd"/>
      <w:r w:rsidRPr="008C7230">
        <w:rPr>
          <w:rFonts w:ascii="Arial" w:hAnsi="Arial" w:cs="Arial"/>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bookmarkStart w:id="0" w:name="_GoBack"/>
      <w:bookmarkEnd w:id="0"/>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5B3DDD" w:rsidRDefault="00763554" w:rsidP="00AD2933">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6FC0F9F5" w14:textId="3263C638" w:rsidR="004C7BB5" w:rsidRPr="00A1017F" w:rsidRDefault="00866220" w:rsidP="00A1017F">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sectPr w:rsidR="004C7BB5" w:rsidRPr="00A1017F"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CBD67" w14:textId="77777777" w:rsidR="00C0488B" w:rsidRDefault="00C0488B">
      <w:r>
        <w:separator/>
      </w:r>
    </w:p>
  </w:endnote>
  <w:endnote w:type="continuationSeparator" w:id="0">
    <w:p w14:paraId="6F5E14C8" w14:textId="77777777" w:rsidR="00C0488B" w:rsidRDefault="00C0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C0488B"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D57146"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C0488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D5714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C0488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D5714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8629C" w14:textId="77777777" w:rsidR="00C0488B" w:rsidRDefault="00C0488B">
      <w:r>
        <w:separator/>
      </w:r>
    </w:p>
  </w:footnote>
  <w:footnote w:type="continuationSeparator" w:id="0">
    <w:p w14:paraId="68A27531" w14:textId="77777777" w:rsidR="00C0488B" w:rsidRDefault="00C04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10812"/>
    <w:rsid w:val="00014A3B"/>
    <w:rsid w:val="000153FB"/>
    <w:rsid w:val="00015694"/>
    <w:rsid w:val="0002531C"/>
    <w:rsid w:val="000262FD"/>
    <w:rsid w:val="00026F23"/>
    <w:rsid w:val="00031C6E"/>
    <w:rsid w:val="00032AD6"/>
    <w:rsid w:val="00032D94"/>
    <w:rsid w:val="000374D7"/>
    <w:rsid w:val="0004010D"/>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1509"/>
    <w:rsid w:val="00094F77"/>
    <w:rsid w:val="000A06EA"/>
    <w:rsid w:val="000A170E"/>
    <w:rsid w:val="000A6FB0"/>
    <w:rsid w:val="000C1AB4"/>
    <w:rsid w:val="000C32B0"/>
    <w:rsid w:val="000C351D"/>
    <w:rsid w:val="000C38CB"/>
    <w:rsid w:val="000C53D6"/>
    <w:rsid w:val="000C7119"/>
    <w:rsid w:val="000C74BD"/>
    <w:rsid w:val="000D11FB"/>
    <w:rsid w:val="000D133F"/>
    <w:rsid w:val="000D2DDE"/>
    <w:rsid w:val="000D333C"/>
    <w:rsid w:val="000D6870"/>
    <w:rsid w:val="000E21D2"/>
    <w:rsid w:val="000E286C"/>
    <w:rsid w:val="000F1935"/>
    <w:rsid w:val="000F47AE"/>
    <w:rsid w:val="000F56EF"/>
    <w:rsid w:val="000F6249"/>
    <w:rsid w:val="00100869"/>
    <w:rsid w:val="00104FCB"/>
    <w:rsid w:val="00106651"/>
    <w:rsid w:val="00107E00"/>
    <w:rsid w:val="00112F65"/>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3C9F"/>
    <w:rsid w:val="00174394"/>
    <w:rsid w:val="00177E6B"/>
    <w:rsid w:val="0018139F"/>
    <w:rsid w:val="00181E9B"/>
    <w:rsid w:val="001844F8"/>
    <w:rsid w:val="00186E95"/>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2B55"/>
    <w:rsid w:val="001E68DE"/>
    <w:rsid w:val="002108A4"/>
    <w:rsid w:val="00214949"/>
    <w:rsid w:val="00214E98"/>
    <w:rsid w:val="00215EF1"/>
    <w:rsid w:val="002174D5"/>
    <w:rsid w:val="0022642E"/>
    <w:rsid w:val="002333DA"/>
    <w:rsid w:val="0023472C"/>
    <w:rsid w:val="00236B96"/>
    <w:rsid w:val="00237068"/>
    <w:rsid w:val="00237D4E"/>
    <w:rsid w:val="00241313"/>
    <w:rsid w:val="00242251"/>
    <w:rsid w:val="002506AD"/>
    <w:rsid w:val="0025264B"/>
    <w:rsid w:val="002555B1"/>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CB7"/>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830B5"/>
    <w:rsid w:val="00390304"/>
    <w:rsid w:val="0039102F"/>
    <w:rsid w:val="0039395A"/>
    <w:rsid w:val="003A7C59"/>
    <w:rsid w:val="003A7C9A"/>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4CDA"/>
    <w:rsid w:val="0041224F"/>
    <w:rsid w:val="0041452A"/>
    <w:rsid w:val="00415BA7"/>
    <w:rsid w:val="00416F40"/>
    <w:rsid w:val="00417E36"/>
    <w:rsid w:val="00422B4E"/>
    <w:rsid w:val="0042312B"/>
    <w:rsid w:val="0042625B"/>
    <w:rsid w:val="0043207C"/>
    <w:rsid w:val="0043263D"/>
    <w:rsid w:val="004336FA"/>
    <w:rsid w:val="004349B6"/>
    <w:rsid w:val="00436FD5"/>
    <w:rsid w:val="00437639"/>
    <w:rsid w:val="004413A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B4992"/>
    <w:rsid w:val="004B6687"/>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B4C"/>
    <w:rsid w:val="0059081F"/>
    <w:rsid w:val="00592071"/>
    <w:rsid w:val="00595E44"/>
    <w:rsid w:val="00596E22"/>
    <w:rsid w:val="005973B7"/>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33BD"/>
    <w:rsid w:val="00605FAF"/>
    <w:rsid w:val="00606FB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7FBE"/>
    <w:rsid w:val="006C2E50"/>
    <w:rsid w:val="006C53A7"/>
    <w:rsid w:val="006C6246"/>
    <w:rsid w:val="006C7AE7"/>
    <w:rsid w:val="006D5A9A"/>
    <w:rsid w:val="006E1F02"/>
    <w:rsid w:val="006E3397"/>
    <w:rsid w:val="006F11BD"/>
    <w:rsid w:val="006F3882"/>
    <w:rsid w:val="006F4BEB"/>
    <w:rsid w:val="006F6676"/>
    <w:rsid w:val="007123C2"/>
    <w:rsid w:val="007136E6"/>
    <w:rsid w:val="0072349E"/>
    <w:rsid w:val="00724536"/>
    <w:rsid w:val="007253E3"/>
    <w:rsid w:val="007255CD"/>
    <w:rsid w:val="007318BA"/>
    <w:rsid w:val="007334EA"/>
    <w:rsid w:val="00735F36"/>
    <w:rsid w:val="00737025"/>
    <w:rsid w:val="00737A54"/>
    <w:rsid w:val="00737FB2"/>
    <w:rsid w:val="007437EE"/>
    <w:rsid w:val="00746E66"/>
    <w:rsid w:val="0075063F"/>
    <w:rsid w:val="007605C8"/>
    <w:rsid w:val="00763554"/>
    <w:rsid w:val="00764614"/>
    <w:rsid w:val="0076526B"/>
    <w:rsid w:val="007652AE"/>
    <w:rsid w:val="007677BE"/>
    <w:rsid w:val="0077224E"/>
    <w:rsid w:val="00781039"/>
    <w:rsid w:val="007A1136"/>
    <w:rsid w:val="007A5C4C"/>
    <w:rsid w:val="007B0579"/>
    <w:rsid w:val="007B6D97"/>
    <w:rsid w:val="007B7906"/>
    <w:rsid w:val="007D14DF"/>
    <w:rsid w:val="007D22BA"/>
    <w:rsid w:val="007D3AB9"/>
    <w:rsid w:val="007D3C35"/>
    <w:rsid w:val="007D4A60"/>
    <w:rsid w:val="007D7BA6"/>
    <w:rsid w:val="007E0AC1"/>
    <w:rsid w:val="007E30B0"/>
    <w:rsid w:val="007E37C0"/>
    <w:rsid w:val="007E5598"/>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6E01"/>
    <w:rsid w:val="00881B29"/>
    <w:rsid w:val="00882EAC"/>
    <w:rsid w:val="0088428C"/>
    <w:rsid w:val="00884340"/>
    <w:rsid w:val="00887004"/>
    <w:rsid w:val="00892BA9"/>
    <w:rsid w:val="008A04D3"/>
    <w:rsid w:val="008A3D7F"/>
    <w:rsid w:val="008A4334"/>
    <w:rsid w:val="008B3C30"/>
    <w:rsid w:val="008C2161"/>
    <w:rsid w:val="008C3AC7"/>
    <w:rsid w:val="008C5342"/>
    <w:rsid w:val="008C692E"/>
    <w:rsid w:val="008C7230"/>
    <w:rsid w:val="008C7A52"/>
    <w:rsid w:val="008D26CF"/>
    <w:rsid w:val="008D4344"/>
    <w:rsid w:val="008E0C1C"/>
    <w:rsid w:val="008E45B5"/>
    <w:rsid w:val="008E4A71"/>
    <w:rsid w:val="008E5FF5"/>
    <w:rsid w:val="008F30F4"/>
    <w:rsid w:val="008F7F4E"/>
    <w:rsid w:val="00906147"/>
    <w:rsid w:val="009111C1"/>
    <w:rsid w:val="0091561E"/>
    <w:rsid w:val="00915ADA"/>
    <w:rsid w:val="00917467"/>
    <w:rsid w:val="00922831"/>
    <w:rsid w:val="00922872"/>
    <w:rsid w:val="00924030"/>
    <w:rsid w:val="0093538A"/>
    <w:rsid w:val="009362DC"/>
    <w:rsid w:val="00937D6D"/>
    <w:rsid w:val="00937EF5"/>
    <w:rsid w:val="00940EA3"/>
    <w:rsid w:val="00950337"/>
    <w:rsid w:val="009509CC"/>
    <w:rsid w:val="0095216F"/>
    <w:rsid w:val="0095680F"/>
    <w:rsid w:val="00960235"/>
    <w:rsid w:val="009612EF"/>
    <w:rsid w:val="00962D05"/>
    <w:rsid w:val="00963043"/>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14FC"/>
    <w:rsid w:val="00AC1B87"/>
    <w:rsid w:val="00AC1E03"/>
    <w:rsid w:val="00AC3155"/>
    <w:rsid w:val="00AD2933"/>
    <w:rsid w:val="00AD3089"/>
    <w:rsid w:val="00AE4CC4"/>
    <w:rsid w:val="00AE662F"/>
    <w:rsid w:val="00AE7AFA"/>
    <w:rsid w:val="00AF080F"/>
    <w:rsid w:val="00AF0BE0"/>
    <w:rsid w:val="00AF2D1B"/>
    <w:rsid w:val="00AF5FA6"/>
    <w:rsid w:val="00B00B35"/>
    <w:rsid w:val="00B012F6"/>
    <w:rsid w:val="00B03608"/>
    <w:rsid w:val="00B0598D"/>
    <w:rsid w:val="00B066DB"/>
    <w:rsid w:val="00B07063"/>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B36"/>
    <w:rsid w:val="00B6512E"/>
    <w:rsid w:val="00B65A3B"/>
    <w:rsid w:val="00B676E6"/>
    <w:rsid w:val="00B67D59"/>
    <w:rsid w:val="00B708C9"/>
    <w:rsid w:val="00B70A80"/>
    <w:rsid w:val="00B7116F"/>
    <w:rsid w:val="00B714D3"/>
    <w:rsid w:val="00B7285B"/>
    <w:rsid w:val="00B74D65"/>
    <w:rsid w:val="00B777C3"/>
    <w:rsid w:val="00B80003"/>
    <w:rsid w:val="00B81F38"/>
    <w:rsid w:val="00B82BA4"/>
    <w:rsid w:val="00B84690"/>
    <w:rsid w:val="00B86D21"/>
    <w:rsid w:val="00B95EBA"/>
    <w:rsid w:val="00BA29AE"/>
    <w:rsid w:val="00BA6059"/>
    <w:rsid w:val="00BA6DBC"/>
    <w:rsid w:val="00BA7E4C"/>
    <w:rsid w:val="00BB0801"/>
    <w:rsid w:val="00BB5F03"/>
    <w:rsid w:val="00BC1BA1"/>
    <w:rsid w:val="00BC30D1"/>
    <w:rsid w:val="00BC43C3"/>
    <w:rsid w:val="00BD0305"/>
    <w:rsid w:val="00BD18EA"/>
    <w:rsid w:val="00BD25BD"/>
    <w:rsid w:val="00BD26AB"/>
    <w:rsid w:val="00BD4FB4"/>
    <w:rsid w:val="00BD6A7F"/>
    <w:rsid w:val="00BD7095"/>
    <w:rsid w:val="00BE127F"/>
    <w:rsid w:val="00BE34DD"/>
    <w:rsid w:val="00BF0F80"/>
    <w:rsid w:val="00BF1CB0"/>
    <w:rsid w:val="00BF4FA6"/>
    <w:rsid w:val="00C00860"/>
    <w:rsid w:val="00C0488B"/>
    <w:rsid w:val="00C05509"/>
    <w:rsid w:val="00C12B80"/>
    <w:rsid w:val="00C1553C"/>
    <w:rsid w:val="00C16A07"/>
    <w:rsid w:val="00C2196C"/>
    <w:rsid w:val="00C25A49"/>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462C"/>
    <w:rsid w:val="00C85300"/>
    <w:rsid w:val="00C85AB7"/>
    <w:rsid w:val="00C86EBC"/>
    <w:rsid w:val="00C91F7F"/>
    <w:rsid w:val="00CA3FE4"/>
    <w:rsid w:val="00CA5FC8"/>
    <w:rsid w:val="00CB1985"/>
    <w:rsid w:val="00CB7416"/>
    <w:rsid w:val="00CC04E3"/>
    <w:rsid w:val="00CC32D9"/>
    <w:rsid w:val="00CC45E5"/>
    <w:rsid w:val="00CC5BEB"/>
    <w:rsid w:val="00CC7C89"/>
    <w:rsid w:val="00CD1C31"/>
    <w:rsid w:val="00CD3324"/>
    <w:rsid w:val="00CD3C1E"/>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57146"/>
    <w:rsid w:val="00D618AD"/>
    <w:rsid w:val="00D63DD3"/>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AB6"/>
    <w:rsid w:val="00DD1EC1"/>
    <w:rsid w:val="00DE36DE"/>
    <w:rsid w:val="00DE448F"/>
    <w:rsid w:val="00DE75F4"/>
    <w:rsid w:val="00DE7686"/>
    <w:rsid w:val="00DE7CE1"/>
    <w:rsid w:val="00DF006F"/>
    <w:rsid w:val="00DF296C"/>
    <w:rsid w:val="00DF2A53"/>
    <w:rsid w:val="00DF388B"/>
    <w:rsid w:val="00E02125"/>
    <w:rsid w:val="00E04F7B"/>
    <w:rsid w:val="00E121F2"/>
    <w:rsid w:val="00E16FE8"/>
    <w:rsid w:val="00E17539"/>
    <w:rsid w:val="00E24FED"/>
    <w:rsid w:val="00E343B0"/>
    <w:rsid w:val="00E364A9"/>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5578"/>
    <w:rsid w:val="00FE28BC"/>
    <w:rsid w:val="00FE3A27"/>
    <w:rsid w:val="00FE6DB7"/>
    <w:rsid w:val="00FE7E9A"/>
    <w:rsid w:val="00FF3A4B"/>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D06E8-670F-48C0-9B2E-6EF30671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1103</Words>
  <Characters>6512</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dcterms:created xsi:type="dcterms:W3CDTF">2022-12-05T13:14:00Z</dcterms:created>
  <dcterms:modified xsi:type="dcterms:W3CDTF">2022-12-05T13:14:00Z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