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A7C741F"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Pr>
              <w:rFonts w:ascii="Arial" w:hAnsi="Arial" w:cs="Arial"/>
              <w:sz w:val="18"/>
            </w:rPr>
            <w:t xml:space="preserve">přes </w:t>
          </w:r>
          <w:r w:rsidR="002141AF">
            <w:rPr>
              <w:rFonts w:ascii="Arial" w:hAnsi="Arial" w:cs="Arial"/>
              <w:sz w:val="18"/>
            </w:rPr>
            <w:t>4</w:t>
          </w:r>
          <w:r w:rsidR="00C41741">
            <w:rPr>
              <w:rFonts w:ascii="Arial" w:hAnsi="Arial" w:cs="Arial"/>
              <w:sz w:val="18"/>
            </w:rPr>
            <w:t>0</w:t>
          </w:r>
          <w:r w:rsidRPr="00FC2522">
            <w:rPr>
              <w:rFonts w:ascii="Arial" w:hAnsi="Arial" w:cs="Arial"/>
              <w:sz w:val="18"/>
            </w:rPr>
            <w:t xml:space="preserve"> franšízových </w:t>
          </w:r>
          <w:proofErr w:type="spellStart"/>
          <w:r w:rsidRPr="00FC2522">
            <w:rPr>
              <w:rFonts w:ascii="Arial" w:hAnsi="Arial" w:cs="Arial"/>
              <w:sz w:val="18"/>
            </w:rPr>
            <w:t>poboč</w:t>
          </w:r>
          <w:r w:rsidR="00C41741">
            <w:rPr>
              <w:rFonts w:ascii="Arial" w:hAnsi="Arial" w:cs="Arial"/>
              <w:sz w:val="18"/>
            </w:rPr>
            <w:t>eká</w:t>
          </w:r>
          <w:proofErr w:type="spellEnd"/>
          <w:r w:rsidRPr="00FC2522">
            <w:rPr>
              <w:rFonts w:ascii="Arial" w:hAnsi="Arial" w:cs="Arial"/>
              <w:sz w:val="18"/>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CA6098"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6A10485D" w14:textId="538C85AA" w:rsidR="00704D83" w:rsidRDefault="006A5A20" w:rsidP="0053728E">
      <w:pPr>
        <w:rPr>
          <w:rFonts w:ascii="Arial" w:hAnsi="Arial" w:cs="Arial"/>
          <w:b/>
          <w:sz w:val="28"/>
          <w:szCs w:val="28"/>
        </w:rPr>
      </w:pPr>
      <w:r>
        <w:rPr>
          <w:rFonts w:ascii="Arial" w:hAnsi="Arial" w:cs="Arial"/>
          <w:b/>
          <w:sz w:val="28"/>
          <w:szCs w:val="28"/>
        </w:rPr>
        <w:t xml:space="preserve"> </w:t>
      </w:r>
    </w:p>
    <w:p w14:paraId="3A2083EB" w14:textId="37118BE4" w:rsidR="00704D83" w:rsidRDefault="00B13035" w:rsidP="00704D83">
      <w:pPr>
        <w:jc w:val="center"/>
        <w:rPr>
          <w:rFonts w:ascii="Arial" w:hAnsi="Arial" w:cs="Arial"/>
          <w:b/>
          <w:sz w:val="28"/>
          <w:szCs w:val="28"/>
        </w:rPr>
      </w:pPr>
      <w:r>
        <w:rPr>
          <w:rFonts w:ascii="Arial" w:hAnsi="Arial" w:cs="Arial"/>
          <w:b/>
          <w:sz w:val="28"/>
          <w:szCs w:val="28"/>
        </w:rPr>
        <w:t>Sazba úvěru na s</w:t>
      </w:r>
      <w:r w:rsidR="00704D83" w:rsidRPr="00704D83">
        <w:rPr>
          <w:rFonts w:ascii="Arial" w:hAnsi="Arial" w:cs="Arial"/>
          <w:b/>
          <w:sz w:val="28"/>
          <w:szCs w:val="28"/>
        </w:rPr>
        <w:t xml:space="preserve">potřebitelské úvěry </w:t>
      </w:r>
      <w:r>
        <w:rPr>
          <w:rFonts w:ascii="Arial" w:hAnsi="Arial" w:cs="Arial"/>
          <w:b/>
          <w:sz w:val="28"/>
          <w:szCs w:val="28"/>
        </w:rPr>
        <w:t xml:space="preserve">je </w:t>
      </w:r>
      <w:r w:rsidR="006365D5">
        <w:rPr>
          <w:rFonts w:ascii="Arial" w:hAnsi="Arial" w:cs="Arial"/>
          <w:b/>
          <w:sz w:val="28"/>
          <w:szCs w:val="28"/>
        </w:rPr>
        <w:t>po</w:t>
      </w:r>
      <w:r w:rsidR="000276A7">
        <w:rPr>
          <w:rFonts w:ascii="Arial" w:hAnsi="Arial" w:cs="Arial"/>
          <w:b/>
          <w:sz w:val="28"/>
          <w:szCs w:val="28"/>
        </w:rPr>
        <w:t xml:space="preserve"> listopadovém</w:t>
      </w:r>
      <w:r w:rsidR="006365D5">
        <w:rPr>
          <w:rFonts w:ascii="Arial" w:hAnsi="Arial" w:cs="Arial"/>
          <w:b/>
          <w:sz w:val="28"/>
          <w:szCs w:val="28"/>
        </w:rPr>
        <w:t xml:space="preserve"> mírném poklesu nejvyšší za období posledních pěti let</w:t>
      </w:r>
    </w:p>
    <w:p w14:paraId="79AAF9FD" w14:textId="77777777" w:rsidR="00704D83" w:rsidRPr="00704D83" w:rsidRDefault="00704D83" w:rsidP="00704D83">
      <w:pPr>
        <w:jc w:val="center"/>
        <w:rPr>
          <w:rFonts w:ascii="Arial" w:hAnsi="Arial" w:cs="Arial"/>
          <w:b/>
          <w:sz w:val="28"/>
          <w:szCs w:val="28"/>
        </w:rPr>
      </w:pPr>
    </w:p>
    <w:p w14:paraId="0C719F86" w14:textId="77777777" w:rsidR="00704D83" w:rsidRPr="00FD7A3B" w:rsidRDefault="00704D83" w:rsidP="00704D83">
      <w:pPr>
        <w:rPr>
          <w:rFonts w:ascii="Arial" w:hAnsi="Arial" w:cs="Arial"/>
          <w:sz w:val="20"/>
          <w:szCs w:val="20"/>
        </w:rPr>
      </w:pPr>
    </w:p>
    <w:p w14:paraId="2D3E18A6" w14:textId="1A5335C1" w:rsidR="006365D5" w:rsidRDefault="008C3A59" w:rsidP="0053079B">
      <w:pPr>
        <w:jc w:val="both"/>
        <w:rPr>
          <w:rFonts w:ascii="Arial" w:hAnsi="Arial" w:cs="Arial"/>
          <w:b/>
          <w:sz w:val="21"/>
          <w:szCs w:val="21"/>
        </w:rPr>
      </w:pPr>
      <w:r>
        <w:rPr>
          <w:rFonts w:ascii="Arial" w:hAnsi="Arial" w:cs="Arial"/>
          <w:b/>
          <w:sz w:val="21"/>
          <w:szCs w:val="21"/>
        </w:rPr>
        <w:t>Praha,</w:t>
      </w:r>
      <w:r w:rsidR="00232F1A">
        <w:rPr>
          <w:rFonts w:ascii="Arial" w:hAnsi="Arial" w:cs="Arial"/>
          <w:b/>
          <w:sz w:val="21"/>
          <w:szCs w:val="21"/>
        </w:rPr>
        <w:t xml:space="preserve"> 30</w:t>
      </w:r>
      <w:r w:rsidR="0053079B">
        <w:rPr>
          <w:rFonts w:ascii="Arial" w:hAnsi="Arial" w:cs="Arial"/>
          <w:b/>
          <w:sz w:val="21"/>
          <w:szCs w:val="21"/>
        </w:rPr>
        <w:t xml:space="preserve">. </w:t>
      </w:r>
      <w:r w:rsidR="008011E7">
        <w:rPr>
          <w:rFonts w:ascii="Arial" w:hAnsi="Arial" w:cs="Arial"/>
          <w:b/>
          <w:sz w:val="21"/>
          <w:szCs w:val="21"/>
        </w:rPr>
        <w:t xml:space="preserve">prosince 2022 – </w:t>
      </w:r>
      <w:r w:rsidR="00704D83" w:rsidRPr="00704D83">
        <w:rPr>
          <w:rFonts w:ascii="Arial" w:hAnsi="Arial" w:cs="Arial"/>
          <w:b/>
          <w:sz w:val="21"/>
          <w:szCs w:val="21"/>
        </w:rPr>
        <w:t xml:space="preserve">Broker </w:t>
      </w:r>
      <w:proofErr w:type="spellStart"/>
      <w:r w:rsidR="00704D83" w:rsidRPr="00704D83">
        <w:rPr>
          <w:rFonts w:ascii="Arial" w:hAnsi="Arial" w:cs="Arial"/>
          <w:b/>
          <w:sz w:val="21"/>
          <w:szCs w:val="21"/>
        </w:rPr>
        <w:t>Consulting</w:t>
      </w:r>
      <w:proofErr w:type="spellEnd"/>
      <w:r w:rsidR="00704D83" w:rsidRPr="00704D83">
        <w:rPr>
          <w:rFonts w:ascii="Arial" w:hAnsi="Arial" w:cs="Arial"/>
          <w:b/>
          <w:sz w:val="21"/>
          <w:szCs w:val="21"/>
        </w:rPr>
        <w:t xml:space="preserve"> Index spotřebitelských úvěrů </w:t>
      </w:r>
      <w:r w:rsidR="008011E7">
        <w:rPr>
          <w:rFonts w:ascii="Arial" w:hAnsi="Arial" w:cs="Arial"/>
          <w:b/>
          <w:sz w:val="21"/>
          <w:szCs w:val="21"/>
        </w:rPr>
        <w:t>zaznamenal k</w:t>
      </w:r>
      <w:r w:rsidR="009660BD">
        <w:rPr>
          <w:rFonts w:ascii="Arial" w:hAnsi="Arial" w:cs="Arial"/>
          <w:b/>
          <w:sz w:val="21"/>
          <w:szCs w:val="21"/>
        </w:rPr>
        <w:t xml:space="preserve">e konci letošního roku nejdříve </w:t>
      </w:r>
      <w:r w:rsidR="008011E7">
        <w:rPr>
          <w:rFonts w:ascii="Arial" w:hAnsi="Arial" w:cs="Arial"/>
          <w:b/>
          <w:sz w:val="21"/>
          <w:szCs w:val="21"/>
        </w:rPr>
        <w:t>pokles</w:t>
      </w:r>
      <w:r w:rsidR="006365D5">
        <w:rPr>
          <w:rFonts w:ascii="Arial" w:hAnsi="Arial" w:cs="Arial"/>
          <w:b/>
          <w:sz w:val="21"/>
          <w:szCs w:val="21"/>
        </w:rPr>
        <w:t xml:space="preserve"> na 8,94 procenta</w:t>
      </w:r>
      <w:r w:rsidR="008011E7">
        <w:rPr>
          <w:rFonts w:ascii="Arial" w:hAnsi="Arial" w:cs="Arial"/>
          <w:b/>
          <w:sz w:val="21"/>
          <w:szCs w:val="21"/>
        </w:rPr>
        <w:t xml:space="preserve">, aby během prosincového období opět vystoupal a dosáhl tak </w:t>
      </w:r>
      <w:r w:rsidR="006365D5">
        <w:rPr>
          <w:rFonts w:ascii="Arial" w:hAnsi="Arial" w:cs="Arial"/>
          <w:b/>
          <w:sz w:val="21"/>
          <w:szCs w:val="21"/>
        </w:rPr>
        <w:t xml:space="preserve">nejvyšší hodnoty </w:t>
      </w:r>
      <w:r w:rsidR="00232F1A">
        <w:rPr>
          <w:rFonts w:ascii="Arial" w:hAnsi="Arial" w:cs="Arial"/>
          <w:b/>
          <w:sz w:val="21"/>
          <w:szCs w:val="21"/>
        </w:rPr>
        <w:t>za posledních více než pět let, a to</w:t>
      </w:r>
      <w:r w:rsidR="006365D5">
        <w:rPr>
          <w:rFonts w:ascii="Arial" w:hAnsi="Arial" w:cs="Arial"/>
          <w:b/>
          <w:sz w:val="21"/>
          <w:szCs w:val="21"/>
        </w:rPr>
        <w:t xml:space="preserve"> 9,49 proce</w:t>
      </w:r>
      <w:r w:rsidR="00232F1A">
        <w:rPr>
          <w:rFonts w:ascii="Arial" w:hAnsi="Arial" w:cs="Arial"/>
          <w:b/>
          <w:sz w:val="21"/>
          <w:szCs w:val="21"/>
        </w:rPr>
        <w:t xml:space="preserve">nta. Na začátku tohoto roku se </w:t>
      </w:r>
      <w:r w:rsidR="006365D5">
        <w:rPr>
          <w:rFonts w:ascii="Arial" w:hAnsi="Arial" w:cs="Arial"/>
          <w:b/>
          <w:sz w:val="21"/>
          <w:szCs w:val="21"/>
        </w:rPr>
        <w:t xml:space="preserve">přitom </w:t>
      </w:r>
      <w:r w:rsidR="00232F1A">
        <w:rPr>
          <w:rFonts w:ascii="Arial" w:hAnsi="Arial" w:cs="Arial"/>
          <w:b/>
          <w:sz w:val="21"/>
          <w:szCs w:val="21"/>
        </w:rPr>
        <w:t>měřená hodnota indexu pohybovala</w:t>
      </w:r>
      <w:r w:rsidR="006365D5">
        <w:rPr>
          <w:rFonts w:ascii="Arial" w:hAnsi="Arial" w:cs="Arial"/>
          <w:b/>
          <w:sz w:val="21"/>
          <w:szCs w:val="21"/>
        </w:rPr>
        <w:t xml:space="preserve"> o 3,39 procentního bodu níže, než je tomu nyní.</w:t>
      </w:r>
    </w:p>
    <w:p w14:paraId="1AA381F5" w14:textId="03E5449A" w:rsidR="00704D83" w:rsidRPr="0053079B" w:rsidRDefault="00704D83" w:rsidP="0053079B">
      <w:pPr>
        <w:jc w:val="both"/>
        <w:rPr>
          <w:rFonts w:ascii="Arial" w:hAnsi="Arial" w:cs="Arial"/>
          <w:sz w:val="20"/>
          <w:szCs w:val="20"/>
        </w:rPr>
      </w:pPr>
    </w:p>
    <w:p w14:paraId="7625174E" w14:textId="0706BBD4" w:rsidR="00492BA9" w:rsidRDefault="001130B7" w:rsidP="0053079B">
      <w:pPr>
        <w:jc w:val="both"/>
        <w:rPr>
          <w:rFonts w:ascii="Arial" w:hAnsi="Arial" w:cs="Arial"/>
          <w:sz w:val="20"/>
          <w:szCs w:val="20"/>
        </w:rPr>
      </w:pPr>
      <w:r>
        <w:rPr>
          <w:rFonts w:ascii="Arial" w:hAnsi="Arial" w:cs="Arial"/>
          <w:sz w:val="20"/>
          <w:szCs w:val="20"/>
        </w:rPr>
        <w:t xml:space="preserve">Broker </w:t>
      </w:r>
      <w:proofErr w:type="spellStart"/>
      <w:r>
        <w:rPr>
          <w:rFonts w:ascii="Arial" w:hAnsi="Arial" w:cs="Arial"/>
          <w:sz w:val="20"/>
          <w:szCs w:val="20"/>
        </w:rPr>
        <w:t>Consulting</w:t>
      </w:r>
      <w:proofErr w:type="spellEnd"/>
      <w:r>
        <w:rPr>
          <w:rFonts w:ascii="Arial" w:hAnsi="Arial" w:cs="Arial"/>
          <w:sz w:val="20"/>
          <w:szCs w:val="20"/>
        </w:rPr>
        <w:t xml:space="preserve"> Index</w:t>
      </w:r>
      <w:r w:rsidR="00DA073A">
        <w:rPr>
          <w:rFonts w:ascii="Arial" w:hAnsi="Arial" w:cs="Arial"/>
          <w:sz w:val="20"/>
          <w:szCs w:val="20"/>
        </w:rPr>
        <w:t xml:space="preserve"> v listopadu </w:t>
      </w:r>
      <w:r w:rsidR="007F4C72">
        <w:rPr>
          <w:rFonts w:ascii="Arial" w:hAnsi="Arial" w:cs="Arial"/>
          <w:sz w:val="20"/>
          <w:szCs w:val="20"/>
        </w:rPr>
        <w:t>poklesl</w:t>
      </w:r>
      <w:r w:rsidR="00DA073A">
        <w:rPr>
          <w:rFonts w:ascii="Arial" w:hAnsi="Arial" w:cs="Arial"/>
          <w:sz w:val="20"/>
          <w:szCs w:val="20"/>
        </w:rPr>
        <w:t xml:space="preserve"> na 8,94 procenta. Během prosince se však</w:t>
      </w:r>
      <w:r w:rsidR="007F4C72">
        <w:rPr>
          <w:rFonts w:ascii="Arial" w:hAnsi="Arial" w:cs="Arial"/>
          <w:sz w:val="20"/>
          <w:szCs w:val="20"/>
        </w:rPr>
        <w:t xml:space="preserve"> vrátil</w:t>
      </w:r>
      <w:r w:rsidR="00492BA9">
        <w:rPr>
          <w:rFonts w:ascii="Arial" w:hAnsi="Arial" w:cs="Arial"/>
          <w:sz w:val="20"/>
          <w:szCs w:val="20"/>
        </w:rPr>
        <w:t xml:space="preserve"> na vzestupný trend a</w:t>
      </w:r>
      <w:r w:rsidR="00DA073A">
        <w:rPr>
          <w:rFonts w:ascii="Arial" w:hAnsi="Arial" w:cs="Arial"/>
          <w:sz w:val="20"/>
          <w:szCs w:val="20"/>
        </w:rPr>
        <w:t xml:space="preserve"> </w:t>
      </w:r>
      <w:r w:rsidR="007F4C72">
        <w:rPr>
          <w:rFonts w:ascii="Arial" w:hAnsi="Arial" w:cs="Arial"/>
          <w:sz w:val="20"/>
          <w:szCs w:val="20"/>
        </w:rPr>
        <w:t>vyšplhal</w:t>
      </w:r>
      <w:r w:rsidR="00492BA9">
        <w:rPr>
          <w:rFonts w:ascii="Arial" w:hAnsi="Arial" w:cs="Arial"/>
          <w:sz w:val="20"/>
          <w:szCs w:val="20"/>
        </w:rPr>
        <w:t xml:space="preserve"> se až na 9,49 procenta. Potvrdily se tak předchozí předpovědi analytiků, které hovořily o tom, že bude hodnota spotřebitelských </w:t>
      </w:r>
      <w:r w:rsidR="00977540">
        <w:rPr>
          <w:rFonts w:ascii="Arial" w:hAnsi="Arial" w:cs="Arial"/>
          <w:sz w:val="20"/>
          <w:szCs w:val="20"/>
        </w:rPr>
        <w:t xml:space="preserve">úvěrů růst </w:t>
      </w:r>
      <w:r w:rsidR="00492BA9">
        <w:rPr>
          <w:rFonts w:ascii="Arial" w:hAnsi="Arial" w:cs="Arial"/>
          <w:sz w:val="20"/>
          <w:szCs w:val="20"/>
        </w:rPr>
        <w:t xml:space="preserve">až do konce letošního roku. Uvedený ukazatel </w:t>
      </w:r>
      <w:r w:rsidR="004053BB">
        <w:rPr>
          <w:rFonts w:ascii="Arial" w:hAnsi="Arial" w:cs="Arial"/>
          <w:sz w:val="20"/>
          <w:szCs w:val="20"/>
        </w:rPr>
        <w:t xml:space="preserve">navíc </w:t>
      </w:r>
      <w:r w:rsidR="00492BA9">
        <w:rPr>
          <w:rFonts w:ascii="Arial" w:hAnsi="Arial" w:cs="Arial"/>
          <w:sz w:val="20"/>
          <w:szCs w:val="20"/>
        </w:rPr>
        <w:t xml:space="preserve">může - až na občasné propady - posilovat také v první </w:t>
      </w:r>
      <w:r w:rsidR="00E423B5">
        <w:rPr>
          <w:rFonts w:ascii="Arial" w:hAnsi="Arial" w:cs="Arial"/>
          <w:sz w:val="20"/>
          <w:szCs w:val="20"/>
        </w:rPr>
        <w:t>polovině</w:t>
      </w:r>
      <w:r w:rsidR="0061438C">
        <w:rPr>
          <w:rFonts w:ascii="Arial" w:hAnsi="Arial" w:cs="Arial"/>
          <w:sz w:val="20"/>
          <w:szCs w:val="20"/>
        </w:rPr>
        <w:t xml:space="preserve"> následujícího</w:t>
      </w:r>
      <w:r w:rsidR="00E423B5">
        <w:rPr>
          <w:rFonts w:ascii="Arial" w:hAnsi="Arial" w:cs="Arial"/>
          <w:sz w:val="20"/>
          <w:szCs w:val="20"/>
        </w:rPr>
        <w:t xml:space="preserve"> roku</w:t>
      </w:r>
      <w:r w:rsidR="00492BA9">
        <w:rPr>
          <w:rFonts w:ascii="Arial" w:hAnsi="Arial" w:cs="Arial"/>
          <w:sz w:val="20"/>
          <w:szCs w:val="20"/>
        </w:rPr>
        <w:t>.</w:t>
      </w:r>
    </w:p>
    <w:p w14:paraId="50619AAA" w14:textId="77777777" w:rsidR="001130B7" w:rsidRDefault="001130B7" w:rsidP="004053BB">
      <w:pPr>
        <w:jc w:val="both"/>
        <w:rPr>
          <w:rFonts w:ascii="Arial" w:hAnsi="Arial" w:cs="Arial"/>
          <w:sz w:val="20"/>
          <w:szCs w:val="20"/>
        </w:rPr>
      </w:pPr>
    </w:p>
    <w:p w14:paraId="5F2ECABD" w14:textId="66BF3503" w:rsidR="00662758" w:rsidRDefault="0061438C" w:rsidP="004053BB">
      <w:pPr>
        <w:jc w:val="both"/>
        <w:rPr>
          <w:rFonts w:ascii="Arial" w:hAnsi="Arial" w:cs="Arial"/>
          <w:sz w:val="20"/>
          <w:szCs w:val="20"/>
        </w:rPr>
      </w:pPr>
      <w:r>
        <w:rPr>
          <w:rFonts w:ascii="Arial" w:hAnsi="Arial" w:cs="Arial"/>
          <w:sz w:val="20"/>
          <w:szCs w:val="20"/>
        </w:rPr>
        <w:t>„</w:t>
      </w:r>
      <w:r w:rsidRPr="004053BB">
        <w:rPr>
          <w:rFonts w:ascii="Arial" w:hAnsi="Arial" w:cs="Arial"/>
          <w:i/>
          <w:sz w:val="20"/>
          <w:szCs w:val="20"/>
        </w:rPr>
        <w:t>Zdražování bude nejspíše pokračovat. I když už ne takovým tempem, jako tomu bylo letos. Důvodem jsou především rostoucí ceny energií, které se začnou více projevovat až začátkem příštího roku. S</w:t>
      </w:r>
      <w:r w:rsidR="00977540">
        <w:rPr>
          <w:rFonts w:ascii="Arial" w:hAnsi="Arial" w:cs="Arial"/>
          <w:i/>
          <w:sz w:val="20"/>
          <w:szCs w:val="20"/>
        </w:rPr>
        <w:t>e zvyšujícími se cenami zboží</w:t>
      </w:r>
      <w:r w:rsidRPr="004053BB">
        <w:rPr>
          <w:rFonts w:ascii="Arial" w:hAnsi="Arial" w:cs="Arial"/>
          <w:i/>
          <w:sz w:val="20"/>
          <w:szCs w:val="20"/>
        </w:rPr>
        <w:t xml:space="preserve"> a sl</w:t>
      </w:r>
      <w:r w:rsidR="004053BB">
        <w:rPr>
          <w:rFonts w:ascii="Arial" w:hAnsi="Arial" w:cs="Arial"/>
          <w:i/>
          <w:sz w:val="20"/>
          <w:szCs w:val="20"/>
        </w:rPr>
        <w:t xml:space="preserve">užeb se proto můžeme setkávat </w:t>
      </w:r>
      <w:r w:rsidRPr="004053BB">
        <w:rPr>
          <w:rFonts w:ascii="Arial" w:hAnsi="Arial" w:cs="Arial"/>
          <w:i/>
          <w:sz w:val="20"/>
          <w:szCs w:val="20"/>
        </w:rPr>
        <w:t xml:space="preserve">nadále. To vše může mít </w:t>
      </w:r>
      <w:r w:rsidR="007F4C72" w:rsidRPr="004053BB">
        <w:rPr>
          <w:rFonts w:ascii="Arial" w:hAnsi="Arial" w:cs="Arial"/>
          <w:i/>
          <w:sz w:val="20"/>
          <w:szCs w:val="20"/>
        </w:rPr>
        <w:t xml:space="preserve">samozřejmě </w:t>
      </w:r>
      <w:r w:rsidRPr="004053BB">
        <w:rPr>
          <w:rFonts w:ascii="Arial" w:hAnsi="Arial" w:cs="Arial"/>
          <w:i/>
          <w:sz w:val="20"/>
          <w:szCs w:val="20"/>
        </w:rPr>
        <w:t>dopad na sazbu spotřebitelských úvěrů</w:t>
      </w:r>
      <w:r w:rsidR="0081474E" w:rsidRPr="004053BB">
        <w:rPr>
          <w:rFonts w:ascii="Arial" w:hAnsi="Arial" w:cs="Arial"/>
          <w:i/>
          <w:sz w:val="20"/>
          <w:szCs w:val="20"/>
        </w:rPr>
        <w:t>. Proto je třeba důkladně zvážit, do jaké míry pravidelné splátky těchto úvěrů z</w:t>
      </w:r>
      <w:r w:rsidR="004053BB" w:rsidRPr="004053BB">
        <w:rPr>
          <w:rFonts w:ascii="Arial" w:hAnsi="Arial" w:cs="Arial"/>
          <w:i/>
          <w:sz w:val="20"/>
          <w:szCs w:val="20"/>
        </w:rPr>
        <w:t>atěžují naše rozpočty a zda budeme</w:t>
      </w:r>
      <w:r w:rsidR="0081474E" w:rsidRPr="004053BB">
        <w:rPr>
          <w:rFonts w:ascii="Arial" w:hAnsi="Arial" w:cs="Arial"/>
          <w:i/>
          <w:sz w:val="20"/>
          <w:szCs w:val="20"/>
        </w:rPr>
        <w:t xml:space="preserve"> schopni takové půjčky </w:t>
      </w:r>
      <w:r w:rsidR="004053BB" w:rsidRPr="004053BB">
        <w:rPr>
          <w:rFonts w:ascii="Arial" w:hAnsi="Arial" w:cs="Arial"/>
          <w:i/>
          <w:sz w:val="20"/>
          <w:szCs w:val="20"/>
        </w:rPr>
        <w:t>splácet i v obtížnějších časech</w:t>
      </w:r>
      <w:r>
        <w:rPr>
          <w:rFonts w:ascii="Arial" w:hAnsi="Arial" w:cs="Arial"/>
          <w:sz w:val="20"/>
          <w:szCs w:val="20"/>
        </w:rPr>
        <w:t>,“</w:t>
      </w:r>
      <w:r w:rsidR="004053BB">
        <w:rPr>
          <w:rFonts w:ascii="Arial" w:hAnsi="Arial" w:cs="Arial"/>
          <w:sz w:val="20"/>
          <w:szCs w:val="20"/>
        </w:rPr>
        <w:t xml:space="preserve"> </w:t>
      </w:r>
      <w:r w:rsidR="007F4C72" w:rsidRPr="0053079B">
        <w:rPr>
          <w:rFonts w:ascii="Arial" w:hAnsi="Arial" w:cs="Arial"/>
          <w:sz w:val="20"/>
          <w:szCs w:val="20"/>
        </w:rPr>
        <w:t xml:space="preserve">vysvětluje </w:t>
      </w:r>
      <w:r w:rsidR="007F4C72" w:rsidRPr="0053079B">
        <w:rPr>
          <w:rFonts w:ascii="Arial" w:hAnsi="Arial" w:cs="Arial"/>
          <w:b/>
          <w:sz w:val="20"/>
          <w:szCs w:val="20"/>
        </w:rPr>
        <w:t xml:space="preserve">Michaela Pudilová, </w:t>
      </w:r>
      <w:r w:rsidR="007F4C72" w:rsidRPr="0053079B">
        <w:rPr>
          <w:rStyle w:val="Siln"/>
          <w:rFonts w:ascii="Arial" w:hAnsi="Arial" w:cs="Arial"/>
          <w:color w:val="000000"/>
          <w:sz w:val="20"/>
          <w:szCs w:val="20"/>
        </w:rPr>
        <w:t xml:space="preserve">analytička hypotečních a spotřebitelských úvěrů ze společnosti Broker </w:t>
      </w:r>
      <w:proofErr w:type="spellStart"/>
      <w:r w:rsidR="007F4C72" w:rsidRPr="0053079B">
        <w:rPr>
          <w:rStyle w:val="Siln"/>
          <w:rFonts w:ascii="Arial" w:hAnsi="Arial" w:cs="Arial"/>
          <w:color w:val="000000"/>
          <w:sz w:val="20"/>
          <w:szCs w:val="20"/>
        </w:rPr>
        <w:t>Consulting</w:t>
      </w:r>
      <w:proofErr w:type="spellEnd"/>
      <w:r w:rsidR="007E3027">
        <w:rPr>
          <w:rStyle w:val="Siln"/>
          <w:rFonts w:ascii="Arial" w:hAnsi="Arial" w:cs="Arial"/>
          <w:color w:val="000000"/>
          <w:sz w:val="20"/>
          <w:szCs w:val="20"/>
        </w:rPr>
        <w:t xml:space="preserve"> </w:t>
      </w:r>
      <w:r w:rsidR="007E3027" w:rsidRPr="003B3F0C">
        <w:rPr>
          <w:rStyle w:val="Siln"/>
          <w:rFonts w:ascii="Arial" w:hAnsi="Arial" w:cs="Arial"/>
          <w:b w:val="0"/>
          <w:color w:val="000000"/>
          <w:sz w:val="20"/>
          <w:szCs w:val="20"/>
        </w:rPr>
        <w:t>a dodává:</w:t>
      </w:r>
      <w:r w:rsidR="007E3027">
        <w:rPr>
          <w:rStyle w:val="Siln"/>
          <w:rFonts w:ascii="Arial" w:hAnsi="Arial" w:cs="Arial"/>
          <w:color w:val="000000"/>
          <w:sz w:val="20"/>
          <w:szCs w:val="20"/>
        </w:rPr>
        <w:t xml:space="preserve"> </w:t>
      </w:r>
      <w:r w:rsidR="00662758">
        <w:rPr>
          <w:rFonts w:ascii="Arial" w:hAnsi="Arial" w:cs="Arial"/>
          <w:sz w:val="20"/>
          <w:szCs w:val="20"/>
        </w:rPr>
        <w:t>„</w:t>
      </w:r>
      <w:r w:rsidR="00662758" w:rsidRPr="007E3027">
        <w:rPr>
          <w:rFonts w:ascii="Arial" w:hAnsi="Arial" w:cs="Arial"/>
          <w:i/>
          <w:sz w:val="20"/>
          <w:szCs w:val="20"/>
        </w:rPr>
        <w:t xml:space="preserve">Vývoj spotřebitelských úvěrů ovlivní samozřejmě rovněž to, jaké budou v příštích měsících úrokové sazby. </w:t>
      </w:r>
      <w:r w:rsidR="007E3027" w:rsidRPr="007E3027">
        <w:rPr>
          <w:rFonts w:ascii="Arial" w:hAnsi="Arial" w:cs="Arial"/>
          <w:i/>
          <w:sz w:val="20"/>
          <w:szCs w:val="20"/>
        </w:rPr>
        <w:t>Podle našich a</w:t>
      </w:r>
      <w:r w:rsidR="00662758" w:rsidRPr="007E3027">
        <w:rPr>
          <w:rFonts w:ascii="Arial" w:hAnsi="Arial" w:cs="Arial"/>
          <w:i/>
          <w:sz w:val="20"/>
          <w:szCs w:val="20"/>
        </w:rPr>
        <w:t>ktuální</w:t>
      </w:r>
      <w:r w:rsidR="007E3027" w:rsidRPr="007E3027">
        <w:rPr>
          <w:rFonts w:ascii="Arial" w:hAnsi="Arial" w:cs="Arial"/>
          <w:i/>
          <w:sz w:val="20"/>
          <w:szCs w:val="20"/>
        </w:rPr>
        <w:t>ch výhledů by mohly zůstat relativně stabilní. Jejich případný pokles</w:t>
      </w:r>
      <w:r w:rsidR="00FC0973">
        <w:rPr>
          <w:rFonts w:ascii="Arial" w:hAnsi="Arial" w:cs="Arial"/>
          <w:i/>
          <w:sz w:val="20"/>
          <w:szCs w:val="20"/>
        </w:rPr>
        <w:t xml:space="preserve"> </w:t>
      </w:r>
      <w:r w:rsidR="00B72E16" w:rsidRPr="007E3027">
        <w:rPr>
          <w:rFonts w:ascii="Arial" w:hAnsi="Arial" w:cs="Arial"/>
          <w:i/>
          <w:sz w:val="20"/>
          <w:szCs w:val="20"/>
        </w:rPr>
        <w:t xml:space="preserve">v závislosti na vývoji inflace a celkovém stavu domácí ekonomiky </w:t>
      </w:r>
      <w:r w:rsidR="007E3027" w:rsidRPr="007E3027">
        <w:rPr>
          <w:rFonts w:ascii="Arial" w:hAnsi="Arial" w:cs="Arial"/>
          <w:i/>
          <w:sz w:val="20"/>
          <w:szCs w:val="20"/>
        </w:rPr>
        <w:t>očekáváme nejdříve až ve druhé polovině příštího roku</w:t>
      </w:r>
      <w:r w:rsidR="007E3027">
        <w:rPr>
          <w:rFonts w:ascii="Arial" w:hAnsi="Arial" w:cs="Arial"/>
          <w:sz w:val="20"/>
          <w:szCs w:val="20"/>
        </w:rPr>
        <w:t xml:space="preserve">.“ </w:t>
      </w:r>
      <w:r w:rsidR="00662758">
        <w:rPr>
          <w:rFonts w:ascii="Arial" w:hAnsi="Arial" w:cs="Arial"/>
          <w:sz w:val="20"/>
          <w:szCs w:val="20"/>
        </w:rPr>
        <w:t xml:space="preserve">  </w:t>
      </w:r>
    </w:p>
    <w:p w14:paraId="15553F9D" w14:textId="77777777" w:rsidR="00E423B5" w:rsidRDefault="00E423B5" w:rsidP="007E3027">
      <w:pPr>
        <w:jc w:val="both"/>
        <w:rPr>
          <w:rFonts w:ascii="Arial" w:hAnsi="Arial" w:cs="Arial"/>
          <w:sz w:val="20"/>
          <w:szCs w:val="20"/>
        </w:rPr>
      </w:pPr>
    </w:p>
    <w:p w14:paraId="761438D9" w14:textId="286066D2" w:rsidR="007E3027" w:rsidRDefault="007E3027" w:rsidP="007E3027">
      <w:pPr>
        <w:jc w:val="both"/>
        <w:rPr>
          <w:rFonts w:ascii="Arial" w:hAnsi="Arial" w:cs="Arial"/>
          <w:sz w:val="20"/>
          <w:szCs w:val="20"/>
        </w:rPr>
      </w:pPr>
      <w:r>
        <w:rPr>
          <w:rFonts w:ascii="Arial" w:hAnsi="Arial" w:cs="Arial"/>
          <w:sz w:val="20"/>
          <w:szCs w:val="20"/>
        </w:rPr>
        <w:t xml:space="preserve">Hodnota Broker </w:t>
      </w:r>
      <w:proofErr w:type="spellStart"/>
      <w:r>
        <w:rPr>
          <w:rFonts w:ascii="Arial" w:hAnsi="Arial" w:cs="Arial"/>
          <w:sz w:val="20"/>
          <w:szCs w:val="20"/>
        </w:rPr>
        <w:t>Consulting</w:t>
      </w:r>
      <w:proofErr w:type="spellEnd"/>
      <w:r>
        <w:rPr>
          <w:rFonts w:ascii="Arial" w:hAnsi="Arial" w:cs="Arial"/>
          <w:sz w:val="20"/>
          <w:szCs w:val="20"/>
        </w:rPr>
        <w:t xml:space="preserve"> Indexu od konce roku 2017 v podstatě </w:t>
      </w:r>
      <w:r w:rsidR="00CA452F">
        <w:rPr>
          <w:rFonts w:ascii="Arial" w:hAnsi="Arial" w:cs="Arial"/>
          <w:sz w:val="20"/>
          <w:szCs w:val="20"/>
        </w:rPr>
        <w:t xml:space="preserve">stagnovala, když se </w:t>
      </w:r>
      <w:r>
        <w:rPr>
          <w:rFonts w:ascii="Arial" w:hAnsi="Arial" w:cs="Arial"/>
          <w:sz w:val="20"/>
          <w:szCs w:val="20"/>
        </w:rPr>
        <w:t xml:space="preserve">držela v rozmezí od více než 5,5 do necelých 8 procent. </w:t>
      </w:r>
      <w:r w:rsidR="003B3F0C">
        <w:rPr>
          <w:rFonts w:ascii="Arial" w:hAnsi="Arial" w:cs="Arial"/>
          <w:sz w:val="20"/>
          <w:szCs w:val="20"/>
        </w:rPr>
        <w:t xml:space="preserve">Od počátku letošního roku, kdy byla ještě na hodnotě </w:t>
      </w:r>
      <w:r w:rsidR="00CA452F">
        <w:rPr>
          <w:rFonts w:ascii="Arial" w:hAnsi="Arial" w:cs="Arial"/>
          <w:sz w:val="20"/>
          <w:szCs w:val="20"/>
        </w:rPr>
        <w:t xml:space="preserve">6,1 procenta, </w:t>
      </w:r>
      <w:r w:rsidR="00977540">
        <w:rPr>
          <w:rFonts w:ascii="Arial" w:hAnsi="Arial" w:cs="Arial"/>
          <w:sz w:val="20"/>
          <w:szCs w:val="20"/>
        </w:rPr>
        <w:t xml:space="preserve">pak </w:t>
      </w:r>
      <w:r w:rsidR="00CA452F">
        <w:rPr>
          <w:rFonts w:ascii="Arial" w:hAnsi="Arial" w:cs="Arial"/>
          <w:sz w:val="20"/>
          <w:szCs w:val="20"/>
        </w:rPr>
        <w:t xml:space="preserve">postupně </w:t>
      </w:r>
      <w:r w:rsidR="00B72E16">
        <w:rPr>
          <w:rFonts w:ascii="Arial" w:hAnsi="Arial" w:cs="Arial"/>
          <w:sz w:val="20"/>
          <w:szCs w:val="20"/>
        </w:rPr>
        <w:t xml:space="preserve">- kromě listopadového propadu - </w:t>
      </w:r>
      <w:r w:rsidR="00CA452F">
        <w:rPr>
          <w:rFonts w:ascii="Arial" w:hAnsi="Arial" w:cs="Arial"/>
          <w:sz w:val="20"/>
          <w:szCs w:val="20"/>
        </w:rPr>
        <w:t>rostla.</w:t>
      </w:r>
    </w:p>
    <w:p w14:paraId="04F9D9F3" w14:textId="77777777" w:rsidR="00B72E16" w:rsidRDefault="00B72E16" w:rsidP="007E3027">
      <w:pPr>
        <w:jc w:val="both"/>
        <w:rPr>
          <w:rFonts w:ascii="Arial" w:hAnsi="Arial" w:cs="Arial"/>
          <w:sz w:val="20"/>
          <w:szCs w:val="20"/>
        </w:rPr>
      </w:pPr>
    </w:p>
    <w:p w14:paraId="7C3633D0" w14:textId="051447D4" w:rsidR="007F4C72" w:rsidRDefault="007F4C72" w:rsidP="0053079B">
      <w:pPr>
        <w:jc w:val="both"/>
        <w:rPr>
          <w:rFonts w:ascii="Arial" w:hAnsi="Arial" w:cs="Arial"/>
          <w:sz w:val="20"/>
          <w:szCs w:val="20"/>
        </w:rPr>
      </w:pPr>
    </w:p>
    <w:p w14:paraId="73050904" w14:textId="6C97DF7B" w:rsidR="00704D83" w:rsidRPr="00CF7819" w:rsidRDefault="0005252A" w:rsidP="00F253CD">
      <w:pPr>
        <w:jc w:val="both"/>
        <w:rPr>
          <w:rFonts w:ascii="Arial" w:hAnsi="Arial" w:cs="Arial"/>
          <w:sz w:val="20"/>
          <w:szCs w:val="20"/>
        </w:rPr>
      </w:pPr>
      <w:r>
        <w:rPr>
          <w:rFonts w:ascii="Arial" w:hAnsi="Arial" w:cs="Arial"/>
          <w:noProof/>
          <w:sz w:val="20"/>
          <w:szCs w:val="20"/>
          <w:lang w:bidi="ar-SA"/>
        </w:rPr>
        <w:drawing>
          <wp:inline distT="0" distB="0" distL="0" distR="0" wp14:anchorId="0484ED72" wp14:editId="58B3FD8B">
            <wp:extent cx="6635750" cy="2447290"/>
            <wp:effectExtent l="19050" t="19050" r="12700" b="1016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Index spotřebitelských úvěrů - prosinec 2022.png"/>
                    <pic:cNvPicPr/>
                  </pic:nvPicPr>
                  <pic:blipFill>
                    <a:blip r:embed="rId24">
                      <a:extLst>
                        <a:ext uri="{28A0092B-C50C-407E-A947-70E740481C1C}">
                          <a14:useLocalDpi xmlns:a14="http://schemas.microsoft.com/office/drawing/2010/main" val="0"/>
                        </a:ext>
                      </a:extLst>
                    </a:blip>
                    <a:stretch>
                      <a:fillRect/>
                    </a:stretch>
                  </pic:blipFill>
                  <pic:spPr>
                    <a:xfrm>
                      <a:off x="0" y="0"/>
                      <a:ext cx="6635750" cy="2447290"/>
                    </a:xfrm>
                    <a:prstGeom prst="rect">
                      <a:avLst/>
                    </a:prstGeom>
                    <a:solidFill>
                      <a:schemeClr val="tx1"/>
                    </a:solidFill>
                    <a:ln w="5715">
                      <a:solidFill>
                        <a:schemeClr val="tx1"/>
                      </a:solidFill>
                    </a:ln>
                  </pic:spPr>
                </pic:pic>
              </a:graphicData>
            </a:graphic>
          </wp:inline>
        </w:drawing>
      </w:r>
    </w:p>
    <w:p w14:paraId="63928600" w14:textId="77777777" w:rsidR="00CF7819" w:rsidRDefault="00CF7819" w:rsidP="004B2FF6">
      <w:pPr>
        <w:jc w:val="both"/>
        <w:rPr>
          <w:rFonts w:ascii="Arial" w:hAnsi="Arial" w:cs="Arial"/>
          <w:sz w:val="20"/>
          <w:szCs w:val="20"/>
        </w:rPr>
      </w:pPr>
    </w:p>
    <w:p w14:paraId="0B4992BC" w14:textId="19657051" w:rsidR="00BE768F" w:rsidRDefault="008F3C6D" w:rsidP="004B2FF6">
      <w:pPr>
        <w:jc w:val="both"/>
        <w:rPr>
          <w:rFonts w:ascii="Arial" w:hAnsi="Arial" w:cs="Arial"/>
          <w:sz w:val="20"/>
          <w:szCs w:val="20"/>
        </w:rPr>
      </w:pPr>
      <w:r w:rsidRPr="0060554F">
        <w:rPr>
          <w:rFonts w:ascii="Arial" w:hAnsi="Arial" w:cs="Arial"/>
          <w:sz w:val="20"/>
          <w:szCs w:val="20"/>
        </w:rPr>
        <w:t xml:space="preserve">Broker </w:t>
      </w:r>
      <w:proofErr w:type="spellStart"/>
      <w:r w:rsidRPr="0060554F">
        <w:rPr>
          <w:rFonts w:ascii="Arial" w:hAnsi="Arial" w:cs="Arial"/>
          <w:sz w:val="20"/>
          <w:szCs w:val="20"/>
        </w:rPr>
        <w:t>Consulting</w:t>
      </w:r>
      <w:proofErr w:type="spellEnd"/>
      <w:r w:rsidRPr="0060554F">
        <w:rPr>
          <w:rFonts w:ascii="Arial" w:hAnsi="Arial" w:cs="Arial"/>
          <w:sz w:val="20"/>
          <w:szCs w:val="20"/>
        </w:rPr>
        <w:t xml:space="preserve"> Index spotřebitelských úvěrů je analytický nástroj, který ukazuje průměrnou úrokovou sazbu </w:t>
      </w:r>
      <w:r w:rsidR="00BE768F" w:rsidRPr="0060554F">
        <w:rPr>
          <w:rFonts w:ascii="Arial" w:hAnsi="Arial" w:cs="Arial"/>
          <w:sz w:val="20"/>
          <w:szCs w:val="20"/>
        </w:rPr>
        <w:br/>
      </w:r>
      <w:r w:rsidRPr="0060554F">
        <w:rPr>
          <w:rFonts w:ascii="Arial" w:hAnsi="Arial" w:cs="Arial"/>
          <w:sz w:val="20"/>
          <w:szCs w:val="20"/>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bookmarkStart w:id="0" w:name="_GoBack"/>
      <w:bookmarkEnd w:id="0"/>
    </w:p>
    <w:p w14:paraId="6F9AD26D" w14:textId="21878521" w:rsidR="00B72E16" w:rsidRDefault="00B72E16" w:rsidP="004B2FF6">
      <w:pPr>
        <w:jc w:val="both"/>
        <w:rPr>
          <w:rFonts w:ascii="Arial" w:hAnsi="Arial" w:cs="Arial"/>
          <w:sz w:val="20"/>
          <w:szCs w:val="20"/>
        </w:rPr>
      </w:pPr>
    </w:p>
    <w:p w14:paraId="670AFB42" w14:textId="2B55FCA1" w:rsidR="00B72E16" w:rsidRDefault="00B72E16" w:rsidP="004B2FF6">
      <w:pPr>
        <w:jc w:val="both"/>
        <w:rPr>
          <w:rFonts w:ascii="Arial" w:hAnsi="Arial" w:cs="Arial"/>
          <w:sz w:val="20"/>
          <w:szCs w:val="20"/>
        </w:rPr>
      </w:pPr>
    </w:p>
    <w:p w14:paraId="1CC96450" w14:textId="751A10E6" w:rsidR="00B72E16" w:rsidRDefault="00B72E16" w:rsidP="004B2FF6">
      <w:pPr>
        <w:jc w:val="both"/>
        <w:rPr>
          <w:rFonts w:ascii="Arial" w:hAnsi="Arial" w:cs="Arial"/>
          <w:sz w:val="20"/>
          <w:szCs w:val="20"/>
        </w:rPr>
      </w:pPr>
    </w:p>
    <w:p w14:paraId="04073E78" w14:textId="24F43F43" w:rsidR="00B72E16" w:rsidRDefault="00B72E16" w:rsidP="004B2FF6">
      <w:pPr>
        <w:jc w:val="both"/>
        <w:rPr>
          <w:rFonts w:ascii="Arial" w:hAnsi="Arial" w:cs="Arial"/>
          <w:sz w:val="20"/>
          <w:szCs w:val="20"/>
        </w:rPr>
      </w:pPr>
    </w:p>
    <w:p w14:paraId="492BB39F" w14:textId="2C96C323" w:rsidR="00B72E16" w:rsidRDefault="00B72E16" w:rsidP="004B2FF6">
      <w:pPr>
        <w:jc w:val="both"/>
        <w:rPr>
          <w:rFonts w:ascii="Arial" w:hAnsi="Arial" w:cs="Arial"/>
          <w:sz w:val="20"/>
          <w:szCs w:val="20"/>
        </w:rPr>
      </w:pPr>
    </w:p>
    <w:p w14:paraId="2FA3FD44" w14:textId="2DAD35FC" w:rsidR="008F3C6D" w:rsidRPr="0060554F" w:rsidRDefault="008F3C6D" w:rsidP="00B51F55">
      <w:pPr>
        <w:tabs>
          <w:tab w:val="left" w:pos="7152"/>
        </w:tabs>
        <w:jc w:val="both"/>
        <w:rPr>
          <w:rFonts w:ascii="Arial" w:hAnsi="Arial" w:cs="Arial"/>
          <w:b/>
          <w:sz w:val="20"/>
          <w:szCs w:val="20"/>
        </w:rPr>
      </w:pPr>
      <w:r w:rsidRPr="0060554F">
        <w:rPr>
          <w:rFonts w:ascii="Arial" w:hAnsi="Arial" w:cs="Arial"/>
          <w:b/>
          <w:sz w:val="20"/>
          <w:szCs w:val="20"/>
        </w:rPr>
        <w:tab/>
      </w:r>
      <w:r w:rsidR="00EB1036" w:rsidRPr="0060554F">
        <w:rPr>
          <w:rFonts w:ascii="Arial" w:hAnsi="Arial" w:cs="Arial"/>
          <w:b/>
          <w:sz w:val="20"/>
          <w:szCs w:val="20"/>
        </w:rPr>
        <w:br/>
      </w:r>
      <w:r w:rsidRPr="0060554F">
        <w:rPr>
          <w:rFonts w:ascii="Arial" w:hAnsi="Arial" w:cs="Arial"/>
          <w:b/>
          <w:sz w:val="20"/>
          <w:szCs w:val="20"/>
        </w:rPr>
        <w:lastRenderedPageBreak/>
        <w:t>Proč je dobré Index sledovat</w:t>
      </w:r>
      <w:r w:rsidRPr="0060554F">
        <w:rPr>
          <w:rFonts w:ascii="Arial" w:hAnsi="Arial" w:cs="Arial"/>
          <w:b/>
          <w:sz w:val="20"/>
          <w:szCs w:val="20"/>
        </w:rPr>
        <w:tab/>
      </w:r>
    </w:p>
    <w:p w14:paraId="19369C4D" w14:textId="072B9F25" w:rsidR="008F3C6D" w:rsidRDefault="008F3C6D" w:rsidP="008F3C6D">
      <w:pPr>
        <w:jc w:val="both"/>
        <w:rPr>
          <w:sz w:val="20"/>
          <w:szCs w:val="20"/>
        </w:rPr>
      </w:pPr>
      <w:r w:rsidRPr="0060554F">
        <w:rPr>
          <w:rFonts w:ascii="Arial" w:hAnsi="Arial" w:cs="Arial"/>
          <w:sz w:val="20"/>
          <w:szCs w:val="20"/>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60554F">
        <w:rPr>
          <w:sz w:val="20"/>
          <w:szCs w:val="20"/>
        </w:rPr>
        <w:tab/>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5F16FECD" w14:textId="69AB3698" w:rsidR="008F3C6D" w:rsidRDefault="008F3C6D" w:rsidP="008F3C6D">
      <w:pPr>
        <w:jc w:val="both"/>
        <w:rPr>
          <w:sz w:val="20"/>
        </w:rPr>
      </w:pPr>
    </w:p>
    <w:p w14:paraId="6AF53FD1" w14:textId="77777777" w:rsidR="00B51F55" w:rsidRPr="00B244B9" w:rsidRDefault="00B51F55" w:rsidP="00B51F55">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proofErr w:type="spellStart"/>
      <w:r w:rsidRPr="00B244B9">
        <w:rPr>
          <w:rFonts w:ascii="Arial" w:hAnsi="Arial" w:cs="Arial"/>
          <w:color w:val="1D1D1B"/>
          <w:w w:val="105"/>
          <w:sz w:val="18"/>
          <w:szCs w:val="16"/>
        </w:rPr>
        <w:t>Consulting</w:t>
      </w:r>
      <w:proofErr w:type="spellEnd"/>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proofErr w:type="spellStart"/>
      <w:r w:rsidRPr="00B244B9">
        <w:rPr>
          <w:rFonts w:ascii="Arial" w:hAnsi="Arial" w:cs="Arial"/>
          <w:i/>
          <w:color w:val="1D1D1B"/>
          <w:w w:val="105"/>
          <w:sz w:val="18"/>
          <w:szCs w:val="16"/>
        </w:rPr>
        <w:t>Consulting</w:t>
      </w:r>
      <w:proofErr w:type="spellEnd"/>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685A4AD2" w14:textId="77777777" w:rsidR="00B51F55" w:rsidRDefault="00B51F55"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Pr="00B13035" w:rsidRDefault="008F3C6D" w:rsidP="008F3C6D">
      <w:pPr>
        <w:rPr>
          <w:rFonts w:ascii="Arial" w:eastAsia="Calibri" w:hAnsi="Arial" w:cs="Arial"/>
          <w:b/>
          <w:bCs/>
          <w:noProof/>
          <w:sz w:val="20"/>
          <w:szCs w:val="20"/>
        </w:rPr>
      </w:pPr>
      <w:r w:rsidRPr="00B13035">
        <w:rPr>
          <w:rFonts w:ascii="Arial" w:eastAsia="Calibri" w:hAnsi="Arial" w:cs="Arial"/>
          <w:b/>
          <w:bCs/>
          <w:noProof/>
          <w:sz w:val="20"/>
          <w:szCs w:val="20"/>
        </w:rPr>
        <w:t>Kontakt pro média:</w:t>
      </w:r>
    </w:p>
    <w:p w14:paraId="78012E24" w14:textId="77777777" w:rsidR="0053079B" w:rsidRPr="0073009C" w:rsidRDefault="0053079B" w:rsidP="0053079B">
      <w:pPr>
        <w:rPr>
          <w:rFonts w:ascii="Arial" w:eastAsia="Calibri" w:hAnsi="Arial" w:cs="Arial"/>
          <w:bCs/>
          <w:noProof/>
          <w:sz w:val="18"/>
          <w:szCs w:val="18"/>
        </w:rPr>
      </w:pPr>
    </w:p>
    <w:p w14:paraId="60542279" w14:textId="77777777" w:rsidR="0053079B" w:rsidRPr="0073009C" w:rsidRDefault="0053079B" w:rsidP="0053079B">
      <w:pPr>
        <w:spacing w:after="60"/>
        <w:rPr>
          <w:rFonts w:ascii="Arial" w:eastAsia="Calibri" w:hAnsi="Arial" w:cs="Arial"/>
          <w:bCs/>
          <w:noProof/>
          <w:sz w:val="18"/>
          <w:szCs w:val="18"/>
          <w:lang w:bidi="ar-SA"/>
        </w:rPr>
      </w:pPr>
      <w:r>
        <w:rPr>
          <w:rFonts w:ascii="Arial" w:eastAsia="Calibri" w:hAnsi="Arial" w:cs="Arial"/>
          <w:bCs/>
          <w:noProof/>
          <w:sz w:val="18"/>
          <w:szCs w:val="18"/>
        </w:rPr>
        <w:t>Michaela Sahulová</w:t>
      </w:r>
    </w:p>
    <w:p w14:paraId="16BB5E7E" w14:textId="77777777" w:rsidR="0053079B" w:rsidRDefault="0053079B" w:rsidP="0053079B">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2D24B5C8" w14:textId="77777777" w:rsidR="0053079B" w:rsidRDefault="0053079B" w:rsidP="0053079B">
      <w:pPr>
        <w:rPr>
          <w:rFonts w:ascii="Arial" w:eastAsiaTheme="minorEastAsia" w:hAnsi="Arial" w:cs="Arial"/>
          <w:noProof/>
          <w:color w:val="000000" w:themeColor="text1"/>
          <w:sz w:val="18"/>
          <w:szCs w:val="18"/>
          <w:lang w:bidi="ar-SA"/>
        </w:rPr>
      </w:pPr>
      <w:r>
        <w:rPr>
          <w:rFonts w:ascii="Arial" w:eastAsiaTheme="minorEastAsia" w:hAnsi="Arial" w:cs="Arial"/>
          <w:noProof/>
          <w:color w:val="000000" w:themeColor="text1"/>
          <w:sz w:val="18"/>
          <w:szCs w:val="18"/>
        </w:rPr>
        <w:t>tel.: +420 731 538 373</w:t>
      </w:r>
    </w:p>
    <w:p w14:paraId="745E815C" w14:textId="77777777" w:rsidR="0053079B" w:rsidRPr="0073009C" w:rsidRDefault="0053079B" w:rsidP="0053079B">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5" w:history="1">
        <w:r w:rsidRPr="00862049">
          <w:rPr>
            <w:rStyle w:val="Hypertextovodkaz"/>
            <w:rFonts w:ascii="Arial" w:eastAsia="Calibri" w:hAnsi="Arial" w:cs="Arial"/>
            <w:noProof/>
            <w:sz w:val="18"/>
            <w:szCs w:val="18"/>
          </w:rPr>
          <w:t>michaela.sahulova@bcas.cz</w:t>
        </w:r>
      </w:hyperlink>
      <w:r w:rsidRPr="0073009C">
        <w:rPr>
          <w:rFonts w:ascii="Arial" w:eastAsia="Calibri" w:hAnsi="Arial" w:cs="Arial"/>
          <w:noProof/>
          <w:sz w:val="18"/>
          <w:szCs w:val="18"/>
        </w:rPr>
        <w:t xml:space="preserve"> </w:t>
      </w:r>
    </w:p>
    <w:p w14:paraId="1FBC071D" w14:textId="77777777" w:rsidR="00FA6B22" w:rsidRPr="00B13035" w:rsidRDefault="00FA6B22" w:rsidP="008F3C6D">
      <w:pPr>
        <w:rPr>
          <w:rFonts w:ascii="Arial" w:eastAsia="Calibri" w:hAnsi="Arial" w:cs="Arial"/>
          <w:noProof/>
          <w:sz w:val="20"/>
          <w:szCs w:val="20"/>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5F164" w14:textId="77777777" w:rsidR="00CA6098" w:rsidRDefault="00CA6098">
      <w:r>
        <w:separator/>
      </w:r>
    </w:p>
  </w:endnote>
  <w:endnote w:type="continuationSeparator" w:id="0">
    <w:p w14:paraId="21EAE96D" w14:textId="77777777" w:rsidR="00CA6098" w:rsidRDefault="00CA6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A6098"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A305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A609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A305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A609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A305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5A4BA" w14:textId="77777777" w:rsidR="00CA6098" w:rsidRDefault="00CA6098">
      <w:r>
        <w:separator/>
      </w:r>
    </w:p>
  </w:footnote>
  <w:footnote w:type="continuationSeparator" w:id="0">
    <w:p w14:paraId="31E131F1" w14:textId="77777777" w:rsidR="00CA6098" w:rsidRDefault="00CA6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6A7"/>
    <w:rsid w:val="000277AC"/>
    <w:rsid w:val="00032D94"/>
    <w:rsid w:val="00036C73"/>
    <w:rsid w:val="000374D7"/>
    <w:rsid w:val="000400E4"/>
    <w:rsid w:val="00045B39"/>
    <w:rsid w:val="0005252A"/>
    <w:rsid w:val="0005423A"/>
    <w:rsid w:val="00057018"/>
    <w:rsid w:val="000611E3"/>
    <w:rsid w:val="000618FE"/>
    <w:rsid w:val="00061ABB"/>
    <w:rsid w:val="00070675"/>
    <w:rsid w:val="000766E7"/>
    <w:rsid w:val="00080552"/>
    <w:rsid w:val="00081616"/>
    <w:rsid w:val="000853D4"/>
    <w:rsid w:val="00087263"/>
    <w:rsid w:val="0009776B"/>
    <w:rsid w:val="000B0D84"/>
    <w:rsid w:val="000B2E5D"/>
    <w:rsid w:val="000B2F39"/>
    <w:rsid w:val="000B5339"/>
    <w:rsid w:val="000B54E5"/>
    <w:rsid w:val="000C0090"/>
    <w:rsid w:val="000C1853"/>
    <w:rsid w:val="000C4C77"/>
    <w:rsid w:val="000D14E2"/>
    <w:rsid w:val="000D5F5D"/>
    <w:rsid w:val="000D7A4D"/>
    <w:rsid w:val="000E0EEC"/>
    <w:rsid w:val="000E168E"/>
    <w:rsid w:val="000E3D86"/>
    <w:rsid w:val="000F0BA4"/>
    <w:rsid w:val="000F1EC4"/>
    <w:rsid w:val="000F29D1"/>
    <w:rsid w:val="000F6249"/>
    <w:rsid w:val="00103543"/>
    <w:rsid w:val="001069A1"/>
    <w:rsid w:val="0010739A"/>
    <w:rsid w:val="00111C28"/>
    <w:rsid w:val="00112079"/>
    <w:rsid w:val="00112D65"/>
    <w:rsid w:val="001130B7"/>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7DA9"/>
    <w:rsid w:val="002B7F6D"/>
    <w:rsid w:val="002C0240"/>
    <w:rsid w:val="002C4A25"/>
    <w:rsid w:val="002D1619"/>
    <w:rsid w:val="002D6D20"/>
    <w:rsid w:val="002E633F"/>
    <w:rsid w:val="002F002B"/>
    <w:rsid w:val="002F05B2"/>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6FA6"/>
    <w:rsid w:val="0031712D"/>
    <w:rsid w:val="00320455"/>
    <w:rsid w:val="00321518"/>
    <w:rsid w:val="00321E19"/>
    <w:rsid w:val="003247B0"/>
    <w:rsid w:val="00330918"/>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6B0"/>
    <w:rsid w:val="00445D0A"/>
    <w:rsid w:val="004501B9"/>
    <w:rsid w:val="00453CFE"/>
    <w:rsid w:val="00454843"/>
    <w:rsid w:val="004556BB"/>
    <w:rsid w:val="00457FFE"/>
    <w:rsid w:val="00460FA7"/>
    <w:rsid w:val="00461BF2"/>
    <w:rsid w:val="004627B9"/>
    <w:rsid w:val="004678E9"/>
    <w:rsid w:val="00467E69"/>
    <w:rsid w:val="00471166"/>
    <w:rsid w:val="00473E24"/>
    <w:rsid w:val="00480982"/>
    <w:rsid w:val="00486655"/>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5D36"/>
    <w:rsid w:val="004F6195"/>
    <w:rsid w:val="0050659B"/>
    <w:rsid w:val="005130A9"/>
    <w:rsid w:val="005153F7"/>
    <w:rsid w:val="00515952"/>
    <w:rsid w:val="005224C1"/>
    <w:rsid w:val="005231DA"/>
    <w:rsid w:val="0053079B"/>
    <w:rsid w:val="0053153F"/>
    <w:rsid w:val="00531C9F"/>
    <w:rsid w:val="005361AF"/>
    <w:rsid w:val="00536822"/>
    <w:rsid w:val="00536954"/>
    <w:rsid w:val="0053728E"/>
    <w:rsid w:val="00540606"/>
    <w:rsid w:val="00541870"/>
    <w:rsid w:val="005436EC"/>
    <w:rsid w:val="00544A37"/>
    <w:rsid w:val="00545971"/>
    <w:rsid w:val="00551FDB"/>
    <w:rsid w:val="00554D18"/>
    <w:rsid w:val="0056501A"/>
    <w:rsid w:val="00571AD4"/>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18E4"/>
    <w:rsid w:val="00623C47"/>
    <w:rsid w:val="0062747C"/>
    <w:rsid w:val="0062786E"/>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2DE8"/>
    <w:rsid w:val="007F4493"/>
    <w:rsid w:val="007F4C72"/>
    <w:rsid w:val="007F71F9"/>
    <w:rsid w:val="008011E7"/>
    <w:rsid w:val="0080323F"/>
    <w:rsid w:val="008063BB"/>
    <w:rsid w:val="008123FF"/>
    <w:rsid w:val="0081387C"/>
    <w:rsid w:val="0081474E"/>
    <w:rsid w:val="0083053E"/>
    <w:rsid w:val="00831B5E"/>
    <w:rsid w:val="00832F5B"/>
    <w:rsid w:val="00841AC4"/>
    <w:rsid w:val="00845A34"/>
    <w:rsid w:val="00852BBB"/>
    <w:rsid w:val="00856806"/>
    <w:rsid w:val="00856D3C"/>
    <w:rsid w:val="00860609"/>
    <w:rsid w:val="00863FC3"/>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E1286"/>
    <w:rsid w:val="008E19F3"/>
    <w:rsid w:val="008F36CB"/>
    <w:rsid w:val="008F3C6D"/>
    <w:rsid w:val="008F6AAF"/>
    <w:rsid w:val="00901E1F"/>
    <w:rsid w:val="0090292E"/>
    <w:rsid w:val="00906E67"/>
    <w:rsid w:val="009144B1"/>
    <w:rsid w:val="00915ADA"/>
    <w:rsid w:val="0092097A"/>
    <w:rsid w:val="009222C9"/>
    <w:rsid w:val="009228CF"/>
    <w:rsid w:val="00925499"/>
    <w:rsid w:val="00930569"/>
    <w:rsid w:val="00932625"/>
    <w:rsid w:val="009343CC"/>
    <w:rsid w:val="009344C2"/>
    <w:rsid w:val="009412B0"/>
    <w:rsid w:val="0094645B"/>
    <w:rsid w:val="0094705C"/>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24BB"/>
    <w:rsid w:val="009D44DD"/>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2C95"/>
    <w:rsid w:val="00A93A25"/>
    <w:rsid w:val="00AA0920"/>
    <w:rsid w:val="00AA3055"/>
    <w:rsid w:val="00AA469A"/>
    <w:rsid w:val="00AA6E6D"/>
    <w:rsid w:val="00AA7977"/>
    <w:rsid w:val="00AA79D9"/>
    <w:rsid w:val="00AB50FF"/>
    <w:rsid w:val="00AC4BEC"/>
    <w:rsid w:val="00AC57BB"/>
    <w:rsid w:val="00AC614D"/>
    <w:rsid w:val="00AD1F39"/>
    <w:rsid w:val="00AD4BC3"/>
    <w:rsid w:val="00AE313F"/>
    <w:rsid w:val="00AE34F4"/>
    <w:rsid w:val="00AF042F"/>
    <w:rsid w:val="00B00C49"/>
    <w:rsid w:val="00B03105"/>
    <w:rsid w:val="00B03461"/>
    <w:rsid w:val="00B0766F"/>
    <w:rsid w:val="00B07F42"/>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3E59"/>
    <w:rsid w:val="00BD56B7"/>
    <w:rsid w:val="00BD5A47"/>
    <w:rsid w:val="00BD5FB6"/>
    <w:rsid w:val="00BE2BCC"/>
    <w:rsid w:val="00BE3896"/>
    <w:rsid w:val="00BE7068"/>
    <w:rsid w:val="00BE768F"/>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DAB"/>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483C"/>
    <w:rsid w:val="00E26CF0"/>
    <w:rsid w:val="00E31346"/>
    <w:rsid w:val="00E376F8"/>
    <w:rsid w:val="00E40550"/>
    <w:rsid w:val="00E41C99"/>
    <w:rsid w:val="00E423B5"/>
    <w:rsid w:val="00E43F59"/>
    <w:rsid w:val="00E518BB"/>
    <w:rsid w:val="00E57F9B"/>
    <w:rsid w:val="00E6726D"/>
    <w:rsid w:val="00E77BCA"/>
    <w:rsid w:val="00E81433"/>
    <w:rsid w:val="00E81C95"/>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20D55"/>
    <w:rsid w:val="00F250B8"/>
    <w:rsid w:val="00F253CD"/>
    <w:rsid w:val="00F2598D"/>
    <w:rsid w:val="00F259AE"/>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CA7C6-8FDA-499C-BD27-F3C6699F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3271</TotalTime>
  <Pages>3</Pages>
  <Words>834</Words>
  <Characters>4921</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8</cp:revision>
  <dcterms:created xsi:type="dcterms:W3CDTF">2022-12-22T09:02:00Z</dcterms:created>
  <dcterms:modified xsi:type="dcterms:W3CDTF">2022-12-30T15:24:00Z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