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A5759AF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CD6257">
            <w:rPr>
              <w:rFonts w:ascii="Arial" w:hAnsi="Arial" w:cs="Arial"/>
              <w:sz w:val="18"/>
            </w:rPr>
            <w:t xml:space="preserve">více než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12657A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6742631C" w:rsidR="00D40C89" w:rsidRPr="00A37A20" w:rsidRDefault="003E1308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Úrokové sazby</w:t>
      </w:r>
      <w:r w:rsidR="00CD6257">
        <w:rPr>
          <w:rFonts w:ascii="Arial" w:hAnsi="Arial" w:cs="Arial"/>
          <w:b/>
          <w:sz w:val="30"/>
          <w:szCs w:val="30"/>
        </w:rPr>
        <w:t xml:space="preserve"> u hypoték </w:t>
      </w:r>
      <w:r w:rsidR="004C61F5">
        <w:rPr>
          <w:rFonts w:ascii="Arial" w:hAnsi="Arial" w:cs="Arial"/>
          <w:b/>
          <w:sz w:val="30"/>
          <w:szCs w:val="30"/>
        </w:rPr>
        <w:t>v</w:t>
      </w:r>
      <w:r w:rsidR="00CD6257">
        <w:rPr>
          <w:rFonts w:ascii="Arial" w:hAnsi="Arial" w:cs="Arial"/>
          <w:b/>
          <w:sz w:val="30"/>
          <w:szCs w:val="30"/>
        </w:rPr>
        <w:t> listopadu mírně vzrostly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Pr="008009B8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4728C20B" w14:textId="50767C12" w:rsidR="00CD6257" w:rsidRPr="00CD6257" w:rsidRDefault="003E1308" w:rsidP="003E1308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Praha, 5. </w:t>
      </w:r>
      <w:r w:rsidR="00CD6257" w:rsidRPr="00CD6257">
        <w:rPr>
          <w:rFonts w:ascii="Arial" w:hAnsi="Arial" w:cs="Arial"/>
          <w:b/>
          <w:sz w:val="20"/>
          <w:szCs w:val="20"/>
        </w:rPr>
        <w:t xml:space="preserve">prosince 2022 – Broker </w:t>
      </w:r>
      <w:proofErr w:type="spellStart"/>
      <w:r w:rsidR="00CD6257" w:rsidRPr="00CD6257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CD6257" w:rsidRPr="00CD6257">
        <w:rPr>
          <w:rFonts w:ascii="Arial" w:hAnsi="Arial" w:cs="Arial"/>
          <w:b/>
          <w:sz w:val="20"/>
          <w:szCs w:val="20"/>
        </w:rPr>
        <w:t xml:space="preserve"> Index hypotečních úvěrů se vrátil během listopadu - po předchozím mírném poklesu - opět k růstu. </w:t>
      </w:r>
      <w:r w:rsidR="00CD6257">
        <w:rPr>
          <w:rFonts w:ascii="Arial" w:hAnsi="Arial" w:cs="Arial"/>
          <w:b/>
          <w:sz w:val="20"/>
          <w:szCs w:val="20"/>
        </w:rPr>
        <w:t>D</w:t>
      </w:r>
      <w:r w:rsidR="00CD6257" w:rsidRPr="00CD6257">
        <w:rPr>
          <w:rFonts w:ascii="Arial" w:hAnsi="Arial" w:cs="Arial"/>
          <w:b/>
          <w:sz w:val="20"/>
          <w:szCs w:val="20"/>
        </w:rPr>
        <w:t xml:space="preserve">osáhl </w:t>
      </w:r>
      <w:r w:rsidR="00CD6257">
        <w:rPr>
          <w:rFonts w:ascii="Arial" w:hAnsi="Arial" w:cs="Arial"/>
          <w:b/>
          <w:sz w:val="20"/>
          <w:szCs w:val="20"/>
        </w:rPr>
        <w:t xml:space="preserve">tak </w:t>
      </w:r>
      <w:r w:rsidR="00CD6257" w:rsidRPr="00CD6257">
        <w:rPr>
          <w:rFonts w:ascii="Arial" w:hAnsi="Arial" w:cs="Arial"/>
          <w:b/>
          <w:sz w:val="20"/>
          <w:szCs w:val="20"/>
        </w:rPr>
        <w:t>hodnoty 5,97 procenta, což je o 0,1 procentního bodu více než v říjnu. Pokles sazeb lze očekávat nejdříve ve druhé polovině příštího roku. Do té doby by měly podle expertů stagnovat.</w:t>
      </w:r>
    </w:p>
    <w:p w14:paraId="01A9005C" w14:textId="77777777" w:rsidR="00CD6257" w:rsidRPr="00CD6257" w:rsidRDefault="00CD6257" w:rsidP="003E1308">
      <w:pPr>
        <w:jc w:val="both"/>
        <w:rPr>
          <w:rFonts w:ascii="Arial" w:hAnsi="Arial" w:cs="Arial"/>
          <w:sz w:val="20"/>
          <w:szCs w:val="20"/>
        </w:rPr>
      </w:pPr>
    </w:p>
    <w:p w14:paraId="4B7F6D2A" w14:textId="7DD5FC47" w:rsidR="00CD6257" w:rsidRDefault="00CD6257" w:rsidP="003E1308">
      <w:pPr>
        <w:jc w:val="both"/>
        <w:rPr>
          <w:rFonts w:ascii="Arial" w:hAnsi="Arial" w:cs="Arial"/>
          <w:sz w:val="20"/>
          <w:szCs w:val="20"/>
        </w:rPr>
      </w:pPr>
      <w:r w:rsidRPr="00CD6257">
        <w:rPr>
          <w:rFonts w:ascii="Arial" w:hAnsi="Arial" w:cs="Arial"/>
          <w:sz w:val="20"/>
          <w:szCs w:val="20"/>
        </w:rPr>
        <w:t>„</w:t>
      </w:r>
      <w:r w:rsidRPr="00CD6257">
        <w:rPr>
          <w:rFonts w:ascii="Arial" w:hAnsi="Arial" w:cs="Arial"/>
          <w:i/>
          <w:sz w:val="20"/>
          <w:szCs w:val="20"/>
        </w:rPr>
        <w:t>Neočekáváme, že by se úrokové sazby hypoték v následujících měsících měnily. Jejich hodnota bude pravděpodobně stagnovat. Hlavním důvodem je fakt, že dvoutýden</w:t>
      </w:r>
      <w:r w:rsidR="00C53031">
        <w:rPr>
          <w:rFonts w:ascii="Arial" w:hAnsi="Arial" w:cs="Arial"/>
          <w:i/>
          <w:sz w:val="20"/>
          <w:szCs w:val="20"/>
        </w:rPr>
        <w:t xml:space="preserve">ní </w:t>
      </w:r>
      <w:proofErr w:type="spellStart"/>
      <w:r w:rsidR="00C53031">
        <w:rPr>
          <w:rFonts w:ascii="Arial" w:hAnsi="Arial" w:cs="Arial"/>
          <w:i/>
          <w:sz w:val="20"/>
          <w:szCs w:val="20"/>
        </w:rPr>
        <w:t>repo</w:t>
      </w:r>
      <w:proofErr w:type="spellEnd"/>
      <w:r w:rsidR="00C53031">
        <w:rPr>
          <w:rFonts w:ascii="Arial" w:hAnsi="Arial" w:cs="Arial"/>
          <w:i/>
          <w:sz w:val="20"/>
          <w:szCs w:val="20"/>
        </w:rPr>
        <w:t xml:space="preserve"> sazby zůstanou nejspíše</w:t>
      </w:r>
      <w:r w:rsidRPr="00CD6257">
        <w:rPr>
          <w:rFonts w:ascii="Arial" w:hAnsi="Arial" w:cs="Arial"/>
          <w:i/>
          <w:sz w:val="20"/>
          <w:szCs w:val="20"/>
        </w:rPr>
        <w:t xml:space="preserve"> do konce tohoto roku na úrovni sedmi procent</w:t>
      </w:r>
      <w:r w:rsidRPr="00CD6257">
        <w:rPr>
          <w:rFonts w:ascii="Arial" w:hAnsi="Arial" w:cs="Arial"/>
          <w:sz w:val="20"/>
          <w:szCs w:val="20"/>
        </w:rPr>
        <w:t xml:space="preserve">,“ komentuje </w:t>
      </w:r>
      <w:r w:rsidRPr="00CD6257">
        <w:rPr>
          <w:rFonts w:ascii="Arial" w:hAnsi="Arial" w:cs="Arial"/>
          <w:b/>
          <w:sz w:val="20"/>
          <w:szCs w:val="20"/>
        </w:rPr>
        <w:t xml:space="preserve">vývoj Michaela Pudilová, analytička hypotečních a spotřebitelských úvěrů společnosti Broker </w:t>
      </w:r>
      <w:proofErr w:type="spellStart"/>
      <w:r w:rsidRPr="00CD6257">
        <w:rPr>
          <w:rFonts w:ascii="Arial" w:hAnsi="Arial" w:cs="Arial"/>
          <w:b/>
          <w:sz w:val="20"/>
          <w:szCs w:val="20"/>
        </w:rPr>
        <w:t>Consulting</w:t>
      </w:r>
      <w:proofErr w:type="spellEnd"/>
      <w:r w:rsidRPr="00CD6257">
        <w:rPr>
          <w:rFonts w:ascii="Arial" w:hAnsi="Arial" w:cs="Arial"/>
          <w:sz w:val="20"/>
          <w:szCs w:val="20"/>
        </w:rPr>
        <w:t>.</w:t>
      </w:r>
    </w:p>
    <w:p w14:paraId="153C3B63" w14:textId="77777777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73FA99E2" w14:textId="567E157B" w:rsidR="00CD6257" w:rsidRDefault="00CD6257" w:rsidP="003E1308">
      <w:pPr>
        <w:jc w:val="both"/>
        <w:rPr>
          <w:rFonts w:ascii="Arial" w:hAnsi="Arial" w:cs="Arial"/>
          <w:sz w:val="20"/>
          <w:szCs w:val="20"/>
        </w:rPr>
      </w:pPr>
      <w:r w:rsidRPr="00CD6257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CD6257">
        <w:rPr>
          <w:rFonts w:ascii="Arial" w:hAnsi="Arial" w:cs="Arial"/>
          <w:sz w:val="20"/>
          <w:szCs w:val="20"/>
        </w:rPr>
        <w:t>Consulting</w:t>
      </w:r>
      <w:proofErr w:type="spellEnd"/>
      <w:r w:rsidRPr="00CD6257">
        <w:rPr>
          <w:rFonts w:ascii="Arial" w:hAnsi="Arial" w:cs="Arial"/>
          <w:sz w:val="20"/>
          <w:szCs w:val="20"/>
        </w:rPr>
        <w:t xml:space="preserve"> Index hypotečních úvěrů zaznamenává svůj růst již od začátku minulého roku, kdy se se krátkodobě pohyboval pod úrovní 2 procent. Od té doby až do září letošního roku setrvale rostl. Pouze v říjnu se snížil o 0,03 procentního bodu na 5,87 procenta.</w:t>
      </w:r>
      <w:r w:rsidR="003E1308">
        <w:rPr>
          <w:rFonts w:ascii="Arial" w:hAnsi="Arial" w:cs="Arial"/>
          <w:sz w:val="20"/>
          <w:szCs w:val="20"/>
        </w:rPr>
        <w:t xml:space="preserve"> </w:t>
      </w:r>
      <w:r w:rsidRPr="00CD6257">
        <w:rPr>
          <w:rFonts w:ascii="Arial" w:hAnsi="Arial" w:cs="Arial"/>
          <w:sz w:val="20"/>
          <w:szCs w:val="20"/>
        </w:rPr>
        <w:t>„</w:t>
      </w:r>
      <w:r w:rsidRPr="00CD6257">
        <w:rPr>
          <w:rFonts w:ascii="Arial" w:hAnsi="Arial" w:cs="Arial"/>
          <w:i/>
          <w:sz w:val="20"/>
          <w:szCs w:val="20"/>
        </w:rPr>
        <w:t xml:space="preserve">Banky nemají až na výjimky důvod v předvánočním období úrokové sazby snižovat. To </w:t>
      </w:r>
      <w:r>
        <w:rPr>
          <w:rFonts w:ascii="Arial" w:hAnsi="Arial" w:cs="Arial"/>
          <w:i/>
          <w:sz w:val="20"/>
          <w:szCs w:val="20"/>
        </w:rPr>
        <w:t>ovlivňuje</w:t>
      </w:r>
      <w:r w:rsidRPr="00CD6257">
        <w:rPr>
          <w:rFonts w:ascii="Arial" w:hAnsi="Arial" w:cs="Arial"/>
          <w:i/>
          <w:sz w:val="20"/>
          <w:szCs w:val="20"/>
        </w:rPr>
        <w:t xml:space="preserve"> samozřejmě také sazby hypoték</w:t>
      </w:r>
      <w:r w:rsidRPr="00CD6257">
        <w:rPr>
          <w:rFonts w:ascii="Arial" w:hAnsi="Arial" w:cs="Arial"/>
          <w:sz w:val="20"/>
          <w:szCs w:val="20"/>
        </w:rPr>
        <w:t xml:space="preserve">,“ dodává </w:t>
      </w:r>
      <w:r w:rsidRPr="00CD6257">
        <w:rPr>
          <w:rFonts w:ascii="Arial" w:hAnsi="Arial" w:cs="Arial"/>
          <w:b/>
          <w:sz w:val="20"/>
          <w:szCs w:val="20"/>
        </w:rPr>
        <w:t>Pudilová</w:t>
      </w:r>
      <w:r w:rsidRPr="00CD6257">
        <w:rPr>
          <w:rFonts w:ascii="Arial" w:hAnsi="Arial" w:cs="Arial"/>
          <w:sz w:val="20"/>
          <w:szCs w:val="20"/>
        </w:rPr>
        <w:t xml:space="preserve">.   </w:t>
      </w:r>
    </w:p>
    <w:p w14:paraId="07F3472D" w14:textId="77777777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25E64289" w14:textId="02147A40" w:rsidR="003E1308" w:rsidRDefault="00CD6257" w:rsidP="003E1308">
      <w:pPr>
        <w:jc w:val="both"/>
        <w:rPr>
          <w:rFonts w:ascii="Arial" w:hAnsi="Arial" w:cs="Arial"/>
          <w:sz w:val="20"/>
          <w:szCs w:val="20"/>
        </w:rPr>
      </w:pPr>
      <w:r w:rsidRPr="00CD6257">
        <w:rPr>
          <w:rFonts w:ascii="Arial" w:hAnsi="Arial" w:cs="Arial"/>
          <w:b/>
          <w:sz w:val="20"/>
          <w:szCs w:val="20"/>
        </w:rPr>
        <w:t>Hodnota předstihového ukazatele</w:t>
      </w:r>
      <w:r w:rsidRPr="00CD6257">
        <w:rPr>
          <w:rFonts w:ascii="Arial" w:hAnsi="Arial" w:cs="Arial"/>
          <w:sz w:val="20"/>
          <w:szCs w:val="20"/>
        </w:rPr>
        <w:t xml:space="preserve"> se v meziměsíčním srovnání mírně zvýšila z původních 6,12 na aktuálních 6,16 procenta. Tato průměrná hodnota u pětiletých fixací predikuje reálnou výši sazeb s měsíčním předstihem. Reaguje tak lépe na aktuální vývoj na hypotečním trhu.</w:t>
      </w:r>
    </w:p>
    <w:p w14:paraId="66A2ACD5" w14:textId="77777777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268E6E55" w14:textId="411DB35A" w:rsidR="00CD6257" w:rsidRDefault="00CD6257" w:rsidP="003E1308">
      <w:pPr>
        <w:jc w:val="both"/>
        <w:rPr>
          <w:rFonts w:ascii="Arial" w:hAnsi="Arial" w:cs="Arial"/>
          <w:sz w:val="20"/>
          <w:szCs w:val="20"/>
        </w:rPr>
      </w:pPr>
      <w:r w:rsidRPr="00CD6257">
        <w:rPr>
          <w:rFonts w:ascii="Arial" w:hAnsi="Arial" w:cs="Arial"/>
          <w:sz w:val="20"/>
          <w:szCs w:val="20"/>
        </w:rPr>
        <w:t>Zájem o hypotéky se kvůli jejich kontinuálnímu nárůstu v posledních měsících omezil. Bankovní rada České národní banky přitom současně na svém zasedání dne 30. listopadu ponechala v platnosti nastavení závazných limitů ukazatelů pro poskytování hypotečních úvěrů</w:t>
      </w:r>
      <w:r>
        <w:rPr>
          <w:rFonts w:ascii="Arial" w:hAnsi="Arial" w:cs="Arial"/>
          <w:sz w:val="20"/>
          <w:szCs w:val="20"/>
        </w:rPr>
        <w:t>, které jsou v účinnosti</w:t>
      </w:r>
      <w:r w:rsidRPr="00CD6257">
        <w:rPr>
          <w:rFonts w:ascii="Arial" w:hAnsi="Arial" w:cs="Arial"/>
          <w:sz w:val="20"/>
          <w:szCs w:val="20"/>
        </w:rPr>
        <w:t xml:space="preserve"> od 1. dubna letošního roku. </w:t>
      </w:r>
    </w:p>
    <w:p w14:paraId="2D517A0E" w14:textId="77777777" w:rsidR="003E1308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2B76652E" w14:textId="7CE30C08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  <w:r w:rsidRPr="00CD6257">
        <w:rPr>
          <w:rFonts w:ascii="Arial" w:hAnsi="Arial" w:cs="Arial"/>
          <w:sz w:val="20"/>
          <w:szCs w:val="20"/>
        </w:rPr>
        <w:t>H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orní limit ukazatele LTV</w:t>
      </w:r>
      <w:r w:rsidRPr="00CD6257"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  <w:t> 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(poměr úvěru a hodno</w:t>
      </w:r>
      <w:r w:rsidRPr="00CD6257"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ty zastavené nemovitosti) </w:t>
      </w:r>
      <w:r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tak </w:t>
      </w:r>
      <w:r w:rsidRPr="00CD6257">
        <w:rPr>
          <w:rFonts w:ascii="Arial" w:eastAsia="Times New Roman" w:hAnsi="Arial" w:cs="Arial"/>
          <w:color w:val="0D0D0D" w:themeColor="text1" w:themeTint="F2"/>
          <w:sz w:val="20"/>
          <w:szCs w:val="20"/>
        </w:rPr>
        <w:t>zůstává ve výši</w:t>
      </w:r>
      <w:r w:rsidRPr="00CD6257">
        <w:rPr>
          <w:rFonts w:ascii="Arial" w:eastAsia="Times New Roman" w:hAnsi="Arial" w:cs="Arial"/>
          <w:b/>
          <w:bCs/>
          <w:color w:val="0D0D0D" w:themeColor="text1" w:themeTint="F2"/>
          <w:sz w:val="20"/>
          <w:szCs w:val="20"/>
        </w:rPr>
        <w:t xml:space="preserve"> 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80 procent 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(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90 procent pro žadatele mladší 36 let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).</w:t>
      </w:r>
      <w:r w:rsidRPr="00CD6257"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 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Limit ukazatele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 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DSTI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 (poměr mezi celkovou výší měsíčních splátek dluhu žadatele o úvěr a jeho čistým měsíčním příjmem) </w:t>
      </w:r>
      <w:r w:rsidRPr="00CD6257"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je pak stále 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na úrovni 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45 procent 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(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50 procent pro žadatele mladší 36 let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).</w:t>
      </w:r>
      <w:r w:rsidRPr="00CD6257"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 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Limit ukazatele DTI</w:t>
      </w:r>
      <w:r>
        <w:rPr>
          <w:rFonts w:ascii="Arial" w:eastAsia="Times New Roman" w:hAnsi="Arial" w:cs="Arial"/>
          <w:color w:val="0D0D0D" w:themeColor="text1" w:themeTint="F2"/>
          <w:sz w:val="20"/>
          <w:szCs w:val="20"/>
        </w:rPr>
        <w:t> (celkov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ý dluh žadatele o úvěr vyjádřený v násobcích jeho čistého ročního příjmu) bude nadále činit 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8,5 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(</w:t>
      </w:r>
      <w:r w:rsidRPr="00CD6257">
        <w:rPr>
          <w:rFonts w:ascii="Arial" w:eastAsia="Times New Roman" w:hAnsi="Arial" w:cs="Arial"/>
          <w:bCs/>
          <w:color w:val="0D0D0D" w:themeColor="text1" w:themeTint="F2"/>
          <w:sz w:val="20"/>
          <w:szCs w:val="20"/>
        </w:rPr>
        <w:t>9,5 pro žadatele mladší 36 let</w:t>
      </w:r>
      <w:r w:rsidRPr="00CC5BFB">
        <w:rPr>
          <w:rFonts w:ascii="Arial" w:eastAsia="Times New Roman" w:hAnsi="Arial" w:cs="Arial"/>
          <w:color w:val="0D0D0D" w:themeColor="text1" w:themeTint="F2"/>
          <w:sz w:val="20"/>
          <w:szCs w:val="20"/>
        </w:rPr>
        <w:t>).</w:t>
      </w:r>
      <w:r>
        <w:rPr>
          <w:rFonts w:ascii="Arial" w:eastAsia="Times New Roman" w:hAnsi="Arial" w:cs="Arial"/>
          <w:color w:val="0D0D0D" w:themeColor="text1" w:themeTint="F2"/>
          <w:sz w:val="20"/>
          <w:szCs w:val="20"/>
        </w:rPr>
        <w:t xml:space="preserve"> </w:t>
      </w:r>
    </w:p>
    <w:p w14:paraId="48B4F4DA" w14:textId="51E67AE2" w:rsidR="00651B79" w:rsidRPr="00CD6257" w:rsidRDefault="00651B79" w:rsidP="003E1308">
      <w:pPr>
        <w:jc w:val="both"/>
        <w:rPr>
          <w:rFonts w:ascii="Arial" w:hAnsi="Arial" w:cs="Arial"/>
          <w:sz w:val="20"/>
          <w:szCs w:val="20"/>
        </w:rPr>
      </w:pPr>
    </w:p>
    <w:p w14:paraId="35140644" w14:textId="29C43B56" w:rsidR="00CD6257" w:rsidRPr="003E1308" w:rsidRDefault="00C56AD1" w:rsidP="003E13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5FA0DD86" wp14:editId="2F7476C4">
            <wp:extent cx="6635750" cy="22237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 BC Index hypotečních úvěrů - listopad 20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D8034" w14:textId="58BF3F9E" w:rsidR="00AB4842" w:rsidRPr="008009B8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8009B8">
        <w:rPr>
          <w:rFonts w:ascii="Arial" w:hAnsi="Arial" w:cs="Arial"/>
          <w:sz w:val="20"/>
          <w:szCs w:val="20"/>
        </w:rPr>
        <w:t xml:space="preserve"> znázorňující</w:t>
      </w:r>
      <w:r w:rsidRPr="008009B8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8009B8">
        <w:rPr>
          <w:rFonts w:ascii="Arial" w:hAnsi="Arial" w:cs="Arial"/>
          <w:sz w:val="20"/>
          <w:szCs w:val="20"/>
        </w:rPr>
        <w:t>které</w:t>
      </w:r>
      <w:r w:rsidRPr="008009B8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8009B8">
        <w:rPr>
          <w:rFonts w:ascii="Arial" w:hAnsi="Arial" w:cs="Arial"/>
          <w:sz w:val="20"/>
          <w:szCs w:val="20"/>
        </w:rPr>
        <w:t xml:space="preserve">vstupuje </w:t>
      </w:r>
      <w:r w:rsidRPr="008009B8">
        <w:rPr>
          <w:rFonts w:ascii="Arial" w:hAnsi="Arial" w:cs="Arial"/>
          <w:sz w:val="20"/>
          <w:szCs w:val="20"/>
        </w:rPr>
        <w:t xml:space="preserve">do indexu větší vahou. </w:t>
      </w:r>
      <w:r w:rsidRPr="008009B8">
        <w:rPr>
          <w:rFonts w:ascii="Arial" w:hAnsi="Arial" w:cs="Arial"/>
          <w:b/>
          <w:sz w:val="20"/>
          <w:szCs w:val="20"/>
        </w:rPr>
        <w:t>Výhodou metody výpo</w:t>
      </w:r>
      <w:bookmarkStart w:id="0" w:name="_GoBack"/>
      <w:bookmarkEnd w:id="0"/>
      <w:r w:rsidRPr="008009B8">
        <w:rPr>
          <w:rFonts w:ascii="Arial" w:hAnsi="Arial" w:cs="Arial"/>
          <w:b/>
          <w:sz w:val="20"/>
          <w:szCs w:val="20"/>
        </w:rPr>
        <w:t xml:space="preserve">čtu </w:t>
      </w:r>
      <w:r w:rsidR="00C7532A" w:rsidRPr="008009B8">
        <w:rPr>
          <w:rFonts w:ascii="Arial" w:hAnsi="Arial" w:cs="Arial"/>
          <w:b/>
          <w:sz w:val="20"/>
          <w:szCs w:val="20"/>
        </w:rPr>
        <w:t xml:space="preserve">indexu </w:t>
      </w:r>
      <w:r w:rsidRPr="008009B8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8009B8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 w:rsidRPr="008009B8">
        <w:rPr>
          <w:rFonts w:ascii="Arial" w:hAnsi="Arial" w:cs="Arial"/>
          <w:sz w:val="20"/>
          <w:szCs w:val="20"/>
        </w:rPr>
        <w:br/>
      </w:r>
      <w:r w:rsidRPr="008009B8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8009B8" w:rsidRDefault="00236A37" w:rsidP="00B479EB">
      <w:pPr>
        <w:rPr>
          <w:sz w:val="20"/>
          <w:szCs w:val="20"/>
        </w:rPr>
      </w:pPr>
    </w:p>
    <w:p w14:paraId="464B118E" w14:textId="44DD1807" w:rsidR="00C42CA5" w:rsidRPr="008009B8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8009B8">
        <w:rPr>
          <w:rFonts w:ascii="Arial" w:hAnsi="Arial" w:cs="Arial"/>
          <w:sz w:val="20"/>
          <w:szCs w:val="20"/>
        </w:rPr>
        <w:t>,</w:t>
      </w:r>
      <w:r w:rsidRPr="008009B8">
        <w:rPr>
          <w:rFonts w:ascii="Arial" w:hAnsi="Arial" w:cs="Arial"/>
          <w:sz w:val="20"/>
          <w:szCs w:val="20"/>
        </w:rPr>
        <w:t xml:space="preserve"> </w:t>
      </w:r>
      <w:r w:rsidR="00FA2D1E" w:rsidRPr="008009B8">
        <w:rPr>
          <w:rFonts w:ascii="Arial" w:hAnsi="Arial" w:cs="Arial"/>
          <w:sz w:val="20"/>
          <w:szCs w:val="20"/>
        </w:rPr>
        <w:t>a</w:t>
      </w:r>
      <w:r w:rsidRPr="008009B8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color w:val="000000"/>
          <w:sz w:val="20"/>
          <w:szCs w:val="20"/>
        </w:rPr>
        <w:lastRenderedPageBreak/>
        <w:t xml:space="preserve">Předstihový ukazatel Broker </w:t>
      </w:r>
      <w:proofErr w:type="spellStart"/>
      <w:r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8009B8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 w:rsidRPr="008009B8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>t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u zohledněna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CA0B4" w14:textId="77777777" w:rsidR="0012657A" w:rsidRDefault="0012657A">
      <w:r>
        <w:separator/>
      </w:r>
    </w:p>
  </w:endnote>
  <w:endnote w:type="continuationSeparator" w:id="0">
    <w:p w14:paraId="602DCBE4" w14:textId="77777777" w:rsidR="0012657A" w:rsidRDefault="00126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12657A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12657A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12657A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8866E" w14:textId="77777777" w:rsidR="0012657A" w:rsidRDefault="0012657A">
      <w:r>
        <w:separator/>
      </w:r>
    </w:p>
  </w:footnote>
  <w:footnote w:type="continuationSeparator" w:id="0">
    <w:p w14:paraId="1C9A2F1D" w14:textId="77777777" w:rsidR="0012657A" w:rsidRDefault="00126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4776E"/>
    <w:rsid w:val="0005423A"/>
    <w:rsid w:val="00057F54"/>
    <w:rsid w:val="000611E3"/>
    <w:rsid w:val="00061BF6"/>
    <w:rsid w:val="00070652"/>
    <w:rsid w:val="000766E7"/>
    <w:rsid w:val="00081616"/>
    <w:rsid w:val="000823D3"/>
    <w:rsid w:val="00082D29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C5541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17AE4"/>
    <w:rsid w:val="00120113"/>
    <w:rsid w:val="001214E7"/>
    <w:rsid w:val="00122CEB"/>
    <w:rsid w:val="00125B97"/>
    <w:rsid w:val="0012657A"/>
    <w:rsid w:val="00126BEC"/>
    <w:rsid w:val="0013044E"/>
    <w:rsid w:val="00131A69"/>
    <w:rsid w:val="00136D8D"/>
    <w:rsid w:val="00137003"/>
    <w:rsid w:val="0013717C"/>
    <w:rsid w:val="00140987"/>
    <w:rsid w:val="00145622"/>
    <w:rsid w:val="001524FB"/>
    <w:rsid w:val="00156082"/>
    <w:rsid w:val="00160686"/>
    <w:rsid w:val="00160E1C"/>
    <w:rsid w:val="00161352"/>
    <w:rsid w:val="001620E3"/>
    <w:rsid w:val="00162D8E"/>
    <w:rsid w:val="001675AF"/>
    <w:rsid w:val="0016771F"/>
    <w:rsid w:val="00174317"/>
    <w:rsid w:val="00175545"/>
    <w:rsid w:val="001767A5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2A07"/>
    <w:rsid w:val="001B3B31"/>
    <w:rsid w:val="001B501B"/>
    <w:rsid w:val="001B58E7"/>
    <w:rsid w:val="001B7936"/>
    <w:rsid w:val="001D015A"/>
    <w:rsid w:val="001D30C7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12C2E"/>
    <w:rsid w:val="0021395D"/>
    <w:rsid w:val="002141AF"/>
    <w:rsid w:val="00216B81"/>
    <w:rsid w:val="00216F2E"/>
    <w:rsid w:val="00220529"/>
    <w:rsid w:val="002220C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3CE"/>
    <w:rsid w:val="002961B5"/>
    <w:rsid w:val="00296B24"/>
    <w:rsid w:val="002A1185"/>
    <w:rsid w:val="002A498A"/>
    <w:rsid w:val="002A61B7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E95"/>
    <w:rsid w:val="00307FEB"/>
    <w:rsid w:val="003128F8"/>
    <w:rsid w:val="00313D42"/>
    <w:rsid w:val="00322E5E"/>
    <w:rsid w:val="003243A6"/>
    <w:rsid w:val="003247B0"/>
    <w:rsid w:val="00330918"/>
    <w:rsid w:val="0033296E"/>
    <w:rsid w:val="003337A9"/>
    <w:rsid w:val="0033431C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4860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C61F5"/>
    <w:rsid w:val="004D3578"/>
    <w:rsid w:val="004D4D9F"/>
    <w:rsid w:val="004E4E9F"/>
    <w:rsid w:val="004E67DB"/>
    <w:rsid w:val="004F1934"/>
    <w:rsid w:val="005042D1"/>
    <w:rsid w:val="00506098"/>
    <w:rsid w:val="00506161"/>
    <w:rsid w:val="0050659B"/>
    <w:rsid w:val="00506889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C48C1"/>
    <w:rsid w:val="005C7059"/>
    <w:rsid w:val="005D189A"/>
    <w:rsid w:val="005D6963"/>
    <w:rsid w:val="005E45D8"/>
    <w:rsid w:val="005F18D4"/>
    <w:rsid w:val="005F65A1"/>
    <w:rsid w:val="005F7741"/>
    <w:rsid w:val="00600788"/>
    <w:rsid w:val="00600BA3"/>
    <w:rsid w:val="00605C5D"/>
    <w:rsid w:val="006106F0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6288"/>
    <w:rsid w:val="007D06A5"/>
    <w:rsid w:val="007D085C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3533"/>
    <w:rsid w:val="008957C5"/>
    <w:rsid w:val="00896014"/>
    <w:rsid w:val="0089614B"/>
    <w:rsid w:val="00896556"/>
    <w:rsid w:val="00896FD6"/>
    <w:rsid w:val="00897BD9"/>
    <w:rsid w:val="008A04D3"/>
    <w:rsid w:val="008A0C76"/>
    <w:rsid w:val="008A663F"/>
    <w:rsid w:val="008B05F2"/>
    <w:rsid w:val="008C1795"/>
    <w:rsid w:val="008C4B0D"/>
    <w:rsid w:val="008C75D3"/>
    <w:rsid w:val="008D1E94"/>
    <w:rsid w:val="008D373A"/>
    <w:rsid w:val="008D484C"/>
    <w:rsid w:val="008D68A5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4EA3"/>
    <w:rsid w:val="00AE05ED"/>
    <w:rsid w:val="00AE44CB"/>
    <w:rsid w:val="00AE55D4"/>
    <w:rsid w:val="00AE72D7"/>
    <w:rsid w:val="00AF1038"/>
    <w:rsid w:val="00AF2633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3E8E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C133F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4F1A"/>
    <w:rsid w:val="00C05CCC"/>
    <w:rsid w:val="00C07F35"/>
    <w:rsid w:val="00C15993"/>
    <w:rsid w:val="00C17C49"/>
    <w:rsid w:val="00C23E32"/>
    <w:rsid w:val="00C2555B"/>
    <w:rsid w:val="00C26D3E"/>
    <w:rsid w:val="00C30EA3"/>
    <w:rsid w:val="00C31E67"/>
    <w:rsid w:val="00C33A4A"/>
    <w:rsid w:val="00C4086A"/>
    <w:rsid w:val="00C42CA5"/>
    <w:rsid w:val="00C42FAF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D6257"/>
    <w:rsid w:val="00CE0770"/>
    <w:rsid w:val="00CE6C6E"/>
    <w:rsid w:val="00CE76FD"/>
    <w:rsid w:val="00CF2033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7B55"/>
    <w:rsid w:val="00D47B8A"/>
    <w:rsid w:val="00D50703"/>
    <w:rsid w:val="00D531E4"/>
    <w:rsid w:val="00D53C47"/>
    <w:rsid w:val="00D53E59"/>
    <w:rsid w:val="00D60444"/>
    <w:rsid w:val="00D605B1"/>
    <w:rsid w:val="00D60D98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2DD1"/>
    <w:rsid w:val="00DD67DA"/>
    <w:rsid w:val="00DD7940"/>
    <w:rsid w:val="00DE1840"/>
    <w:rsid w:val="00DE1B89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423C3"/>
    <w:rsid w:val="00E4323F"/>
    <w:rsid w:val="00E4469C"/>
    <w:rsid w:val="00E450AB"/>
    <w:rsid w:val="00E5280E"/>
    <w:rsid w:val="00E52CEE"/>
    <w:rsid w:val="00E54A8E"/>
    <w:rsid w:val="00E563FC"/>
    <w:rsid w:val="00E57F9B"/>
    <w:rsid w:val="00E60634"/>
    <w:rsid w:val="00E6319B"/>
    <w:rsid w:val="00E6726D"/>
    <w:rsid w:val="00E70FBC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59A8C-5992-46F7-8D67-6ABE080D7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830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3</cp:revision>
  <dcterms:created xsi:type="dcterms:W3CDTF">2022-12-05T09:52:00Z</dcterms:created>
  <dcterms:modified xsi:type="dcterms:W3CDTF">2022-12-05T10:30:00Z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