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5655BD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4001D224" w14:textId="0A3CCB4F" w:rsidR="007C5CE8" w:rsidRDefault="00C24953" w:rsidP="00685FBC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V říjnu vykázaly podílové fondy mírnou volatilitu</w:t>
      </w:r>
    </w:p>
    <w:p w14:paraId="7467897D" w14:textId="59504940" w:rsidR="00C23E32" w:rsidRPr="00C24953" w:rsidRDefault="00C23E32" w:rsidP="00B27178">
      <w:pPr>
        <w:jc w:val="both"/>
        <w:rPr>
          <w:rFonts w:ascii="Arial" w:hAnsi="Arial" w:cs="Arial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4C828276" w14:textId="2E5C28F0" w:rsidR="00C24953" w:rsidRPr="009C0DA6" w:rsidRDefault="00836812" w:rsidP="000F0B3D">
      <w:pPr>
        <w:jc w:val="both"/>
        <w:rPr>
          <w:rFonts w:ascii="Arial" w:hAnsi="Arial" w:cs="Arial"/>
          <w:b/>
          <w:sz w:val="21"/>
          <w:szCs w:val="21"/>
        </w:rPr>
      </w:pPr>
      <w:r w:rsidRPr="00CE2BEB">
        <w:rPr>
          <w:rFonts w:ascii="Arial" w:hAnsi="Arial" w:cs="Arial"/>
          <w:i/>
        </w:rPr>
        <w:t xml:space="preserve">Praha, </w:t>
      </w:r>
      <w:r w:rsidR="00D737C7">
        <w:rPr>
          <w:rFonts w:ascii="Arial" w:hAnsi="Arial" w:cs="Arial"/>
          <w:i/>
        </w:rPr>
        <w:t>15</w:t>
      </w:r>
      <w:bookmarkStart w:id="0" w:name="_GoBack"/>
      <w:bookmarkEnd w:id="0"/>
      <w:r w:rsidR="003426AA" w:rsidRPr="00CE2BEB">
        <w:rPr>
          <w:rFonts w:ascii="Arial" w:hAnsi="Arial" w:cs="Arial"/>
          <w:i/>
        </w:rPr>
        <w:t xml:space="preserve">. </w:t>
      </w:r>
      <w:r w:rsidR="00C24953" w:rsidRPr="007853F8">
        <w:rPr>
          <w:rFonts w:ascii="Arial" w:hAnsi="Arial" w:cs="Arial"/>
          <w:i/>
          <w:sz w:val="20"/>
          <w:szCs w:val="20"/>
        </w:rPr>
        <w:t>listopadu</w:t>
      </w:r>
      <w:r w:rsidR="006203C4" w:rsidRPr="007853F8">
        <w:rPr>
          <w:rFonts w:ascii="Arial" w:hAnsi="Arial" w:cs="Arial"/>
          <w:i/>
          <w:sz w:val="20"/>
          <w:szCs w:val="20"/>
        </w:rPr>
        <w:t xml:space="preserve"> 2022</w:t>
      </w:r>
      <w:r w:rsidR="00197879" w:rsidRPr="007853F8">
        <w:rPr>
          <w:rFonts w:ascii="Arial" w:hAnsi="Arial" w:cs="Arial"/>
          <w:i/>
          <w:sz w:val="20"/>
          <w:szCs w:val="20"/>
        </w:rPr>
        <w:t xml:space="preserve"> </w:t>
      </w:r>
      <w:r w:rsidR="00197879" w:rsidRPr="009C0DA6">
        <w:rPr>
          <w:rFonts w:ascii="Arial" w:hAnsi="Arial" w:cs="Arial"/>
          <w:b/>
          <w:sz w:val="21"/>
          <w:szCs w:val="21"/>
        </w:rPr>
        <w:t>–</w:t>
      </w:r>
      <w:r w:rsidR="00AB5142" w:rsidRPr="009C0DA6">
        <w:rPr>
          <w:rFonts w:ascii="Arial" w:hAnsi="Arial" w:cs="Arial"/>
          <w:b/>
          <w:sz w:val="21"/>
          <w:szCs w:val="21"/>
        </w:rPr>
        <w:t xml:space="preserve"> </w:t>
      </w:r>
      <w:r w:rsidR="00A04189" w:rsidRPr="009C0DA6">
        <w:rPr>
          <w:rFonts w:ascii="Arial" w:hAnsi="Arial" w:cs="Arial"/>
          <w:b/>
          <w:sz w:val="21"/>
          <w:szCs w:val="21"/>
        </w:rPr>
        <w:t xml:space="preserve">Podle výsledků Broker </w:t>
      </w:r>
      <w:proofErr w:type="spellStart"/>
      <w:r w:rsidR="00A04189" w:rsidRPr="009C0DA6">
        <w:rPr>
          <w:rFonts w:ascii="Arial" w:hAnsi="Arial" w:cs="Arial"/>
          <w:b/>
          <w:sz w:val="21"/>
          <w:szCs w:val="21"/>
        </w:rPr>
        <w:t>Consulting</w:t>
      </w:r>
      <w:proofErr w:type="spellEnd"/>
      <w:r w:rsidR="00A04189" w:rsidRPr="009C0DA6">
        <w:rPr>
          <w:rFonts w:ascii="Arial" w:hAnsi="Arial" w:cs="Arial"/>
          <w:b/>
          <w:sz w:val="21"/>
          <w:szCs w:val="21"/>
        </w:rPr>
        <w:t xml:space="preserve"> Indexu podílových fondů se během října situace na kapitálových trzích po zářijových poklesech dočasně zklidnila</w:t>
      </w:r>
      <w:r w:rsidR="007853F8" w:rsidRPr="009C0DA6">
        <w:rPr>
          <w:rFonts w:ascii="Arial" w:hAnsi="Arial" w:cs="Arial"/>
          <w:b/>
          <w:sz w:val="21"/>
          <w:szCs w:val="21"/>
        </w:rPr>
        <w:t xml:space="preserve">. Navzdory tomu index registruje mírnou volatilitu u většiny podílových fondů. Pozitivní vývoj ale zaznamenaly akcie, které </w:t>
      </w:r>
      <w:r w:rsidR="007853F8" w:rsidRPr="009C0DA6">
        <w:rPr>
          <w:rFonts w:ascii="Arial" w:hAnsi="Arial" w:cs="Arial"/>
          <w:b/>
          <w:noProof/>
          <w:sz w:val="21"/>
          <w:szCs w:val="21"/>
        </w:rPr>
        <w:t>si za říjen připsaly v průměru 5,71</w:t>
      </w:r>
      <w:r w:rsidR="00517A29">
        <w:rPr>
          <w:rFonts w:ascii="Arial" w:hAnsi="Arial" w:cs="Arial"/>
          <w:b/>
          <w:noProof/>
          <w:sz w:val="21"/>
          <w:szCs w:val="21"/>
        </w:rPr>
        <w:t xml:space="preserve"> procenta</w:t>
      </w:r>
      <w:r w:rsidR="007853F8" w:rsidRPr="009C0DA6">
        <w:rPr>
          <w:rFonts w:ascii="Arial" w:hAnsi="Arial" w:cs="Arial"/>
          <w:b/>
          <w:noProof/>
          <w:sz w:val="21"/>
          <w:szCs w:val="21"/>
        </w:rPr>
        <w:t xml:space="preserve">. </w:t>
      </w:r>
      <w:r w:rsidR="005809D3" w:rsidRPr="009C0DA6">
        <w:rPr>
          <w:rFonts w:ascii="Arial" w:hAnsi="Arial" w:cs="Arial"/>
          <w:b/>
          <w:noProof/>
          <w:sz w:val="21"/>
          <w:szCs w:val="21"/>
        </w:rPr>
        <w:t xml:space="preserve">Jejich obchodování bylo ovlivněno zejména příznivějšími kvartálními výsledky firem v USA a EU. </w:t>
      </w:r>
      <w:r w:rsidR="009C0DA6">
        <w:rPr>
          <w:rFonts w:ascii="Arial" w:hAnsi="Arial" w:cs="Arial"/>
          <w:b/>
          <w:noProof/>
          <w:sz w:val="21"/>
          <w:szCs w:val="21"/>
        </w:rPr>
        <w:t>Slabý pokles nastal opět na dluhopisových trzích</w:t>
      </w:r>
      <w:r w:rsidR="00A87479">
        <w:rPr>
          <w:rFonts w:ascii="Arial" w:hAnsi="Arial" w:cs="Arial"/>
          <w:b/>
          <w:noProof/>
          <w:sz w:val="21"/>
          <w:szCs w:val="21"/>
        </w:rPr>
        <w:t xml:space="preserve">. Mírnou </w:t>
      </w:r>
      <w:r w:rsidR="009C0DA6" w:rsidRPr="009C0DA6">
        <w:rPr>
          <w:rFonts w:ascii="Arial" w:hAnsi="Arial" w:cs="Arial"/>
          <w:b/>
          <w:sz w:val="21"/>
          <w:szCs w:val="21"/>
        </w:rPr>
        <w:t xml:space="preserve">volatilitu </w:t>
      </w:r>
      <w:r w:rsidR="00A87479">
        <w:rPr>
          <w:rFonts w:ascii="Arial" w:hAnsi="Arial" w:cs="Arial"/>
          <w:b/>
          <w:sz w:val="21"/>
          <w:szCs w:val="21"/>
        </w:rPr>
        <w:t xml:space="preserve">vedle toho </w:t>
      </w:r>
      <w:r w:rsidR="009C0DA6" w:rsidRPr="009C0DA6">
        <w:rPr>
          <w:rFonts w:ascii="Arial" w:hAnsi="Arial" w:cs="Arial"/>
          <w:b/>
          <w:sz w:val="21"/>
          <w:szCs w:val="21"/>
        </w:rPr>
        <w:t>vykazu</w:t>
      </w:r>
      <w:r w:rsidR="00A87479">
        <w:rPr>
          <w:rFonts w:ascii="Arial" w:hAnsi="Arial" w:cs="Arial"/>
          <w:b/>
          <w:sz w:val="21"/>
          <w:szCs w:val="21"/>
        </w:rPr>
        <w:t>jí také komoditní fondy, ačkoli</w:t>
      </w:r>
      <w:r w:rsidR="009C0DA6" w:rsidRPr="009C0DA6">
        <w:rPr>
          <w:rFonts w:ascii="Arial" w:hAnsi="Arial" w:cs="Arial"/>
          <w:b/>
          <w:sz w:val="21"/>
          <w:szCs w:val="21"/>
        </w:rPr>
        <w:t xml:space="preserve"> od začátku roku </w:t>
      </w:r>
      <w:r w:rsidR="00517A29">
        <w:rPr>
          <w:rFonts w:ascii="Arial" w:hAnsi="Arial" w:cs="Arial"/>
          <w:b/>
          <w:sz w:val="21"/>
          <w:szCs w:val="21"/>
        </w:rPr>
        <w:t xml:space="preserve">tendují </w:t>
      </w:r>
      <w:r w:rsidR="00B84424">
        <w:rPr>
          <w:rFonts w:ascii="Arial" w:hAnsi="Arial" w:cs="Arial"/>
          <w:b/>
          <w:sz w:val="21"/>
          <w:szCs w:val="21"/>
        </w:rPr>
        <w:t>k celkovému růstu</w:t>
      </w:r>
      <w:r w:rsidR="009C0DA6" w:rsidRPr="009C0DA6">
        <w:rPr>
          <w:rFonts w:ascii="Arial" w:hAnsi="Arial" w:cs="Arial"/>
          <w:b/>
          <w:sz w:val="21"/>
          <w:szCs w:val="21"/>
        </w:rPr>
        <w:t xml:space="preserve">. </w:t>
      </w:r>
      <w:r w:rsidR="00517A29">
        <w:rPr>
          <w:rFonts w:ascii="Arial" w:hAnsi="Arial" w:cs="Arial"/>
          <w:b/>
          <w:sz w:val="21"/>
          <w:szCs w:val="21"/>
        </w:rPr>
        <w:t>Ne</w:t>
      </w:r>
      <w:r w:rsidR="009C0DA6" w:rsidRPr="009C0DA6">
        <w:rPr>
          <w:rFonts w:ascii="Arial" w:hAnsi="Arial" w:cs="Arial"/>
          <w:b/>
          <w:sz w:val="21"/>
          <w:szCs w:val="21"/>
        </w:rPr>
        <w:t xml:space="preserve">movitostí fondy </w:t>
      </w:r>
      <w:r w:rsidR="00517A29">
        <w:rPr>
          <w:rFonts w:ascii="Arial" w:hAnsi="Arial" w:cs="Arial"/>
          <w:b/>
          <w:sz w:val="21"/>
          <w:szCs w:val="21"/>
        </w:rPr>
        <w:t xml:space="preserve">k tomu </w:t>
      </w:r>
      <w:r w:rsidR="009C0DA6" w:rsidRPr="009C0DA6">
        <w:rPr>
          <w:rFonts w:ascii="Arial" w:hAnsi="Arial" w:cs="Arial"/>
          <w:b/>
          <w:sz w:val="21"/>
          <w:szCs w:val="21"/>
        </w:rPr>
        <w:t>další měsíc v řadě zvýšily svou hodnotu, a to i přes postupné ochlazování nemovitostního trhu.</w:t>
      </w:r>
    </w:p>
    <w:p w14:paraId="4A9501E7" w14:textId="60700D42" w:rsidR="002A4750" w:rsidRPr="00F14155" w:rsidRDefault="002A4750" w:rsidP="000F0B3D">
      <w:pPr>
        <w:jc w:val="both"/>
        <w:rPr>
          <w:rFonts w:ascii="Arial" w:hAnsi="Arial" w:cs="Arial"/>
          <w:b/>
          <w:sz w:val="20"/>
          <w:szCs w:val="20"/>
        </w:rPr>
      </w:pPr>
    </w:p>
    <w:p w14:paraId="271BE8E3" w14:textId="11D13B72" w:rsidR="001D03BA" w:rsidRDefault="002A4750" w:rsidP="00A46073">
      <w:pPr>
        <w:jc w:val="both"/>
        <w:rPr>
          <w:rFonts w:ascii="Arial" w:hAnsi="Arial" w:cs="Arial"/>
          <w:sz w:val="20"/>
          <w:szCs w:val="20"/>
        </w:rPr>
      </w:pPr>
      <w:r w:rsidRPr="00F14155">
        <w:rPr>
          <w:rFonts w:ascii="Arial" w:hAnsi="Arial" w:cs="Arial"/>
          <w:sz w:val="20"/>
          <w:szCs w:val="20"/>
        </w:rPr>
        <w:t>„</w:t>
      </w:r>
      <w:r w:rsidR="00F14155" w:rsidRPr="00F14155">
        <w:rPr>
          <w:rFonts w:ascii="Arial" w:hAnsi="Arial" w:cs="Arial"/>
          <w:i/>
          <w:sz w:val="20"/>
          <w:szCs w:val="20"/>
        </w:rPr>
        <w:t xml:space="preserve">Dění na kapitálových trzích se oproti září odehrávalo během října v poměrně klidné atmosféře. </w:t>
      </w:r>
      <w:r w:rsidR="00F14155" w:rsidRPr="00F14155">
        <w:rPr>
          <w:rFonts w:ascii="Arial" w:hAnsi="Arial" w:cs="Arial"/>
          <w:i/>
          <w:noProof/>
          <w:sz w:val="20"/>
          <w:szCs w:val="20"/>
        </w:rPr>
        <w:t>U většiny podílových fondů jsme pozorovali pouze mírnou volatilitu,  po předchozích poklesech jsme se dokonce dočkali dočasného uklidnění na trzích</w:t>
      </w:r>
      <w:r w:rsidR="00F14155" w:rsidRPr="00F14155">
        <w:rPr>
          <w:rFonts w:ascii="Arial" w:hAnsi="Arial" w:cs="Arial"/>
          <w:sz w:val="20"/>
          <w:szCs w:val="20"/>
        </w:rPr>
        <w:t>,“ komentuje říjnové</w:t>
      </w:r>
      <w:r w:rsidRPr="00F14155">
        <w:rPr>
          <w:rFonts w:ascii="Arial" w:hAnsi="Arial" w:cs="Arial"/>
          <w:sz w:val="20"/>
          <w:szCs w:val="20"/>
        </w:rPr>
        <w:t xml:space="preserve"> výsledky </w:t>
      </w:r>
      <w:r w:rsidR="00F14155" w:rsidRPr="00F14155">
        <w:rPr>
          <w:rFonts w:ascii="Arial" w:hAnsi="Arial" w:cs="Arial"/>
          <w:sz w:val="20"/>
          <w:szCs w:val="20"/>
        </w:rPr>
        <w:t xml:space="preserve">Broker </w:t>
      </w:r>
      <w:proofErr w:type="spellStart"/>
      <w:r w:rsidR="00F14155" w:rsidRPr="00F14155">
        <w:rPr>
          <w:rFonts w:ascii="Arial" w:hAnsi="Arial" w:cs="Arial"/>
          <w:sz w:val="20"/>
          <w:szCs w:val="20"/>
        </w:rPr>
        <w:t>Consulting</w:t>
      </w:r>
      <w:proofErr w:type="spellEnd"/>
      <w:r w:rsidR="00F14155" w:rsidRPr="00F14155">
        <w:rPr>
          <w:rFonts w:ascii="Arial" w:hAnsi="Arial" w:cs="Arial"/>
          <w:sz w:val="20"/>
          <w:szCs w:val="20"/>
        </w:rPr>
        <w:t xml:space="preserve"> Indexu podílových fondů </w:t>
      </w:r>
      <w:r w:rsidRPr="00F14155">
        <w:rPr>
          <w:rFonts w:ascii="Arial" w:hAnsi="Arial" w:cs="Arial"/>
          <w:b/>
          <w:sz w:val="20"/>
          <w:szCs w:val="20"/>
        </w:rPr>
        <w:t xml:space="preserve">Martin Novák, hlavní analytik společnosti Broker </w:t>
      </w:r>
      <w:proofErr w:type="spellStart"/>
      <w:r w:rsidRPr="00F14155">
        <w:rPr>
          <w:rFonts w:ascii="Arial" w:hAnsi="Arial" w:cs="Arial"/>
          <w:b/>
          <w:sz w:val="20"/>
          <w:szCs w:val="20"/>
        </w:rPr>
        <w:t>Consulting</w:t>
      </w:r>
      <w:proofErr w:type="spellEnd"/>
      <w:r w:rsidRPr="00F14155">
        <w:rPr>
          <w:rFonts w:ascii="Arial" w:hAnsi="Arial" w:cs="Arial"/>
          <w:b/>
          <w:sz w:val="20"/>
          <w:szCs w:val="20"/>
        </w:rPr>
        <w:t>.</w:t>
      </w:r>
      <w:r w:rsidR="008807C3" w:rsidRPr="00F14155">
        <w:rPr>
          <w:rFonts w:ascii="Arial" w:hAnsi="Arial" w:cs="Arial"/>
          <w:sz w:val="20"/>
          <w:szCs w:val="20"/>
        </w:rPr>
        <w:t xml:space="preserve"> </w:t>
      </w:r>
    </w:p>
    <w:p w14:paraId="22E24A06" w14:textId="5E3E9834" w:rsidR="003B02A7" w:rsidRPr="002974F0" w:rsidRDefault="003B02A7" w:rsidP="00A46073">
      <w:pPr>
        <w:jc w:val="both"/>
        <w:rPr>
          <w:rFonts w:ascii="Arial" w:hAnsi="Arial" w:cs="Arial"/>
          <w:sz w:val="20"/>
          <w:szCs w:val="20"/>
        </w:rPr>
      </w:pPr>
    </w:p>
    <w:p w14:paraId="2261DC6F" w14:textId="6EE10017" w:rsidR="003B02A7" w:rsidRPr="002974F0" w:rsidRDefault="003B02A7" w:rsidP="00A46073">
      <w:pPr>
        <w:jc w:val="both"/>
        <w:rPr>
          <w:rFonts w:ascii="Arial" w:hAnsi="Arial" w:cs="Arial"/>
          <w:noProof/>
          <w:sz w:val="20"/>
          <w:szCs w:val="20"/>
        </w:rPr>
      </w:pPr>
      <w:r w:rsidRPr="002974F0">
        <w:rPr>
          <w:rFonts w:ascii="Arial" w:hAnsi="Arial" w:cs="Arial"/>
          <w:noProof/>
          <w:sz w:val="20"/>
          <w:szCs w:val="20"/>
        </w:rPr>
        <w:t xml:space="preserve">Nejvíce pozitivní vývoj zaznamenaly akcie, jejichž propad </w:t>
      </w:r>
      <w:r w:rsidR="00600436" w:rsidRPr="002974F0">
        <w:rPr>
          <w:rFonts w:ascii="Arial" w:hAnsi="Arial" w:cs="Arial"/>
          <w:noProof/>
          <w:sz w:val="20"/>
          <w:szCs w:val="20"/>
        </w:rPr>
        <w:t>pomohly</w:t>
      </w:r>
      <w:r w:rsidR="00360D43" w:rsidRPr="002974F0">
        <w:rPr>
          <w:rFonts w:ascii="Arial" w:hAnsi="Arial" w:cs="Arial"/>
          <w:noProof/>
          <w:sz w:val="20"/>
          <w:szCs w:val="20"/>
        </w:rPr>
        <w:t xml:space="preserve"> překonat optimistická očekávání </w:t>
      </w:r>
      <w:r w:rsidR="00600436" w:rsidRPr="002974F0">
        <w:rPr>
          <w:rFonts w:ascii="Arial" w:hAnsi="Arial" w:cs="Arial"/>
          <w:noProof/>
          <w:sz w:val="20"/>
          <w:szCs w:val="20"/>
        </w:rPr>
        <w:t>investorů v lepší kvartální výsledky</w:t>
      </w:r>
      <w:r w:rsidR="00360D43" w:rsidRPr="002974F0">
        <w:rPr>
          <w:rFonts w:ascii="Arial" w:hAnsi="Arial" w:cs="Arial"/>
          <w:noProof/>
          <w:sz w:val="20"/>
          <w:szCs w:val="20"/>
        </w:rPr>
        <w:t xml:space="preserve"> firem v USA a EU. </w:t>
      </w:r>
      <w:r w:rsidR="00C005B5">
        <w:rPr>
          <w:rFonts w:ascii="Arial" w:hAnsi="Arial" w:cs="Arial"/>
          <w:noProof/>
          <w:sz w:val="20"/>
          <w:szCs w:val="20"/>
        </w:rPr>
        <w:t xml:space="preserve">Jako dodatečný </w:t>
      </w:r>
      <w:r w:rsidR="002974F0" w:rsidRPr="002974F0">
        <w:rPr>
          <w:rFonts w:ascii="Arial" w:hAnsi="Arial" w:cs="Arial"/>
          <w:noProof/>
          <w:sz w:val="20"/>
          <w:szCs w:val="20"/>
        </w:rPr>
        <w:t>pozitivn</w:t>
      </w:r>
      <w:r w:rsidR="00C005B5">
        <w:rPr>
          <w:rFonts w:ascii="Arial" w:hAnsi="Arial" w:cs="Arial"/>
          <w:noProof/>
          <w:sz w:val="20"/>
          <w:szCs w:val="20"/>
        </w:rPr>
        <w:t>í</w:t>
      </w:r>
      <w:r w:rsidR="002974F0" w:rsidRPr="002974F0">
        <w:rPr>
          <w:rFonts w:ascii="Arial" w:hAnsi="Arial" w:cs="Arial"/>
          <w:noProof/>
          <w:sz w:val="20"/>
          <w:szCs w:val="20"/>
        </w:rPr>
        <w:t xml:space="preserve"> f</w:t>
      </w:r>
      <w:r w:rsidR="00C005B5">
        <w:rPr>
          <w:rFonts w:ascii="Arial" w:hAnsi="Arial" w:cs="Arial"/>
          <w:noProof/>
          <w:sz w:val="20"/>
          <w:szCs w:val="20"/>
        </w:rPr>
        <w:t>aktor působily</w:t>
      </w:r>
      <w:r w:rsidR="002974F0" w:rsidRPr="002974F0">
        <w:rPr>
          <w:rFonts w:ascii="Arial" w:hAnsi="Arial" w:cs="Arial"/>
          <w:noProof/>
          <w:sz w:val="20"/>
          <w:szCs w:val="20"/>
        </w:rPr>
        <w:t xml:space="preserve"> i spekulace</w:t>
      </w:r>
      <w:r w:rsidR="000B6B6D">
        <w:rPr>
          <w:rFonts w:ascii="Arial" w:hAnsi="Arial" w:cs="Arial"/>
          <w:noProof/>
          <w:sz w:val="20"/>
          <w:szCs w:val="20"/>
        </w:rPr>
        <w:t xml:space="preserve"> </w:t>
      </w:r>
      <w:r w:rsidR="009220A7">
        <w:rPr>
          <w:rFonts w:ascii="Arial" w:hAnsi="Arial" w:cs="Arial"/>
          <w:noProof/>
          <w:sz w:val="20"/>
          <w:szCs w:val="20"/>
        </w:rPr>
        <w:t>pramenící z vyhlídky</w:t>
      </w:r>
      <w:r w:rsidR="002974F0" w:rsidRPr="002974F0">
        <w:rPr>
          <w:rFonts w:ascii="Arial" w:hAnsi="Arial" w:cs="Arial"/>
          <w:noProof/>
          <w:sz w:val="20"/>
          <w:szCs w:val="20"/>
        </w:rPr>
        <w:t xml:space="preserve"> </w:t>
      </w:r>
      <w:r w:rsidR="009220A7">
        <w:rPr>
          <w:rFonts w:ascii="Arial" w:hAnsi="Arial" w:cs="Arial"/>
          <w:noProof/>
          <w:sz w:val="20"/>
          <w:szCs w:val="20"/>
        </w:rPr>
        <w:t xml:space="preserve">na </w:t>
      </w:r>
      <w:r w:rsidR="002974F0" w:rsidRPr="002974F0">
        <w:rPr>
          <w:rFonts w:ascii="Arial" w:hAnsi="Arial" w:cs="Arial"/>
          <w:noProof/>
          <w:sz w:val="20"/>
          <w:szCs w:val="20"/>
        </w:rPr>
        <w:t xml:space="preserve">zpomalení dosavadního tempa zvyšování úrokových sazeb. </w:t>
      </w:r>
      <w:r w:rsidR="00170034" w:rsidRPr="002974F0">
        <w:rPr>
          <w:rFonts w:ascii="Arial" w:hAnsi="Arial" w:cs="Arial"/>
          <w:noProof/>
          <w:sz w:val="20"/>
          <w:szCs w:val="20"/>
        </w:rPr>
        <w:t xml:space="preserve">I díky tomu si nakonec akciové fondy připsaly za říjen 5,71 procent, </w:t>
      </w:r>
      <w:r w:rsidR="000E1018">
        <w:rPr>
          <w:rFonts w:ascii="Arial" w:hAnsi="Arial" w:cs="Arial"/>
          <w:noProof/>
          <w:sz w:val="20"/>
          <w:szCs w:val="20"/>
        </w:rPr>
        <w:t>což znamená</w:t>
      </w:r>
      <w:r w:rsidR="000F4E1D">
        <w:rPr>
          <w:rFonts w:ascii="Arial" w:hAnsi="Arial" w:cs="Arial"/>
          <w:noProof/>
          <w:sz w:val="20"/>
          <w:szCs w:val="20"/>
        </w:rPr>
        <w:t xml:space="preserve"> </w:t>
      </w:r>
      <w:r w:rsidR="00170034" w:rsidRPr="002974F0">
        <w:rPr>
          <w:rFonts w:ascii="Arial" w:hAnsi="Arial" w:cs="Arial"/>
          <w:noProof/>
          <w:sz w:val="20"/>
          <w:szCs w:val="20"/>
        </w:rPr>
        <w:t xml:space="preserve">oproti </w:t>
      </w:r>
      <w:r w:rsidR="009220A7">
        <w:rPr>
          <w:rFonts w:ascii="Arial" w:hAnsi="Arial" w:cs="Arial"/>
          <w:noProof/>
          <w:sz w:val="20"/>
          <w:szCs w:val="20"/>
        </w:rPr>
        <w:t xml:space="preserve">září </w:t>
      </w:r>
      <w:r w:rsidR="000E1018">
        <w:rPr>
          <w:rFonts w:ascii="Arial" w:hAnsi="Arial" w:cs="Arial"/>
          <w:noProof/>
          <w:sz w:val="20"/>
          <w:szCs w:val="20"/>
        </w:rPr>
        <w:t>(-10,04 %)</w:t>
      </w:r>
      <w:r w:rsidR="00170034" w:rsidRPr="002974F0">
        <w:rPr>
          <w:rFonts w:ascii="Arial" w:hAnsi="Arial" w:cs="Arial"/>
          <w:noProof/>
          <w:sz w:val="20"/>
          <w:szCs w:val="20"/>
        </w:rPr>
        <w:t xml:space="preserve"> výrazný nárůst indexových hodnot, ve výši</w:t>
      </w:r>
      <w:r w:rsidR="00235EDC">
        <w:rPr>
          <w:rFonts w:ascii="Arial" w:hAnsi="Arial" w:cs="Arial"/>
          <w:noProof/>
          <w:sz w:val="20"/>
          <w:szCs w:val="20"/>
        </w:rPr>
        <w:t xml:space="preserve"> více jak patnácti </w:t>
      </w:r>
      <w:r w:rsidR="00170034" w:rsidRPr="002974F0">
        <w:rPr>
          <w:rFonts w:ascii="Arial" w:hAnsi="Arial" w:cs="Arial"/>
          <w:noProof/>
          <w:sz w:val="20"/>
          <w:szCs w:val="20"/>
        </w:rPr>
        <w:t>procentních bodů.</w:t>
      </w:r>
      <w:r w:rsidR="00BE55F1">
        <w:rPr>
          <w:rFonts w:ascii="Arial" w:hAnsi="Arial" w:cs="Arial"/>
          <w:noProof/>
          <w:sz w:val="20"/>
          <w:szCs w:val="20"/>
        </w:rPr>
        <w:t xml:space="preserve"> I přes říjnové výsledky se ale </w:t>
      </w:r>
      <w:r w:rsidR="00235EDC">
        <w:rPr>
          <w:rFonts w:ascii="Arial" w:hAnsi="Arial" w:cs="Arial"/>
          <w:noProof/>
          <w:sz w:val="20"/>
          <w:szCs w:val="20"/>
        </w:rPr>
        <w:t>akciové fondy</w:t>
      </w:r>
      <w:r w:rsidR="00BE55F1">
        <w:rPr>
          <w:rFonts w:ascii="Arial" w:hAnsi="Arial" w:cs="Arial"/>
          <w:noProof/>
          <w:sz w:val="20"/>
          <w:szCs w:val="20"/>
        </w:rPr>
        <w:t xml:space="preserve"> </w:t>
      </w:r>
      <w:r w:rsidR="00235EDC">
        <w:rPr>
          <w:rFonts w:ascii="Arial" w:hAnsi="Arial" w:cs="Arial"/>
          <w:noProof/>
          <w:sz w:val="20"/>
          <w:szCs w:val="20"/>
        </w:rPr>
        <w:t xml:space="preserve">stále pohybují </w:t>
      </w:r>
      <w:r w:rsidR="00BE55F1">
        <w:rPr>
          <w:rFonts w:ascii="Arial" w:hAnsi="Arial" w:cs="Arial"/>
          <w:noProof/>
          <w:sz w:val="20"/>
          <w:szCs w:val="20"/>
        </w:rPr>
        <w:t xml:space="preserve">od začítku roku v poklesu více než 25 procent. </w:t>
      </w:r>
    </w:p>
    <w:p w14:paraId="30199077" w14:textId="77777777" w:rsidR="00D40116" w:rsidRPr="00FF7C24" w:rsidRDefault="00D40116" w:rsidP="00EC304A">
      <w:pPr>
        <w:jc w:val="both"/>
        <w:rPr>
          <w:rFonts w:ascii="Arial" w:hAnsi="Arial" w:cs="Arial"/>
          <w:noProof/>
          <w:sz w:val="20"/>
          <w:szCs w:val="20"/>
        </w:rPr>
      </w:pPr>
    </w:p>
    <w:p w14:paraId="02F33669" w14:textId="4F03913F" w:rsidR="00FF7C24" w:rsidRPr="00CA6B02" w:rsidRDefault="00860EE4" w:rsidP="00EC304A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Zato n</w:t>
      </w:r>
      <w:r w:rsidR="00D40116" w:rsidRPr="000E60BE">
        <w:rPr>
          <w:rFonts w:ascii="Arial" w:hAnsi="Arial" w:cs="Arial"/>
          <w:sz w:val="20"/>
          <w:szCs w:val="20"/>
        </w:rPr>
        <w:t>a</w:t>
      </w:r>
      <w:r w:rsidR="0031770F" w:rsidRPr="000E60BE">
        <w:rPr>
          <w:rFonts w:ascii="Arial" w:hAnsi="Arial" w:cs="Arial"/>
          <w:sz w:val="20"/>
          <w:szCs w:val="20"/>
        </w:rPr>
        <w:t xml:space="preserve"> dluhopisovém trhu došlo k mírnému poklesu, </w:t>
      </w:r>
      <w:r w:rsidR="00D40116" w:rsidRPr="000E60BE">
        <w:rPr>
          <w:rFonts w:ascii="Arial" w:hAnsi="Arial" w:cs="Arial"/>
          <w:sz w:val="20"/>
          <w:szCs w:val="20"/>
        </w:rPr>
        <w:t>oproti zářijovým číslům</w:t>
      </w:r>
      <w:r w:rsidR="0031770F" w:rsidRPr="000E60BE">
        <w:rPr>
          <w:rFonts w:ascii="Arial" w:hAnsi="Arial" w:cs="Arial"/>
          <w:sz w:val="20"/>
          <w:szCs w:val="20"/>
        </w:rPr>
        <w:t xml:space="preserve"> (-3,51 %) </w:t>
      </w:r>
      <w:r>
        <w:rPr>
          <w:rFonts w:ascii="Arial" w:hAnsi="Arial" w:cs="Arial"/>
          <w:sz w:val="20"/>
          <w:szCs w:val="20"/>
        </w:rPr>
        <w:t>šlo ale konkrétně o</w:t>
      </w:r>
      <w:r w:rsidR="00D40116" w:rsidRPr="000E60BE">
        <w:rPr>
          <w:rFonts w:ascii="Arial" w:hAnsi="Arial" w:cs="Arial"/>
          <w:sz w:val="20"/>
          <w:szCs w:val="20"/>
        </w:rPr>
        <w:t xml:space="preserve"> ztrátu</w:t>
      </w:r>
      <w:r w:rsidR="00D40116" w:rsidRPr="000E60BE">
        <w:rPr>
          <w:rFonts w:ascii="Arial" w:hAnsi="Arial" w:cs="Arial"/>
          <w:noProof/>
          <w:sz w:val="20"/>
          <w:szCs w:val="20"/>
        </w:rPr>
        <w:t xml:space="preserve"> </w:t>
      </w:r>
      <w:r w:rsidR="00D40116" w:rsidRPr="00CA6B02">
        <w:rPr>
          <w:rFonts w:ascii="Arial" w:hAnsi="Arial" w:cs="Arial"/>
          <w:noProof/>
          <w:sz w:val="20"/>
          <w:szCs w:val="20"/>
        </w:rPr>
        <w:t>- </w:t>
      </w:r>
      <w:r>
        <w:rPr>
          <w:rFonts w:ascii="Arial" w:hAnsi="Arial" w:cs="Arial"/>
          <w:noProof/>
          <w:sz w:val="20"/>
          <w:szCs w:val="20"/>
        </w:rPr>
        <w:t>0,65 </w:t>
      </w:r>
      <w:r w:rsidR="00D40116" w:rsidRPr="00CA6B02">
        <w:rPr>
          <w:rFonts w:ascii="Arial" w:hAnsi="Arial" w:cs="Arial"/>
          <w:noProof/>
          <w:sz w:val="20"/>
          <w:szCs w:val="20"/>
        </w:rPr>
        <w:t>procenta</w:t>
      </w:r>
      <w:r w:rsidR="0031770F" w:rsidRPr="00CA6B02">
        <w:rPr>
          <w:rFonts w:ascii="Arial" w:hAnsi="Arial" w:cs="Arial"/>
          <w:noProof/>
          <w:sz w:val="20"/>
          <w:szCs w:val="20"/>
        </w:rPr>
        <w:t>.</w:t>
      </w:r>
      <w:r w:rsidR="0031770F" w:rsidRPr="00CA6B02">
        <w:rPr>
          <w:rFonts w:ascii="Arial" w:hAnsi="Arial" w:cs="Arial"/>
          <w:sz w:val="20"/>
          <w:szCs w:val="20"/>
        </w:rPr>
        <w:t xml:space="preserve"> „</w:t>
      </w:r>
      <w:r w:rsidR="0031770F" w:rsidRPr="00CA6B02">
        <w:rPr>
          <w:rFonts w:ascii="Arial" w:hAnsi="Arial" w:cs="Arial"/>
          <w:i/>
          <w:noProof/>
          <w:sz w:val="20"/>
          <w:szCs w:val="20"/>
        </w:rPr>
        <w:t>U Amerických a Evropských dluhopisů sice pozorujeme</w:t>
      </w:r>
      <w:r>
        <w:rPr>
          <w:rFonts w:ascii="Arial" w:hAnsi="Arial" w:cs="Arial"/>
          <w:i/>
          <w:noProof/>
          <w:sz w:val="20"/>
          <w:szCs w:val="20"/>
        </w:rPr>
        <w:t xml:space="preserve"> </w:t>
      </w:r>
      <w:r w:rsidR="0031770F" w:rsidRPr="00CA6B02">
        <w:rPr>
          <w:rFonts w:ascii="Arial" w:hAnsi="Arial" w:cs="Arial"/>
          <w:i/>
          <w:noProof/>
          <w:sz w:val="20"/>
          <w:szCs w:val="20"/>
        </w:rPr>
        <w:t>nárůst tržní ceny, české dluhopisy ale i přesto zaznamenaly za měsíc říjen malý pokles</w:t>
      </w:r>
      <w:r w:rsidR="0031770F" w:rsidRPr="00CA6B02">
        <w:rPr>
          <w:rFonts w:ascii="Arial" w:hAnsi="Arial" w:cs="Arial"/>
          <w:noProof/>
          <w:sz w:val="20"/>
          <w:szCs w:val="20"/>
        </w:rPr>
        <w:t xml:space="preserve">,“ dodává </w:t>
      </w:r>
      <w:r w:rsidR="0031770F" w:rsidRPr="00860EE4">
        <w:rPr>
          <w:rFonts w:ascii="Arial" w:hAnsi="Arial" w:cs="Arial"/>
          <w:b/>
          <w:noProof/>
          <w:sz w:val="20"/>
          <w:szCs w:val="20"/>
        </w:rPr>
        <w:t>Martin Novák</w:t>
      </w:r>
      <w:r w:rsidR="0031770F" w:rsidRPr="00CA6B02">
        <w:rPr>
          <w:rFonts w:ascii="Arial" w:hAnsi="Arial" w:cs="Arial"/>
          <w:noProof/>
          <w:sz w:val="20"/>
          <w:szCs w:val="20"/>
        </w:rPr>
        <w:t xml:space="preserve">. </w:t>
      </w:r>
      <w:r w:rsidR="00CE6480">
        <w:rPr>
          <w:rFonts w:ascii="Arial" w:hAnsi="Arial" w:cs="Arial"/>
          <w:noProof/>
          <w:sz w:val="20"/>
          <w:szCs w:val="20"/>
        </w:rPr>
        <w:t>Říjnové hodnoty</w:t>
      </w:r>
      <w:r w:rsidR="00FF7C24" w:rsidRPr="00CA6B02">
        <w:rPr>
          <w:rFonts w:ascii="Arial" w:hAnsi="Arial" w:cs="Arial"/>
          <w:noProof/>
          <w:sz w:val="20"/>
          <w:szCs w:val="20"/>
        </w:rPr>
        <w:t xml:space="preserve"> tak navázal</w:t>
      </w:r>
      <w:r w:rsidR="00927B66">
        <w:rPr>
          <w:rFonts w:ascii="Arial" w:hAnsi="Arial" w:cs="Arial"/>
          <w:noProof/>
          <w:sz w:val="20"/>
          <w:szCs w:val="20"/>
        </w:rPr>
        <w:t>y</w:t>
      </w:r>
      <w:r w:rsidR="00FF7C24" w:rsidRPr="00CA6B02">
        <w:rPr>
          <w:rFonts w:ascii="Arial" w:hAnsi="Arial" w:cs="Arial"/>
          <w:noProof/>
          <w:sz w:val="20"/>
          <w:szCs w:val="20"/>
        </w:rPr>
        <w:t xml:space="preserve"> na korekci, která </w:t>
      </w:r>
      <w:r w:rsidR="002761EE">
        <w:rPr>
          <w:rFonts w:ascii="Arial" w:hAnsi="Arial" w:cs="Arial"/>
          <w:noProof/>
          <w:sz w:val="20"/>
          <w:szCs w:val="20"/>
        </w:rPr>
        <w:t xml:space="preserve">trvá </w:t>
      </w:r>
      <w:r w:rsidR="00FF7C24" w:rsidRPr="00CA6B02">
        <w:rPr>
          <w:rFonts w:ascii="Arial" w:hAnsi="Arial" w:cs="Arial"/>
          <w:noProof/>
          <w:sz w:val="20"/>
          <w:szCs w:val="20"/>
        </w:rPr>
        <w:t xml:space="preserve">od začátku roku, a jež </w:t>
      </w:r>
      <w:r w:rsidR="00CE6480">
        <w:rPr>
          <w:rFonts w:ascii="Arial" w:hAnsi="Arial" w:cs="Arial"/>
          <w:noProof/>
          <w:sz w:val="20"/>
          <w:szCs w:val="20"/>
        </w:rPr>
        <w:t>meziročně dosahuje</w:t>
      </w:r>
      <w:r w:rsidR="00FF7C24" w:rsidRPr="00CA6B02">
        <w:rPr>
          <w:rFonts w:ascii="Arial" w:hAnsi="Arial" w:cs="Arial"/>
          <w:noProof/>
          <w:sz w:val="20"/>
          <w:szCs w:val="20"/>
        </w:rPr>
        <w:t xml:space="preserve"> 16,18 %</w:t>
      </w:r>
      <w:r w:rsidR="00927B66">
        <w:rPr>
          <w:rFonts w:ascii="Arial" w:hAnsi="Arial" w:cs="Arial"/>
          <w:noProof/>
          <w:sz w:val="20"/>
          <w:szCs w:val="20"/>
        </w:rPr>
        <w:t xml:space="preserve">. Malý pokles zaznamenal index </w:t>
      </w:r>
      <w:r w:rsidR="00FF7C24" w:rsidRPr="00CA6B02">
        <w:rPr>
          <w:rFonts w:ascii="Arial" w:hAnsi="Arial" w:cs="Arial"/>
          <w:noProof/>
          <w:sz w:val="20"/>
          <w:szCs w:val="20"/>
        </w:rPr>
        <w:t xml:space="preserve">u fondů peněžního trhu, </w:t>
      </w:r>
      <w:r w:rsidR="00927B66">
        <w:rPr>
          <w:rFonts w:ascii="Arial" w:hAnsi="Arial" w:cs="Arial"/>
          <w:noProof/>
          <w:sz w:val="20"/>
          <w:szCs w:val="20"/>
        </w:rPr>
        <w:t>které</w:t>
      </w:r>
      <w:r w:rsidR="000E60BE" w:rsidRPr="00CA6B02">
        <w:rPr>
          <w:rFonts w:ascii="Arial" w:hAnsi="Arial" w:cs="Arial"/>
          <w:noProof/>
          <w:sz w:val="20"/>
          <w:szCs w:val="20"/>
        </w:rPr>
        <w:t xml:space="preserve"> </w:t>
      </w:r>
      <w:r w:rsidR="00FF7C24" w:rsidRPr="00CA6B02">
        <w:rPr>
          <w:rFonts w:ascii="Arial" w:hAnsi="Arial" w:cs="Arial"/>
          <w:noProof/>
          <w:sz w:val="20"/>
          <w:szCs w:val="20"/>
        </w:rPr>
        <w:t>skončily s</w:t>
      </w:r>
      <w:r w:rsidR="00927B66">
        <w:rPr>
          <w:rFonts w:ascii="Arial" w:hAnsi="Arial" w:cs="Arial"/>
          <w:noProof/>
          <w:sz w:val="20"/>
          <w:szCs w:val="20"/>
        </w:rPr>
        <w:t xml:space="preserve"> úbytkem</w:t>
      </w:r>
      <w:r w:rsidR="000E60BE" w:rsidRPr="00CA6B02">
        <w:rPr>
          <w:rFonts w:ascii="Arial" w:hAnsi="Arial" w:cs="Arial"/>
          <w:noProof/>
          <w:sz w:val="20"/>
          <w:szCs w:val="20"/>
        </w:rPr>
        <w:t xml:space="preserve"> o 0,88 procenta. Také komodity v</w:t>
      </w:r>
      <w:r w:rsidR="00B84424">
        <w:rPr>
          <w:rFonts w:ascii="Arial" w:hAnsi="Arial" w:cs="Arial"/>
          <w:sz w:val="20"/>
          <w:szCs w:val="20"/>
        </w:rPr>
        <w:t>ykazují</w:t>
      </w:r>
      <w:r w:rsidR="000E60BE" w:rsidRPr="00CA6B02">
        <w:rPr>
          <w:rFonts w:ascii="Arial" w:hAnsi="Arial" w:cs="Arial"/>
          <w:sz w:val="20"/>
          <w:szCs w:val="20"/>
        </w:rPr>
        <w:t xml:space="preserve"> mírnou volatilitu</w:t>
      </w:r>
      <w:r w:rsidR="002761EE">
        <w:rPr>
          <w:rFonts w:ascii="Arial" w:hAnsi="Arial" w:cs="Arial"/>
          <w:sz w:val="20"/>
          <w:szCs w:val="20"/>
        </w:rPr>
        <w:t xml:space="preserve">, ty se ale </w:t>
      </w:r>
      <w:r w:rsidR="000E60BE" w:rsidRPr="00CA6B02">
        <w:rPr>
          <w:rFonts w:ascii="Arial" w:hAnsi="Arial" w:cs="Arial"/>
          <w:sz w:val="20"/>
          <w:szCs w:val="20"/>
        </w:rPr>
        <w:t>od začátku roku</w:t>
      </w:r>
      <w:r w:rsidR="009220A7">
        <w:rPr>
          <w:rFonts w:ascii="Arial" w:hAnsi="Arial" w:cs="Arial"/>
          <w:sz w:val="20"/>
          <w:szCs w:val="20"/>
        </w:rPr>
        <w:t xml:space="preserve"> vyskytují </w:t>
      </w:r>
      <w:r w:rsidR="000E60BE" w:rsidRPr="00CA6B02">
        <w:rPr>
          <w:rFonts w:ascii="Arial" w:hAnsi="Arial" w:cs="Arial"/>
          <w:sz w:val="20"/>
          <w:szCs w:val="20"/>
        </w:rPr>
        <w:t>dík</w:t>
      </w:r>
      <w:r w:rsidR="00B84424">
        <w:rPr>
          <w:rFonts w:ascii="Arial" w:hAnsi="Arial" w:cs="Arial"/>
          <w:sz w:val="20"/>
          <w:szCs w:val="20"/>
        </w:rPr>
        <w:t>y</w:t>
      </w:r>
      <w:r w:rsidR="000E60BE" w:rsidRPr="00CA6B02">
        <w:rPr>
          <w:rFonts w:ascii="Arial" w:hAnsi="Arial" w:cs="Arial"/>
          <w:sz w:val="20"/>
          <w:szCs w:val="20"/>
        </w:rPr>
        <w:t xml:space="preserve"> inflaci v rostoucím trendu</w:t>
      </w:r>
      <w:r w:rsidR="00376855">
        <w:rPr>
          <w:rFonts w:ascii="Arial" w:hAnsi="Arial" w:cs="Arial"/>
          <w:sz w:val="20"/>
          <w:szCs w:val="20"/>
        </w:rPr>
        <w:t xml:space="preserve">. I u nich je však </w:t>
      </w:r>
      <w:r w:rsidR="000E60BE" w:rsidRPr="00CA6B02">
        <w:rPr>
          <w:rFonts w:ascii="Arial" w:hAnsi="Arial" w:cs="Arial"/>
          <w:sz w:val="20"/>
          <w:szCs w:val="20"/>
        </w:rPr>
        <w:t>v posledních měsících patrná korekce.</w:t>
      </w:r>
    </w:p>
    <w:p w14:paraId="05D05726" w14:textId="0AF60F8F" w:rsidR="006E564C" w:rsidRPr="00CA6B02" w:rsidRDefault="006E564C" w:rsidP="0030505E">
      <w:pPr>
        <w:jc w:val="both"/>
        <w:rPr>
          <w:rFonts w:ascii="Arial" w:hAnsi="Arial" w:cs="Arial"/>
          <w:sz w:val="20"/>
          <w:szCs w:val="20"/>
        </w:rPr>
      </w:pPr>
    </w:p>
    <w:p w14:paraId="19BAF81B" w14:textId="010BFED3" w:rsidR="006E564C" w:rsidRPr="00CA6B02" w:rsidRDefault="00CA6B02" w:rsidP="0030505E">
      <w:pPr>
        <w:jc w:val="both"/>
        <w:rPr>
          <w:rFonts w:ascii="Arial" w:hAnsi="Arial" w:cs="Arial"/>
          <w:sz w:val="20"/>
          <w:szCs w:val="20"/>
        </w:rPr>
      </w:pPr>
      <w:r w:rsidRPr="00CA6B02">
        <w:rPr>
          <w:rFonts w:ascii="Arial" w:hAnsi="Arial" w:cs="Arial"/>
          <w:sz w:val="20"/>
          <w:szCs w:val="20"/>
        </w:rPr>
        <w:t>Zisk si vedle akcií přips</w:t>
      </w:r>
      <w:r w:rsidR="009220A7">
        <w:rPr>
          <w:rFonts w:ascii="Arial" w:hAnsi="Arial" w:cs="Arial"/>
          <w:sz w:val="20"/>
          <w:szCs w:val="20"/>
        </w:rPr>
        <w:t>aly opět nemovitostní fondy. Tyto fondy si</w:t>
      </w:r>
      <w:r w:rsidR="00F81DA7">
        <w:rPr>
          <w:rFonts w:ascii="Arial" w:hAnsi="Arial" w:cs="Arial"/>
          <w:sz w:val="20"/>
          <w:szCs w:val="20"/>
        </w:rPr>
        <w:t xml:space="preserve"> </w:t>
      </w:r>
      <w:r w:rsidRPr="00CA6B02">
        <w:rPr>
          <w:rFonts w:ascii="Arial" w:hAnsi="Arial" w:cs="Arial"/>
          <w:sz w:val="20"/>
          <w:szCs w:val="20"/>
        </w:rPr>
        <w:t>i přes postupné ochlazování nemov</w:t>
      </w:r>
      <w:r w:rsidR="00F81DA7">
        <w:rPr>
          <w:rFonts w:ascii="Arial" w:hAnsi="Arial" w:cs="Arial"/>
          <w:sz w:val="20"/>
          <w:szCs w:val="20"/>
        </w:rPr>
        <w:t xml:space="preserve">itostního trhu udržují </w:t>
      </w:r>
      <w:r w:rsidRPr="00CA6B02">
        <w:rPr>
          <w:rFonts w:ascii="Arial" w:hAnsi="Arial" w:cs="Arial"/>
          <w:sz w:val="20"/>
          <w:szCs w:val="20"/>
        </w:rPr>
        <w:t>měsíc z</w:t>
      </w:r>
      <w:r w:rsidR="00F81DA7">
        <w:rPr>
          <w:rFonts w:ascii="Arial" w:hAnsi="Arial" w:cs="Arial"/>
          <w:sz w:val="20"/>
          <w:szCs w:val="20"/>
        </w:rPr>
        <w:t>a měsícem</w:t>
      </w:r>
      <w:r w:rsidRPr="00CA6B02">
        <w:rPr>
          <w:rFonts w:ascii="Arial" w:hAnsi="Arial" w:cs="Arial"/>
          <w:sz w:val="20"/>
          <w:szCs w:val="20"/>
        </w:rPr>
        <w:t xml:space="preserve"> hodnotu dlouhodobě rostoucího trendu.  V říjnu vykázaly zisk v průměru 0,66 procenta.</w:t>
      </w:r>
    </w:p>
    <w:p w14:paraId="6818AD57" w14:textId="3CB7F0B3" w:rsidR="00132BF9" w:rsidRPr="000D3E1D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78FC771B" w:rsidR="000C5411" w:rsidRDefault="00D2771F" w:rsidP="006061BD">
      <w:pPr>
        <w:jc w:val="center"/>
        <w:rPr>
          <w:rFonts w:ascii="Arial" w:hAnsi="Arial" w:cs="Arial"/>
          <w:sz w:val="20"/>
          <w:szCs w:val="20"/>
        </w:rPr>
      </w:pPr>
      <w:r w:rsidRPr="00D2771F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1C853FD3" wp14:editId="573CAC0E">
            <wp:extent cx="5715000" cy="1333500"/>
            <wp:effectExtent l="19050" t="19050" r="19050" b="19050"/>
            <wp:docPr id="1" name="Obrázek 1" descr="C:\Users\msahulova\Desktop\INVESTIČNÍ INDEX\Graf BC Index podílových fondů - říj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INVESTIČNÍ INDEX\Graf BC Index podílových fondů - říj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82581" w14:textId="3216EFE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554A42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44A574E1" w:rsidR="003805E6" w:rsidRPr="00957DEA" w:rsidRDefault="00836812" w:rsidP="00A12A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3805E6"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="003805E6"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="003805E6"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</w:t>
      </w:r>
      <w:r w:rsidR="003805E6" w:rsidRPr="00957DEA">
        <w:rPr>
          <w:rFonts w:ascii="Arial" w:hAnsi="Arial" w:cs="Arial"/>
          <w:sz w:val="20"/>
          <w:szCs w:val="20"/>
        </w:rPr>
        <w:lastRenderedPageBreak/>
        <w:t xml:space="preserve">pro období </w:t>
      </w:r>
      <w:proofErr w:type="spellStart"/>
      <w:r w:rsidR="003805E6"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="003805E6"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7D3C1D2B" w14:textId="2C0E88DE" w:rsidR="00836812" w:rsidRDefault="00836812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3289E" w14:textId="77777777" w:rsidR="005655BD" w:rsidRDefault="005655BD">
      <w:r>
        <w:separator/>
      </w:r>
    </w:p>
  </w:endnote>
  <w:endnote w:type="continuationSeparator" w:id="0">
    <w:p w14:paraId="28985730" w14:textId="77777777" w:rsidR="005655BD" w:rsidRDefault="0056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5655BD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5655BD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5655BD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18BB6" w14:textId="77777777" w:rsidR="005655BD" w:rsidRDefault="005655BD">
      <w:r>
        <w:separator/>
      </w:r>
    </w:p>
  </w:footnote>
  <w:footnote w:type="continuationSeparator" w:id="0">
    <w:p w14:paraId="08731521" w14:textId="77777777" w:rsidR="005655BD" w:rsidRDefault="0056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20EC7"/>
    <w:rsid w:val="000239F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479F1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60E"/>
    <w:rsid w:val="000B6B6D"/>
    <w:rsid w:val="000C5411"/>
    <w:rsid w:val="000D14E2"/>
    <w:rsid w:val="000D3E1D"/>
    <w:rsid w:val="000D46D7"/>
    <w:rsid w:val="000E1018"/>
    <w:rsid w:val="000E1085"/>
    <w:rsid w:val="000E1337"/>
    <w:rsid w:val="000E3D86"/>
    <w:rsid w:val="000E60BE"/>
    <w:rsid w:val="000E672C"/>
    <w:rsid w:val="000E79A9"/>
    <w:rsid w:val="000F0B3D"/>
    <w:rsid w:val="000F265E"/>
    <w:rsid w:val="000F4E1D"/>
    <w:rsid w:val="000F5AB4"/>
    <w:rsid w:val="000F6249"/>
    <w:rsid w:val="001068FC"/>
    <w:rsid w:val="001103A6"/>
    <w:rsid w:val="00110812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6AB1"/>
    <w:rsid w:val="001675AF"/>
    <w:rsid w:val="00170034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07A"/>
    <w:rsid w:val="001A613B"/>
    <w:rsid w:val="001B088B"/>
    <w:rsid w:val="001B21B5"/>
    <w:rsid w:val="001B501B"/>
    <w:rsid w:val="001B6EFB"/>
    <w:rsid w:val="001C58A4"/>
    <w:rsid w:val="001C603A"/>
    <w:rsid w:val="001D015A"/>
    <w:rsid w:val="001D03BA"/>
    <w:rsid w:val="001D3DFC"/>
    <w:rsid w:val="001D5D27"/>
    <w:rsid w:val="001E4209"/>
    <w:rsid w:val="001E48DE"/>
    <w:rsid w:val="001E54E2"/>
    <w:rsid w:val="001E763B"/>
    <w:rsid w:val="001F032C"/>
    <w:rsid w:val="001F7194"/>
    <w:rsid w:val="001F71BA"/>
    <w:rsid w:val="002141AF"/>
    <w:rsid w:val="002150CB"/>
    <w:rsid w:val="002217AA"/>
    <w:rsid w:val="00221820"/>
    <w:rsid w:val="002225C6"/>
    <w:rsid w:val="00235EDC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551"/>
    <w:rsid w:val="00270DB3"/>
    <w:rsid w:val="002745EF"/>
    <w:rsid w:val="002761EE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7937"/>
    <w:rsid w:val="002B03FE"/>
    <w:rsid w:val="002B2EDF"/>
    <w:rsid w:val="002B43B8"/>
    <w:rsid w:val="002B46FF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6311"/>
    <w:rsid w:val="002F002B"/>
    <w:rsid w:val="002F2E49"/>
    <w:rsid w:val="002F3074"/>
    <w:rsid w:val="002F485A"/>
    <w:rsid w:val="002F7EC2"/>
    <w:rsid w:val="0030348B"/>
    <w:rsid w:val="0030505E"/>
    <w:rsid w:val="00307229"/>
    <w:rsid w:val="00307E95"/>
    <w:rsid w:val="00310DBC"/>
    <w:rsid w:val="003128F8"/>
    <w:rsid w:val="00313082"/>
    <w:rsid w:val="0031770F"/>
    <w:rsid w:val="00322A3F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7557"/>
    <w:rsid w:val="00347D68"/>
    <w:rsid w:val="00352515"/>
    <w:rsid w:val="00355366"/>
    <w:rsid w:val="00355B3D"/>
    <w:rsid w:val="00355D3E"/>
    <w:rsid w:val="003606E0"/>
    <w:rsid w:val="00360D43"/>
    <w:rsid w:val="003629B6"/>
    <w:rsid w:val="003655AB"/>
    <w:rsid w:val="003721AD"/>
    <w:rsid w:val="003747DC"/>
    <w:rsid w:val="00376855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B02A7"/>
    <w:rsid w:val="003B0E4F"/>
    <w:rsid w:val="003B46D1"/>
    <w:rsid w:val="003C0CBE"/>
    <w:rsid w:val="003D10B1"/>
    <w:rsid w:val="003D1987"/>
    <w:rsid w:val="003D2036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38D9"/>
    <w:rsid w:val="004443E3"/>
    <w:rsid w:val="00445D0A"/>
    <w:rsid w:val="004478A0"/>
    <w:rsid w:val="0045405B"/>
    <w:rsid w:val="00454843"/>
    <w:rsid w:val="004553A8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2AFA"/>
    <w:rsid w:val="004B5797"/>
    <w:rsid w:val="004C398C"/>
    <w:rsid w:val="004C3F71"/>
    <w:rsid w:val="004C7DDE"/>
    <w:rsid w:val="004D00AF"/>
    <w:rsid w:val="004D3977"/>
    <w:rsid w:val="004E18FD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2F01"/>
    <w:rsid w:val="005139C3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263D"/>
    <w:rsid w:val="00554A42"/>
    <w:rsid w:val="005575DE"/>
    <w:rsid w:val="00560C6D"/>
    <w:rsid w:val="005655BD"/>
    <w:rsid w:val="005663AE"/>
    <w:rsid w:val="00576F53"/>
    <w:rsid w:val="00577D19"/>
    <w:rsid w:val="005809D3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0AEF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253F"/>
    <w:rsid w:val="006135FD"/>
    <w:rsid w:val="00614133"/>
    <w:rsid w:val="006172AA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4286C"/>
    <w:rsid w:val="00650189"/>
    <w:rsid w:val="00650654"/>
    <w:rsid w:val="00650DD6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29B7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03F"/>
    <w:rsid w:val="006D65EC"/>
    <w:rsid w:val="006D7BF3"/>
    <w:rsid w:val="006E12FE"/>
    <w:rsid w:val="006E26DC"/>
    <w:rsid w:val="006E564C"/>
    <w:rsid w:val="006F052D"/>
    <w:rsid w:val="006F1124"/>
    <w:rsid w:val="006F2045"/>
    <w:rsid w:val="006F32FB"/>
    <w:rsid w:val="00705D83"/>
    <w:rsid w:val="00710523"/>
    <w:rsid w:val="0071058C"/>
    <w:rsid w:val="007142D0"/>
    <w:rsid w:val="0072112F"/>
    <w:rsid w:val="00732F8D"/>
    <w:rsid w:val="0073328E"/>
    <w:rsid w:val="0073706E"/>
    <w:rsid w:val="007373A6"/>
    <w:rsid w:val="0073790D"/>
    <w:rsid w:val="00737D83"/>
    <w:rsid w:val="00740FE3"/>
    <w:rsid w:val="00744343"/>
    <w:rsid w:val="0074449D"/>
    <w:rsid w:val="00750BD4"/>
    <w:rsid w:val="00755700"/>
    <w:rsid w:val="00757D8B"/>
    <w:rsid w:val="00760B0E"/>
    <w:rsid w:val="00761868"/>
    <w:rsid w:val="00761D9B"/>
    <w:rsid w:val="00762D33"/>
    <w:rsid w:val="00765FD4"/>
    <w:rsid w:val="00767C3D"/>
    <w:rsid w:val="00771B91"/>
    <w:rsid w:val="00771DFE"/>
    <w:rsid w:val="007733DB"/>
    <w:rsid w:val="00776CBE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C0BC2"/>
    <w:rsid w:val="007C32F8"/>
    <w:rsid w:val="007C3AAA"/>
    <w:rsid w:val="007C5CE8"/>
    <w:rsid w:val="007C7073"/>
    <w:rsid w:val="007C7B64"/>
    <w:rsid w:val="007D29E5"/>
    <w:rsid w:val="007E1FBA"/>
    <w:rsid w:val="007E5614"/>
    <w:rsid w:val="007F048B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34"/>
    <w:rsid w:val="00846F99"/>
    <w:rsid w:val="00851C45"/>
    <w:rsid w:val="00855897"/>
    <w:rsid w:val="00860837"/>
    <w:rsid w:val="00860EE4"/>
    <w:rsid w:val="00863B54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480A"/>
    <w:rsid w:val="008C0E53"/>
    <w:rsid w:val="008C1795"/>
    <w:rsid w:val="008C4B0D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4004"/>
    <w:rsid w:val="00906176"/>
    <w:rsid w:val="00906C63"/>
    <w:rsid w:val="00906E67"/>
    <w:rsid w:val="00913530"/>
    <w:rsid w:val="00915ADA"/>
    <w:rsid w:val="00915DB2"/>
    <w:rsid w:val="009220A7"/>
    <w:rsid w:val="009222C9"/>
    <w:rsid w:val="00927B66"/>
    <w:rsid w:val="00927EB8"/>
    <w:rsid w:val="00932625"/>
    <w:rsid w:val="00934023"/>
    <w:rsid w:val="009344C2"/>
    <w:rsid w:val="00935552"/>
    <w:rsid w:val="009356F6"/>
    <w:rsid w:val="00941A60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1554"/>
    <w:rsid w:val="009A6705"/>
    <w:rsid w:val="009A69B1"/>
    <w:rsid w:val="009A71FE"/>
    <w:rsid w:val="009B043D"/>
    <w:rsid w:val="009B608A"/>
    <w:rsid w:val="009B691E"/>
    <w:rsid w:val="009C0DA6"/>
    <w:rsid w:val="009C0ECA"/>
    <w:rsid w:val="009C0F81"/>
    <w:rsid w:val="009C17C7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4189"/>
    <w:rsid w:val="00A069E2"/>
    <w:rsid w:val="00A1093F"/>
    <w:rsid w:val="00A11C0F"/>
    <w:rsid w:val="00A11C90"/>
    <w:rsid w:val="00A12A99"/>
    <w:rsid w:val="00A13346"/>
    <w:rsid w:val="00A15E33"/>
    <w:rsid w:val="00A1653A"/>
    <w:rsid w:val="00A16F18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5879"/>
    <w:rsid w:val="00A55E01"/>
    <w:rsid w:val="00A55E85"/>
    <w:rsid w:val="00A56CD6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B5142"/>
    <w:rsid w:val="00AC614D"/>
    <w:rsid w:val="00AD2CA1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4424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24F3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BE3"/>
    <w:rsid w:val="00C04E58"/>
    <w:rsid w:val="00C15B3C"/>
    <w:rsid w:val="00C16B89"/>
    <w:rsid w:val="00C20A13"/>
    <w:rsid w:val="00C2215A"/>
    <w:rsid w:val="00C22A46"/>
    <w:rsid w:val="00C23E32"/>
    <w:rsid w:val="00C2463C"/>
    <w:rsid w:val="00C248C1"/>
    <w:rsid w:val="00C24953"/>
    <w:rsid w:val="00C31207"/>
    <w:rsid w:val="00C36515"/>
    <w:rsid w:val="00C407C4"/>
    <w:rsid w:val="00C42FAF"/>
    <w:rsid w:val="00C437E1"/>
    <w:rsid w:val="00C45467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A6B02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293E"/>
    <w:rsid w:val="00CD3324"/>
    <w:rsid w:val="00CE2505"/>
    <w:rsid w:val="00CE2BEB"/>
    <w:rsid w:val="00CE6480"/>
    <w:rsid w:val="00CE6C6E"/>
    <w:rsid w:val="00CE7090"/>
    <w:rsid w:val="00CF4242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771F"/>
    <w:rsid w:val="00D30854"/>
    <w:rsid w:val="00D31127"/>
    <w:rsid w:val="00D32EE1"/>
    <w:rsid w:val="00D33258"/>
    <w:rsid w:val="00D40116"/>
    <w:rsid w:val="00D453BF"/>
    <w:rsid w:val="00D45C7A"/>
    <w:rsid w:val="00D46B44"/>
    <w:rsid w:val="00D50703"/>
    <w:rsid w:val="00D56BD6"/>
    <w:rsid w:val="00D60D98"/>
    <w:rsid w:val="00D737C7"/>
    <w:rsid w:val="00D750F3"/>
    <w:rsid w:val="00D759AC"/>
    <w:rsid w:val="00D76C6E"/>
    <w:rsid w:val="00D80B6D"/>
    <w:rsid w:val="00D80FAF"/>
    <w:rsid w:val="00D83938"/>
    <w:rsid w:val="00D8513A"/>
    <w:rsid w:val="00D85BBB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30D0"/>
    <w:rsid w:val="00DC3F71"/>
    <w:rsid w:val="00DC5C33"/>
    <w:rsid w:val="00DC5F84"/>
    <w:rsid w:val="00DD154C"/>
    <w:rsid w:val="00DD205C"/>
    <w:rsid w:val="00DD4BDD"/>
    <w:rsid w:val="00DD6E74"/>
    <w:rsid w:val="00DE5847"/>
    <w:rsid w:val="00DE69CC"/>
    <w:rsid w:val="00DF04DA"/>
    <w:rsid w:val="00DF6AE1"/>
    <w:rsid w:val="00DF72D4"/>
    <w:rsid w:val="00E00DC6"/>
    <w:rsid w:val="00E02292"/>
    <w:rsid w:val="00E05471"/>
    <w:rsid w:val="00E05804"/>
    <w:rsid w:val="00E058A3"/>
    <w:rsid w:val="00E151F3"/>
    <w:rsid w:val="00E15A82"/>
    <w:rsid w:val="00E17539"/>
    <w:rsid w:val="00E2306C"/>
    <w:rsid w:val="00E32181"/>
    <w:rsid w:val="00E42296"/>
    <w:rsid w:val="00E44495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AB1"/>
    <w:rsid w:val="00EC2121"/>
    <w:rsid w:val="00EC304A"/>
    <w:rsid w:val="00EC3BD3"/>
    <w:rsid w:val="00EC4F4C"/>
    <w:rsid w:val="00EC73D3"/>
    <w:rsid w:val="00EC7F0E"/>
    <w:rsid w:val="00ED2D1F"/>
    <w:rsid w:val="00ED58E9"/>
    <w:rsid w:val="00ED79D6"/>
    <w:rsid w:val="00EE1831"/>
    <w:rsid w:val="00EE2EA3"/>
    <w:rsid w:val="00EE6DD8"/>
    <w:rsid w:val="00EF2F7C"/>
    <w:rsid w:val="00F00576"/>
    <w:rsid w:val="00F01CBF"/>
    <w:rsid w:val="00F03F85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598D"/>
    <w:rsid w:val="00F27E5C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1DA7"/>
    <w:rsid w:val="00F852D9"/>
    <w:rsid w:val="00F87177"/>
    <w:rsid w:val="00F9173C"/>
    <w:rsid w:val="00F9256E"/>
    <w:rsid w:val="00F967A1"/>
    <w:rsid w:val="00F96EED"/>
    <w:rsid w:val="00F97B53"/>
    <w:rsid w:val="00FA0081"/>
    <w:rsid w:val="00FA00DD"/>
    <w:rsid w:val="00FA1F74"/>
    <w:rsid w:val="00FB062E"/>
    <w:rsid w:val="00FB18D0"/>
    <w:rsid w:val="00FB2ED6"/>
    <w:rsid w:val="00FB3A74"/>
    <w:rsid w:val="00FC00C6"/>
    <w:rsid w:val="00FC1486"/>
    <w:rsid w:val="00FC2522"/>
    <w:rsid w:val="00FC31B6"/>
    <w:rsid w:val="00FC4324"/>
    <w:rsid w:val="00FC5B56"/>
    <w:rsid w:val="00FD4B12"/>
    <w:rsid w:val="00FD7D67"/>
    <w:rsid w:val="00FE494C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B1406E-35DB-4EEF-9AC5-0E7612BE4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3</Pages>
  <Words>847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31</cp:revision>
  <dcterms:created xsi:type="dcterms:W3CDTF">2022-11-11T09:06:00Z</dcterms:created>
  <dcterms:modified xsi:type="dcterms:W3CDTF">2022-11-15T13:27:00Z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