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487392F9"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Pr>
              <w:rFonts w:ascii="Arial" w:hAnsi="Arial" w:cs="Arial"/>
              <w:sz w:val="18"/>
            </w:rPr>
            <w:t xml:space="preserve"> Broker </w:t>
          </w:r>
          <w:proofErr w:type="spellStart"/>
          <w:r w:rsidR="00243C49">
            <w:rPr>
              <w:rFonts w:ascii="Arial" w:hAnsi="Arial" w:cs="Arial"/>
              <w:sz w:val="18"/>
            </w:rPr>
            <w:t>Consulting</w:t>
          </w:r>
          <w:proofErr w:type="spellEnd"/>
          <w:r w:rsidRPr="00FC2522">
            <w:rPr>
              <w:rFonts w:ascii="Arial" w:hAnsi="Arial" w:cs="Arial"/>
              <w:sz w:val="18"/>
            </w:rPr>
            <w:t xml:space="preserve">.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94645B"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18EBA0CC" w14:textId="07A83250" w:rsidR="00DA50BA" w:rsidRPr="00F33826" w:rsidRDefault="006A5A20" w:rsidP="00F33826">
      <w:pPr>
        <w:jc w:val="center"/>
        <w:rPr>
          <w:rFonts w:ascii="Arial" w:hAnsi="Arial" w:cs="Arial"/>
          <w:b/>
          <w:sz w:val="28"/>
          <w:szCs w:val="28"/>
        </w:rPr>
      </w:pPr>
      <w:r>
        <w:rPr>
          <w:rFonts w:ascii="Arial" w:hAnsi="Arial" w:cs="Arial"/>
          <w:b/>
          <w:sz w:val="28"/>
          <w:szCs w:val="28"/>
        </w:rPr>
        <w:t xml:space="preserve"> </w:t>
      </w:r>
      <w:r w:rsidR="001E3D5F">
        <w:rPr>
          <w:rFonts w:ascii="Arial" w:hAnsi="Arial" w:cs="Arial"/>
          <w:b/>
          <w:sz w:val="28"/>
          <w:szCs w:val="28"/>
        </w:rPr>
        <w:t>Spotřebitelské úvěry byly opět v září o něco dražší než v srpnu</w:t>
      </w:r>
    </w:p>
    <w:p w14:paraId="617BA37D" w14:textId="77777777" w:rsidR="003C7F98" w:rsidRPr="003F0CAF" w:rsidRDefault="003C7F98" w:rsidP="0076114C">
      <w:pPr>
        <w:jc w:val="both"/>
        <w:rPr>
          <w:rFonts w:ascii="Arial" w:hAnsi="Arial" w:cs="Arial"/>
          <w:bCs/>
          <w:i/>
          <w:sz w:val="21"/>
          <w:szCs w:val="21"/>
        </w:rPr>
      </w:pPr>
    </w:p>
    <w:p w14:paraId="24CA6693" w14:textId="6A2C8A6E" w:rsidR="000C0090" w:rsidRPr="006B2F00" w:rsidRDefault="003C7F98" w:rsidP="00BA3EE0">
      <w:pPr>
        <w:jc w:val="both"/>
        <w:rPr>
          <w:rFonts w:ascii="Arial" w:hAnsi="Arial" w:cs="Arial"/>
          <w:b/>
          <w:bCs/>
          <w:sz w:val="21"/>
          <w:szCs w:val="21"/>
        </w:rPr>
      </w:pPr>
      <w:r w:rsidRPr="003F0CAF">
        <w:rPr>
          <w:rFonts w:ascii="Arial" w:hAnsi="Arial" w:cs="Arial"/>
          <w:bCs/>
          <w:i/>
          <w:sz w:val="21"/>
          <w:szCs w:val="21"/>
        </w:rPr>
        <w:t xml:space="preserve">Praha, </w:t>
      </w:r>
      <w:r w:rsidR="00CF42B9">
        <w:rPr>
          <w:rFonts w:ascii="Arial" w:hAnsi="Arial" w:cs="Arial"/>
          <w:bCs/>
          <w:i/>
          <w:sz w:val="21"/>
          <w:szCs w:val="21"/>
        </w:rPr>
        <w:t>31</w:t>
      </w:r>
      <w:bookmarkStart w:id="0" w:name="_GoBack"/>
      <w:bookmarkEnd w:id="0"/>
      <w:r w:rsidR="000C0090">
        <w:rPr>
          <w:rFonts w:ascii="Arial" w:hAnsi="Arial" w:cs="Arial"/>
          <w:bCs/>
          <w:i/>
          <w:sz w:val="21"/>
          <w:szCs w:val="21"/>
        </w:rPr>
        <w:t>. říjen</w:t>
      </w:r>
      <w:r w:rsidR="000618FE">
        <w:rPr>
          <w:rFonts w:ascii="Arial" w:hAnsi="Arial" w:cs="Arial"/>
          <w:bCs/>
          <w:i/>
          <w:sz w:val="21"/>
          <w:szCs w:val="21"/>
        </w:rPr>
        <w:t xml:space="preserve"> </w:t>
      </w:r>
      <w:r w:rsidRPr="003F0CAF">
        <w:rPr>
          <w:rFonts w:ascii="Arial" w:hAnsi="Arial" w:cs="Arial"/>
          <w:bCs/>
          <w:sz w:val="21"/>
          <w:szCs w:val="21"/>
        </w:rPr>
        <w:t xml:space="preserve">– </w:t>
      </w:r>
      <w:r w:rsidR="00985DC8" w:rsidRPr="006B2F00">
        <w:rPr>
          <w:rFonts w:ascii="Arial" w:hAnsi="Arial" w:cs="Arial"/>
          <w:b/>
          <w:bCs/>
          <w:sz w:val="21"/>
          <w:szCs w:val="21"/>
        </w:rPr>
        <w:t xml:space="preserve">Dlouhodobě stabilní mírný růst vykazuje </w:t>
      </w:r>
      <w:r w:rsidR="004376B0" w:rsidRPr="006B2F00">
        <w:rPr>
          <w:rFonts w:ascii="Arial" w:hAnsi="Arial" w:cs="Arial"/>
          <w:b/>
          <w:bCs/>
          <w:sz w:val="21"/>
          <w:szCs w:val="21"/>
        </w:rPr>
        <w:t xml:space="preserve">Broker </w:t>
      </w:r>
      <w:proofErr w:type="spellStart"/>
      <w:r w:rsidR="004376B0" w:rsidRPr="006B2F00">
        <w:rPr>
          <w:rFonts w:ascii="Arial" w:hAnsi="Arial" w:cs="Arial"/>
          <w:b/>
          <w:bCs/>
          <w:sz w:val="21"/>
          <w:szCs w:val="21"/>
        </w:rPr>
        <w:t>Consulting</w:t>
      </w:r>
      <w:proofErr w:type="spellEnd"/>
      <w:r w:rsidR="004376B0" w:rsidRPr="006B2F00">
        <w:rPr>
          <w:rFonts w:ascii="Arial" w:hAnsi="Arial" w:cs="Arial"/>
          <w:b/>
          <w:bCs/>
          <w:sz w:val="21"/>
          <w:szCs w:val="21"/>
        </w:rPr>
        <w:t xml:space="preserve"> Index spotřebitelských úvěrů. Podle něj v září povyrostla úroková sazba u bezúčelových úvěrů o 0,22 procentního bodu na celkovou hodnotu 8,59 %. Meziměsíčně se </w:t>
      </w:r>
      <w:r w:rsidR="006B2F00">
        <w:rPr>
          <w:rFonts w:ascii="Arial" w:hAnsi="Arial" w:cs="Arial"/>
          <w:b/>
          <w:bCs/>
          <w:sz w:val="21"/>
          <w:szCs w:val="21"/>
        </w:rPr>
        <w:t xml:space="preserve">tudíž </w:t>
      </w:r>
      <w:r w:rsidR="004376B0" w:rsidRPr="006B2F00">
        <w:rPr>
          <w:rFonts w:ascii="Arial" w:hAnsi="Arial" w:cs="Arial"/>
          <w:b/>
          <w:bCs/>
          <w:sz w:val="21"/>
          <w:szCs w:val="21"/>
        </w:rPr>
        <w:t>úroková sazba</w:t>
      </w:r>
      <w:r w:rsidR="00DF05CC" w:rsidRPr="006B2F00">
        <w:rPr>
          <w:rFonts w:ascii="Arial" w:hAnsi="Arial" w:cs="Arial"/>
          <w:b/>
          <w:bCs/>
          <w:sz w:val="21"/>
          <w:szCs w:val="21"/>
        </w:rPr>
        <w:t xml:space="preserve"> opět</w:t>
      </w:r>
      <w:r w:rsidR="004376B0" w:rsidRPr="006B2F00">
        <w:rPr>
          <w:rFonts w:ascii="Arial" w:hAnsi="Arial" w:cs="Arial"/>
          <w:b/>
          <w:bCs/>
          <w:sz w:val="21"/>
          <w:szCs w:val="21"/>
        </w:rPr>
        <w:t xml:space="preserve"> o něco zvedla, mírně rostoucí trend je patrný již </w:t>
      </w:r>
      <w:r w:rsidR="00DF05CC" w:rsidRPr="006B2F00">
        <w:rPr>
          <w:rFonts w:ascii="Arial" w:hAnsi="Arial" w:cs="Arial"/>
          <w:b/>
          <w:bCs/>
          <w:sz w:val="21"/>
          <w:szCs w:val="21"/>
        </w:rPr>
        <w:t xml:space="preserve">několikátý měsíc v řadě. </w:t>
      </w:r>
      <w:r w:rsidR="006B2F00">
        <w:rPr>
          <w:rFonts w:ascii="Arial" w:hAnsi="Arial" w:cs="Arial"/>
          <w:b/>
          <w:bCs/>
          <w:sz w:val="21"/>
          <w:szCs w:val="21"/>
        </w:rPr>
        <w:t>Podle grafu se naposledy současná výše sazeb poskytovala na začátku druhého čtvrtletí v roce 2017.</w:t>
      </w:r>
      <w:r w:rsidR="0078410A">
        <w:rPr>
          <w:rFonts w:ascii="Arial" w:hAnsi="Arial" w:cs="Arial"/>
          <w:b/>
          <w:bCs/>
          <w:sz w:val="21"/>
          <w:szCs w:val="21"/>
        </w:rPr>
        <w:t xml:space="preserve"> Odborníci na úvěry </w:t>
      </w:r>
      <w:r w:rsidR="000B2E5D">
        <w:rPr>
          <w:rFonts w:ascii="Arial" w:hAnsi="Arial" w:cs="Arial"/>
          <w:b/>
          <w:bCs/>
          <w:sz w:val="21"/>
          <w:szCs w:val="21"/>
        </w:rPr>
        <w:t>očekávají</w:t>
      </w:r>
      <w:r w:rsidR="0078410A">
        <w:rPr>
          <w:rFonts w:ascii="Arial" w:hAnsi="Arial" w:cs="Arial"/>
          <w:b/>
          <w:bCs/>
          <w:sz w:val="21"/>
          <w:szCs w:val="21"/>
        </w:rPr>
        <w:t xml:space="preserve">, že </w:t>
      </w:r>
      <w:r w:rsidR="007B48B8">
        <w:rPr>
          <w:rFonts w:ascii="Arial" w:hAnsi="Arial" w:cs="Arial"/>
          <w:b/>
          <w:bCs/>
          <w:sz w:val="21"/>
          <w:szCs w:val="21"/>
        </w:rPr>
        <w:t xml:space="preserve">pozvolný </w:t>
      </w:r>
      <w:r w:rsidR="00306EEA">
        <w:rPr>
          <w:rFonts w:ascii="Arial" w:hAnsi="Arial" w:cs="Arial"/>
          <w:b/>
          <w:bCs/>
          <w:sz w:val="21"/>
          <w:szCs w:val="21"/>
        </w:rPr>
        <w:t xml:space="preserve">růst </w:t>
      </w:r>
      <w:r w:rsidR="0078410A">
        <w:rPr>
          <w:rFonts w:ascii="Arial" w:hAnsi="Arial" w:cs="Arial"/>
          <w:b/>
          <w:bCs/>
          <w:sz w:val="21"/>
          <w:szCs w:val="21"/>
        </w:rPr>
        <w:t xml:space="preserve">sazeb </w:t>
      </w:r>
      <w:r w:rsidR="00573EE2">
        <w:rPr>
          <w:rFonts w:ascii="Arial" w:hAnsi="Arial" w:cs="Arial"/>
          <w:b/>
          <w:bCs/>
          <w:sz w:val="21"/>
          <w:szCs w:val="21"/>
        </w:rPr>
        <w:t>bude dál</w:t>
      </w:r>
      <w:r w:rsidR="00385325">
        <w:rPr>
          <w:rFonts w:ascii="Arial" w:hAnsi="Arial" w:cs="Arial"/>
          <w:b/>
          <w:bCs/>
          <w:sz w:val="21"/>
          <w:szCs w:val="21"/>
        </w:rPr>
        <w:t xml:space="preserve"> pokračovat.</w:t>
      </w:r>
    </w:p>
    <w:p w14:paraId="0CADE2BA" w14:textId="77777777" w:rsidR="000C0090" w:rsidRDefault="000C0090" w:rsidP="00BA3EE0">
      <w:pPr>
        <w:jc w:val="both"/>
        <w:rPr>
          <w:rFonts w:ascii="Arial" w:hAnsi="Arial" w:cs="Arial"/>
          <w:bCs/>
          <w:sz w:val="21"/>
          <w:szCs w:val="21"/>
        </w:rPr>
      </w:pPr>
    </w:p>
    <w:p w14:paraId="6F08E278" w14:textId="23517D80" w:rsidR="004E09B8" w:rsidRPr="001F7D30" w:rsidRDefault="00573EE2" w:rsidP="004A59C1">
      <w:pPr>
        <w:jc w:val="both"/>
        <w:rPr>
          <w:rFonts w:ascii="Arial" w:hAnsi="Arial" w:cs="Arial"/>
          <w:b/>
          <w:color w:val="FF0000"/>
          <w:sz w:val="21"/>
          <w:szCs w:val="21"/>
        </w:rPr>
      </w:pPr>
      <w:r w:rsidRPr="001F7D30">
        <w:rPr>
          <w:rFonts w:ascii="Arial" w:hAnsi="Arial" w:cs="Arial"/>
          <w:bCs/>
          <w:sz w:val="21"/>
          <w:szCs w:val="21"/>
        </w:rPr>
        <w:t xml:space="preserve">V září opět mírně narostla hodnota Broker </w:t>
      </w:r>
      <w:proofErr w:type="spellStart"/>
      <w:r w:rsidRPr="001F7D30">
        <w:rPr>
          <w:rFonts w:ascii="Arial" w:hAnsi="Arial" w:cs="Arial"/>
          <w:bCs/>
          <w:sz w:val="21"/>
          <w:szCs w:val="21"/>
        </w:rPr>
        <w:t>Consulting</w:t>
      </w:r>
      <w:proofErr w:type="spellEnd"/>
      <w:r w:rsidRPr="001F7D30">
        <w:rPr>
          <w:rFonts w:ascii="Arial" w:hAnsi="Arial" w:cs="Arial"/>
          <w:bCs/>
          <w:sz w:val="21"/>
          <w:szCs w:val="21"/>
        </w:rPr>
        <w:t xml:space="preserve"> Indexu spotřebitelských úvěrů, podle </w:t>
      </w:r>
      <w:r w:rsidR="009412B0" w:rsidRPr="001F7D30">
        <w:rPr>
          <w:rFonts w:ascii="Arial" w:hAnsi="Arial" w:cs="Arial"/>
          <w:bCs/>
          <w:sz w:val="21"/>
          <w:szCs w:val="21"/>
        </w:rPr>
        <w:t>výsledků z předcházejícího</w:t>
      </w:r>
      <w:r w:rsidRPr="001F7D30">
        <w:rPr>
          <w:rFonts w:ascii="Arial" w:hAnsi="Arial" w:cs="Arial"/>
          <w:bCs/>
          <w:sz w:val="21"/>
          <w:szCs w:val="21"/>
        </w:rPr>
        <w:t xml:space="preserve"> měsíce </w:t>
      </w:r>
      <w:r w:rsidR="009412B0" w:rsidRPr="001F7D30">
        <w:rPr>
          <w:rFonts w:ascii="Arial" w:hAnsi="Arial" w:cs="Arial"/>
          <w:bCs/>
          <w:sz w:val="21"/>
          <w:szCs w:val="21"/>
        </w:rPr>
        <w:t xml:space="preserve">se </w:t>
      </w:r>
      <w:r w:rsidR="006D39DF" w:rsidRPr="001F7D30">
        <w:rPr>
          <w:rFonts w:ascii="Arial" w:hAnsi="Arial" w:cs="Arial"/>
          <w:bCs/>
          <w:sz w:val="21"/>
          <w:szCs w:val="21"/>
        </w:rPr>
        <w:t>jeho hodnota meziměsíčně zvedla na</w:t>
      </w:r>
      <w:r w:rsidR="00B0766F" w:rsidRPr="001F7D30">
        <w:rPr>
          <w:rFonts w:ascii="Arial" w:hAnsi="Arial" w:cs="Arial"/>
          <w:bCs/>
          <w:sz w:val="21"/>
          <w:szCs w:val="21"/>
        </w:rPr>
        <w:t xml:space="preserve"> 8,</w:t>
      </w:r>
      <w:r w:rsidR="007A41BD" w:rsidRPr="001F7D30">
        <w:rPr>
          <w:rFonts w:ascii="Arial" w:hAnsi="Arial" w:cs="Arial"/>
          <w:bCs/>
          <w:sz w:val="21"/>
          <w:szCs w:val="21"/>
        </w:rPr>
        <w:t>59 procenta</w:t>
      </w:r>
      <w:r w:rsidR="006D39DF" w:rsidRPr="001F7D30">
        <w:rPr>
          <w:rFonts w:ascii="Arial" w:hAnsi="Arial" w:cs="Arial"/>
          <w:bCs/>
          <w:sz w:val="21"/>
          <w:szCs w:val="21"/>
        </w:rPr>
        <w:t xml:space="preserve">. </w:t>
      </w:r>
      <w:r w:rsidR="007A41BD" w:rsidRPr="001F7D30">
        <w:rPr>
          <w:rFonts w:ascii="Arial" w:hAnsi="Arial" w:cs="Arial"/>
          <w:bCs/>
          <w:sz w:val="21"/>
          <w:szCs w:val="21"/>
        </w:rPr>
        <w:t>Oproti srpnu jde o nárůst</w:t>
      </w:r>
      <w:r w:rsidR="00E77BCA" w:rsidRPr="001F7D30">
        <w:rPr>
          <w:rFonts w:ascii="Arial" w:hAnsi="Arial" w:cs="Arial"/>
          <w:bCs/>
          <w:sz w:val="21"/>
          <w:szCs w:val="21"/>
        </w:rPr>
        <w:t xml:space="preserve"> o 0,22 procentního bodu. Podle mínění </w:t>
      </w:r>
      <w:r w:rsidR="007A41BD" w:rsidRPr="001F7D30">
        <w:rPr>
          <w:rFonts w:ascii="Arial" w:hAnsi="Arial" w:cs="Arial"/>
          <w:bCs/>
          <w:sz w:val="21"/>
          <w:szCs w:val="21"/>
        </w:rPr>
        <w:t xml:space="preserve">analytiků to odpovídá dlouhodobému trendu stabilního a mírného růstu. I přesto je z grafu </w:t>
      </w:r>
      <w:r w:rsidR="00C568FB" w:rsidRPr="001F7D30">
        <w:rPr>
          <w:rFonts w:ascii="Arial" w:hAnsi="Arial" w:cs="Arial"/>
          <w:bCs/>
          <w:sz w:val="21"/>
          <w:szCs w:val="21"/>
        </w:rPr>
        <w:t>patrné, že naposledy</w:t>
      </w:r>
      <w:r w:rsidR="00E77BCA" w:rsidRPr="001F7D30">
        <w:rPr>
          <w:rFonts w:ascii="Arial" w:hAnsi="Arial" w:cs="Arial"/>
          <w:bCs/>
          <w:sz w:val="21"/>
          <w:szCs w:val="21"/>
        </w:rPr>
        <w:t xml:space="preserve"> dosahoval index podobných hodnot pouze záhy po začátku měření, tedy úvodem druhého čtvrtletí v roce 2017.</w:t>
      </w:r>
      <w:r w:rsidR="007A41BD" w:rsidRPr="001F7D30">
        <w:rPr>
          <w:rFonts w:ascii="Arial" w:hAnsi="Arial" w:cs="Arial"/>
          <w:bCs/>
          <w:sz w:val="21"/>
          <w:szCs w:val="21"/>
        </w:rPr>
        <w:t xml:space="preserve"> </w:t>
      </w:r>
    </w:p>
    <w:p w14:paraId="4D0FB7BE" w14:textId="77777777" w:rsidR="004E09B8" w:rsidRPr="001F7D30" w:rsidRDefault="004E09B8" w:rsidP="004A59C1">
      <w:pPr>
        <w:jc w:val="both"/>
        <w:rPr>
          <w:rFonts w:ascii="Arial" w:hAnsi="Arial" w:cs="Arial"/>
          <w:bCs/>
          <w:sz w:val="21"/>
          <w:szCs w:val="21"/>
        </w:rPr>
      </w:pPr>
    </w:p>
    <w:p w14:paraId="063FD9D5" w14:textId="30F4C593" w:rsidR="00CF580B" w:rsidRPr="001F7D30" w:rsidRDefault="00CF580B" w:rsidP="004A59C1">
      <w:pPr>
        <w:jc w:val="both"/>
        <w:rPr>
          <w:rFonts w:ascii="Arial" w:hAnsi="Arial" w:cs="Arial"/>
          <w:sz w:val="21"/>
          <w:szCs w:val="21"/>
        </w:rPr>
      </w:pPr>
      <w:r w:rsidRPr="001F7D30">
        <w:rPr>
          <w:rFonts w:ascii="Arial" w:hAnsi="Arial" w:cs="Arial"/>
          <w:sz w:val="21"/>
          <w:szCs w:val="21"/>
        </w:rPr>
        <w:t>Blížící se období vánočních svátků pravděpodobně přiměje peněžní a úvěrové ústavy k různým akcím zvýhodněného čerpání úvěrů, a to nejčastěji ve formě snížení úroků nebo odkladu splátek na začátku období splácení.</w:t>
      </w:r>
      <w:r w:rsidR="001F7D30">
        <w:rPr>
          <w:rFonts w:ascii="Arial" w:hAnsi="Arial" w:cs="Arial"/>
          <w:sz w:val="21"/>
          <w:szCs w:val="21"/>
        </w:rPr>
        <w:t xml:space="preserve"> </w:t>
      </w:r>
      <w:r w:rsidR="001F7D30" w:rsidRPr="001F7D30">
        <w:rPr>
          <w:rFonts w:ascii="Arial" w:hAnsi="Arial" w:cs="Arial"/>
          <w:sz w:val="21"/>
          <w:szCs w:val="21"/>
        </w:rPr>
        <w:t>„</w:t>
      </w:r>
      <w:r w:rsidR="001F7D30" w:rsidRPr="001F7D30">
        <w:rPr>
          <w:rFonts w:ascii="Arial" w:hAnsi="Arial" w:cs="Arial"/>
          <w:i/>
          <w:sz w:val="21"/>
          <w:szCs w:val="21"/>
        </w:rPr>
        <w:t xml:space="preserve">Klienti rádi využívají i takzvané </w:t>
      </w:r>
      <w:proofErr w:type="spellStart"/>
      <w:r w:rsidR="001F7D30" w:rsidRPr="001F7D30">
        <w:rPr>
          <w:rFonts w:ascii="Arial" w:hAnsi="Arial" w:cs="Arial"/>
          <w:i/>
          <w:sz w:val="21"/>
          <w:szCs w:val="21"/>
        </w:rPr>
        <w:t>předschválené</w:t>
      </w:r>
      <w:proofErr w:type="spellEnd"/>
      <w:r w:rsidR="001F7D30" w:rsidRPr="001F7D30">
        <w:rPr>
          <w:rFonts w:ascii="Arial" w:hAnsi="Arial" w:cs="Arial"/>
          <w:i/>
          <w:sz w:val="21"/>
          <w:szCs w:val="21"/>
        </w:rPr>
        <w:t xml:space="preserve"> limity, které mají ve své bance připravené před případným čerpáním úvěru</w:t>
      </w:r>
      <w:r w:rsidR="001F7D30" w:rsidRPr="001F7D30">
        <w:rPr>
          <w:rFonts w:ascii="Arial" w:hAnsi="Arial" w:cs="Arial"/>
          <w:sz w:val="21"/>
          <w:szCs w:val="21"/>
        </w:rPr>
        <w:t>,</w:t>
      </w:r>
      <w:r w:rsidR="001F7D30">
        <w:rPr>
          <w:rFonts w:ascii="Arial" w:hAnsi="Arial" w:cs="Arial"/>
          <w:sz w:val="21"/>
          <w:szCs w:val="21"/>
        </w:rPr>
        <w:t>“</w:t>
      </w:r>
      <w:r w:rsidR="001F7D30" w:rsidRPr="001F7D30">
        <w:rPr>
          <w:rFonts w:ascii="Arial" w:hAnsi="Arial" w:cs="Arial"/>
          <w:sz w:val="21"/>
          <w:szCs w:val="21"/>
        </w:rPr>
        <w:t xml:space="preserve"> dodává </w:t>
      </w:r>
      <w:r w:rsidR="004F303D">
        <w:rPr>
          <w:rFonts w:ascii="Arial" w:hAnsi="Arial" w:cs="Arial"/>
          <w:b/>
          <w:sz w:val="21"/>
          <w:szCs w:val="21"/>
        </w:rPr>
        <w:t>Michaela Pudilová</w:t>
      </w:r>
      <w:r w:rsidR="004501B9" w:rsidRPr="001F7D30">
        <w:rPr>
          <w:rFonts w:ascii="Arial" w:hAnsi="Arial" w:cs="Arial"/>
          <w:b/>
          <w:sz w:val="21"/>
          <w:szCs w:val="21"/>
        </w:rPr>
        <w:t xml:space="preserve">, </w:t>
      </w:r>
      <w:r w:rsidR="001F7D30" w:rsidRPr="001F7D30">
        <w:rPr>
          <w:rStyle w:val="Siln"/>
          <w:rFonts w:ascii="Arial" w:hAnsi="Arial" w:cs="Arial"/>
          <w:color w:val="000000"/>
          <w:sz w:val="21"/>
          <w:szCs w:val="21"/>
        </w:rPr>
        <w:t xml:space="preserve">analytička hypotečních a spotřebitelských úvěrů ze společnosti Broker </w:t>
      </w:r>
      <w:proofErr w:type="spellStart"/>
      <w:r w:rsidR="001F7D30" w:rsidRPr="001F7D30">
        <w:rPr>
          <w:rStyle w:val="Siln"/>
          <w:rFonts w:ascii="Arial" w:hAnsi="Arial" w:cs="Arial"/>
          <w:color w:val="000000"/>
          <w:sz w:val="21"/>
          <w:szCs w:val="21"/>
        </w:rPr>
        <w:t>Consulting</w:t>
      </w:r>
      <w:proofErr w:type="spellEnd"/>
      <w:r w:rsidR="004F303D">
        <w:rPr>
          <w:rStyle w:val="Siln"/>
          <w:rFonts w:ascii="Arial" w:hAnsi="Arial" w:cs="Arial"/>
          <w:color w:val="000000"/>
          <w:sz w:val="21"/>
          <w:szCs w:val="21"/>
        </w:rPr>
        <w:t>.</w:t>
      </w:r>
    </w:p>
    <w:p w14:paraId="75ADFF8E" w14:textId="2F31E326" w:rsidR="00573EE2" w:rsidRDefault="00573EE2" w:rsidP="004A59C1">
      <w:pPr>
        <w:jc w:val="both"/>
        <w:rPr>
          <w:rFonts w:ascii="Arial" w:hAnsi="Arial" w:cs="Arial"/>
          <w:sz w:val="20"/>
          <w:szCs w:val="20"/>
        </w:rPr>
      </w:pPr>
    </w:p>
    <w:p w14:paraId="1BDD4B67" w14:textId="36E48F31" w:rsidR="00573EE2" w:rsidRPr="00321518" w:rsidRDefault="007672BB" w:rsidP="004A59C1">
      <w:pPr>
        <w:jc w:val="both"/>
        <w:rPr>
          <w:rFonts w:ascii="Arial" w:hAnsi="Arial" w:cs="Arial"/>
          <w:sz w:val="21"/>
          <w:szCs w:val="21"/>
        </w:rPr>
      </w:pPr>
      <w:r w:rsidRPr="007672BB">
        <w:rPr>
          <w:rFonts w:ascii="Arial" w:hAnsi="Arial" w:cs="Arial"/>
          <w:sz w:val="21"/>
          <w:szCs w:val="21"/>
        </w:rPr>
        <w:t xml:space="preserve">V rámci schvalovacího procesu obvykle </w:t>
      </w:r>
      <w:r w:rsidR="001925C8">
        <w:rPr>
          <w:rFonts w:ascii="Arial" w:hAnsi="Arial" w:cs="Arial"/>
          <w:sz w:val="21"/>
          <w:szCs w:val="21"/>
        </w:rPr>
        <w:t>v bankách</w:t>
      </w:r>
      <w:r w:rsidRPr="007672BB">
        <w:rPr>
          <w:rFonts w:ascii="Arial" w:hAnsi="Arial" w:cs="Arial"/>
          <w:sz w:val="21"/>
          <w:szCs w:val="21"/>
        </w:rPr>
        <w:t xml:space="preserve"> stačí </w:t>
      </w:r>
      <w:r w:rsidR="00573EE2" w:rsidRPr="007672BB">
        <w:rPr>
          <w:rFonts w:ascii="Arial" w:hAnsi="Arial" w:cs="Arial"/>
          <w:sz w:val="21"/>
          <w:szCs w:val="21"/>
        </w:rPr>
        <w:t>dobrá platební morálka u ostatních úvěrových produktů a pravidelný příjem</w:t>
      </w:r>
      <w:r w:rsidR="001925C8">
        <w:rPr>
          <w:rFonts w:ascii="Arial" w:hAnsi="Arial" w:cs="Arial"/>
          <w:sz w:val="21"/>
          <w:szCs w:val="21"/>
        </w:rPr>
        <w:t xml:space="preserve"> klienta</w:t>
      </w:r>
      <w:r w:rsidR="00573EE2" w:rsidRPr="007672BB">
        <w:rPr>
          <w:rFonts w:ascii="Arial" w:hAnsi="Arial" w:cs="Arial"/>
          <w:sz w:val="21"/>
          <w:szCs w:val="21"/>
        </w:rPr>
        <w:t xml:space="preserve">. Od výše příjmu se také odvíjí </w:t>
      </w:r>
      <w:r w:rsidRPr="007672BB">
        <w:rPr>
          <w:rFonts w:ascii="Arial" w:hAnsi="Arial" w:cs="Arial"/>
          <w:sz w:val="21"/>
          <w:szCs w:val="21"/>
        </w:rPr>
        <w:t xml:space="preserve">individuální </w:t>
      </w:r>
      <w:r w:rsidR="00573EE2" w:rsidRPr="007672BB">
        <w:rPr>
          <w:rFonts w:ascii="Arial" w:hAnsi="Arial" w:cs="Arial"/>
          <w:sz w:val="21"/>
          <w:szCs w:val="21"/>
        </w:rPr>
        <w:t>výše</w:t>
      </w:r>
      <w:r w:rsidRPr="007672BB">
        <w:rPr>
          <w:rFonts w:ascii="Arial" w:hAnsi="Arial" w:cs="Arial"/>
          <w:sz w:val="21"/>
          <w:szCs w:val="21"/>
        </w:rPr>
        <w:t xml:space="preserve"> z</w:t>
      </w:r>
      <w:r w:rsidR="00321518">
        <w:rPr>
          <w:rFonts w:ascii="Arial" w:hAnsi="Arial" w:cs="Arial"/>
          <w:sz w:val="21"/>
          <w:szCs w:val="21"/>
        </w:rPr>
        <w:t xml:space="preserve">míněného </w:t>
      </w:r>
      <w:proofErr w:type="spellStart"/>
      <w:r w:rsidR="00321518">
        <w:rPr>
          <w:rFonts w:ascii="Arial" w:hAnsi="Arial" w:cs="Arial"/>
          <w:sz w:val="21"/>
          <w:szCs w:val="21"/>
        </w:rPr>
        <w:t>předschváleného</w:t>
      </w:r>
      <w:proofErr w:type="spellEnd"/>
      <w:r w:rsidR="00321518">
        <w:rPr>
          <w:rFonts w:ascii="Arial" w:hAnsi="Arial" w:cs="Arial"/>
          <w:sz w:val="21"/>
          <w:szCs w:val="21"/>
        </w:rPr>
        <w:t xml:space="preserve"> limitu. </w:t>
      </w:r>
      <w:r w:rsidR="00573EE2" w:rsidRPr="00321518">
        <w:rPr>
          <w:rFonts w:ascii="Arial" w:hAnsi="Arial" w:cs="Arial"/>
          <w:sz w:val="21"/>
          <w:szCs w:val="21"/>
        </w:rPr>
        <w:t xml:space="preserve">Podobným způsobem jsou pro klienty připraveny </w:t>
      </w:r>
      <w:r w:rsidR="00321518">
        <w:rPr>
          <w:rFonts w:ascii="Arial" w:hAnsi="Arial" w:cs="Arial"/>
          <w:sz w:val="21"/>
          <w:szCs w:val="21"/>
        </w:rPr>
        <w:t xml:space="preserve">i </w:t>
      </w:r>
      <w:proofErr w:type="spellStart"/>
      <w:r w:rsidR="00453CFE">
        <w:rPr>
          <w:rFonts w:ascii="Arial" w:hAnsi="Arial" w:cs="Arial"/>
          <w:sz w:val="21"/>
          <w:szCs w:val="21"/>
        </w:rPr>
        <w:t>předschválené</w:t>
      </w:r>
      <w:proofErr w:type="spellEnd"/>
      <w:r w:rsidR="00453CFE">
        <w:rPr>
          <w:rFonts w:ascii="Arial" w:hAnsi="Arial" w:cs="Arial"/>
          <w:sz w:val="21"/>
          <w:szCs w:val="21"/>
        </w:rPr>
        <w:t xml:space="preserve"> limity u</w:t>
      </w:r>
      <w:r w:rsidR="00573EE2" w:rsidRPr="00321518">
        <w:rPr>
          <w:rFonts w:ascii="Arial" w:hAnsi="Arial" w:cs="Arial"/>
          <w:sz w:val="21"/>
          <w:szCs w:val="21"/>
        </w:rPr>
        <w:t xml:space="preserve"> kreditní</w:t>
      </w:r>
      <w:r w:rsidR="00453CFE">
        <w:rPr>
          <w:rFonts w:ascii="Arial" w:hAnsi="Arial" w:cs="Arial"/>
          <w:sz w:val="21"/>
          <w:szCs w:val="21"/>
        </w:rPr>
        <w:t>ch</w:t>
      </w:r>
      <w:r w:rsidR="00573EE2" w:rsidRPr="00321518">
        <w:rPr>
          <w:rFonts w:ascii="Arial" w:hAnsi="Arial" w:cs="Arial"/>
          <w:sz w:val="21"/>
          <w:szCs w:val="21"/>
        </w:rPr>
        <w:t xml:space="preserve"> ka</w:t>
      </w:r>
      <w:r w:rsidR="00453CFE">
        <w:rPr>
          <w:rFonts w:ascii="Arial" w:hAnsi="Arial" w:cs="Arial"/>
          <w:sz w:val="21"/>
          <w:szCs w:val="21"/>
        </w:rPr>
        <w:t xml:space="preserve">ret </w:t>
      </w:r>
      <w:r w:rsidR="00321518">
        <w:rPr>
          <w:rFonts w:ascii="Arial" w:hAnsi="Arial" w:cs="Arial"/>
          <w:sz w:val="21"/>
          <w:szCs w:val="21"/>
        </w:rPr>
        <w:t>nebo povolené debety na běžných účtech</w:t>
      </w:r>
      <w:r w:rsidR="00573EE2" w:rsidRPr="00321518">
        <w:rPr>
          <w:rFonts w:ascii="Arial" w:hAnsi="Arial" w:cs="Arial"/>
          <w:sz w:val="21"/>
          <w:szCs w:val="21"/>
        </w:rPr>
        <w:t>.</w:t>
      </w:r>
      <w:r w:rsidR="00573EE2" w:rsidRPr="00321518">
        <w:rPr>
          <w:rFonts w:ascii="Arial" w:hAnsi="Arial" w:cs="Arial"/>
        </w:rPr>
        <w:t xml:space="preserve"> </w:t>
      </w:r>
    </w:p>
    <w:p w14:paraId="4E6F164A" w14:textId="77777777" w:rsidR="00F80CD0" w:rsidRDefault="00F80CD0" w:rsidP="004A59C1">
      <w:pPr>
        <w:jc w:val="both"/>
        <w:rPr>
          <w:rFonts w:ascii="Arial" w:hAnsi="Arial" w:cs="Arial"/>
          <w:color w:val="4F81BD" w:themeColor="accent1"/>
        </w:rPr>
      </w:pPr>
    </w:p>
    <w:p w14:paraId="13A2645F" w14:textId="2F4763DC" w:rsidR="00573EE2" w:rsidRPr="004935C2" w:rsidRDefault="00F80CD0" w:rsidP="004A59C1">
      <w:pPr>
        <w:jc w:val="both"/>
        <w:rPr>
          <w:rFonts w:ascii="Arial" w:hAnsi="Arial" w:cs="Arial"/>
          <w:sz w:val="21"/>
          <w:szCs w:val="21"/>
        </w:rPr>
      </w:pPr>
      <w:r w:rsidRPr="004935C2">
        <w:rPr>
          <w:rFonts w:ascii="Arial" w:hAnsi="Arial" w:cs="Arial"/>
          <w:sz w:val="21"/>
          <w:szCs w:val="21"/>
        </w:rPr>
        <w:t>Příjmem, který se u klientů hodnotí, rozumí b</w:t>
      </w:r>
      <w:r w:rsidR="00573EE2" w:rsidRPr="004935C2">
        <w:rPr>
          <w:rFonts w:ascii="Arial" w:hAnsi="Arial" w:cs="Arial"/>
          <w:sz w:val="21"/>
          <w:szCs w:val="21"/>
        </w:rPr>
        <w:t xml:space="preserve">anky </w:t>
      </w:r>
      <w:r w:rsidRPr="004935C2">
        <w:rPr>
          <w:rFonts w:ascii="Arial" w:hAnsi="Arial" w:cs="Arial"/>
          <w:sz w:val="21"/>
          <w:szCs w:val="21"/>
        </w:rPr>
        <w:t>kromě platů</w:t>
      </w:r>
      <w:r w:rsidR="00573EE2" w:rsidRPr="004935C2">
        <w:rPr>
          <w:rFonts w:ascii="Arial" w:hAnsi="Arial" w:cs="Arial"/>
          <w:sz w:val="21"/>
          <w:szCs w:val="21"/>
        </w:rPr>
        <w:t xml:space="preserve"> ze zaměstnání nebo podnikání </w:t>
      </w:r>
      <w:r w:rsidRPr="004935C2">
        <w:rPr>
          <w:rFonts w:ascii="Arial" w:hAnsi="Arial" w:cs="Arial"/>
          <w:sz w:val="21"/>
          <w:szCs w:val="21"/>
        </w:rPr>
        <w:t>také</w:t>
      </w:r>
      <w:r w:rsidR="00573EE2" w:rsidRPr="004935C2">
        <w:rPr>
          <w:rFonts w:ascii="Arial" w:hAnsi="Arial" w:cs="Arial"/>
          <w:sz w:val="21"/>
          <w:szCs w:val="21"/>
        </w:rPr>
        <w:t xml:space="preserve"> dávky </w:t>
      </w:r>
      <w:r w:rsidRPr="004935C2">
        <w:rPr>
          <w:rFonts w:ascii="Arial" w:hAnsi="Arial" w:cs="Arial"/>
          <w:sz w:val="21"/>
          <w:szCs w:val="21"/>
        </w:rPr>
        <w:t>státní sociální podpory, například starobní důchody nebo rodičovské příspěvky</w:t>
      </w:r>
      <w:r w:rsidR="00573EE2" w:rsidRPr="004935C2">
        <w:rPr>
          <w:rFonts w:ascii="Arial" w:hAnsi="Arial" w:cs="Arial"/>
          <w:sz w:val="21"/>
          <w:szCs w:val="21"/>
        </w:rPr>
        <w:t>.</w:t>
      </w:r>
      <w:r w:rsidRPr="004935C2">
        <w:rPr>
          <w:rFonts w:ascii="Arial" w:hAnsi="Arial" w:cs="Arial"/>
          <w:sz w:val="21"/>
          <w:szCs w:val="21"/>
        </w:rPr>
        <w:t xml:space="preserve"> Úvěrový experti proto upozorňují, že je u potenciálních žadatelů o uvedené typy úvěrů na místě odpovědné vyhodnocení jejich měsíčních příjmů a výdajů.</w:t>
      </w:r>
      <w:r w:rsidR="004935C2" w:rsidRPr="004935C2">
        <w:rPr>
          <w:rFonts w:ascii="Arial" w:hAnsi="Arial" w:cs="Arial"/>
          <w:sz w:val="21"/>
          <w:szCs w:val="21"/>
        </w:rPr>
        <w:t xml:space="preserve"> „</w:t>
      </w:r>
      <w:r w:rsidR="004935C2" w:rsidRPr="004935C2">
        <w:rPr>
          <w:rFonts w:ascii="Arial" w:hAnsi="Arial" w:cs="Arial"/>
          <w:i/>
          <w:sz w:val="21"/>
          <w:szCs w:val="21"/>
        </w:rPr>
        <w:t>To platí obzvlášť pro případy kontokorentů a kreditních karet, u kterých je nezbytné, aby byli jejich uživatelé dobře obeznámeni s podmínkami jejich užívání</w:t>
      </w:r>
      <w:r w:rsidR="004935C2" w:rsidRPr="004935C2">
        <w:rPr>
          <w:rFonts w:ascii="Arial" w:hAnsi="Arial" w:cs="Arial"/>
          <w:sz w:val="21"/>
          <w:szCs w:val="21"/>
        </w:rPr>
        <w:t xml:space="preserve">,“ dodává M. Pudilová. </w:t>
      </w:r>
    </w:p>
    <w:p w14:paraId="27E3E653" w14:textId="77777777" w:rsidR="00573EE2" w:rsidRPr="00573EE2" w:rsidRDefault="00573EE2" w:rsidP="0062786E">
      <w:pPr>
        <w:jc w:val="both"/>
        <w:rPr>
          <w:rStyle w:val="Zdraznn"/>
          <w:rFonts w:ascii="Arial" w:hAnsi="Arial" w:cs="Arial"/>
          <w:i w:val="0"/>
          <w:iCs w:val="0"/>
          <w:color w:val="4F81BD" w:themeColor="accent1"/>
          <w:sz w:val="20"/>
          <w:szCs w:val="20"/>
        </w:rPr>
      </w:pPr>
    </w:p>
    <w:p w14:paraId="5148662F" w14:textId="0ED14A9B" w:rsidR="00EB48E6" w:rsidRPr="00573EE2" w:rsidRDefault="00EB48E6" w:rsidP="003F0CAF">
      <w:pPr>
        <w:jc w:val="both"/>
        <w:rPr>
          <w:rFonts w:ascii="Arial" w:hAnsi="Arial" w:cs="Arial"/>
          <w:iCs/>
          <w:color w:val="4F81BD" w:themeColor="accent1"/>
          <w:sz w:val="20"/>
          <w:szCs w:val="20"/>
        </w:rPr>
      </w:pPr>
    </w:p>
    <w:p w14:paraId="7D9E8769" w14:textId="0A9BE758" w:rsidR="00EC3BED" w:rsidRPr="00573EE2" w:rsidRDefault="00EC3BED" w:rsidP="009D01A2">
      <w:pPr>
        <w:jc w:val="both"/>
        <w:rPr>
          <w:rFonts w:ascii="Arial" w:hAnsi="Arial" w:cs="Arial"/>
          <w:color w:val="4F81BD" w:themeColor="accent1"/>
          <w:sz w:val="20"/>
          <w:szCs w:val="20"/>
        </w:rPr>
      </w:pPr>
    </w:p>
    <w:p w14:paraId="645DDC81" w14:textId="14020F1A" w:rsidR="008F3C6D" w:rsidRDefault="000C0090" w:rsidP="00D6265B">
      <w:pPr>
        <w:jc w:val="center"/>
        <w:rPr>
          <w:rFonts w:ascii="Arial" w:eastAsia="Times New Roman" w:hAnsi="Arial" w:cs="Arial"/>
          <w:b/>
          <w:color w:val="FF0000"/>
          <w:sz w:val="20"/>
          <w:szCs w:val="20"/>
        </w:rPr>
      </w:pPr>
      <w:r w:rsidRPr="000C0090">
        <w:rPr>
          <w:rFonts w:ascii="Arial" w:eastAsia="Times New Roman" w:hAnsi="Arial" w:cs="Arial"/>
          <w:b/>
          <w:noProof/>
          <w:color w:val="FF0000"/>
          <w:sz w:val="20"/>
          <w:szCs w:val="20"/>
          <w:lang w:bidi="ar-SA"/>
        </w:rPr>
        <w:drawing>
          <wp:inline distT="0" distB="0" distL="0" distR="0" wp14:anchorId="2E0A2480" wp14:editId="09AD2B21">
            <wp:extent cx="6445250" cy="3346940"/>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47941" cy="3348337"/>
                    </a:xfrm>
                    <a:prstGeom prst="rect">
                      <a:avLst/>
                    </a:prstGeom>
                  </pic:spPr>
                </pic:pic>
              </a:graphicData>
            </a:graphic>
          </wp:inline>
        </w:drawing>
      </w:r>
    </w:p>
    <w:p w14:paraId="1FE6FB25" w14:textId="77777777" w:rsidR="00C42C49" w:rsidRDefault="00C42C49" w:rsidP="004B2FF6">
      <w:pPr>
        <w:jc w:val="both"/>
        <w:rPr>
          <w:rFonts w:ascii="Arial" w:hAnsi="Arial" w:cs="Arial"/>
          <w:sz w:val="20"/>
          <w:szCs w:val="20"/>
        </w:rPr>
      </w:pPr>
    </w:p>
    <w:p w14:paraId="4269CE9A" w14:textId="2304D419" w:rsidR="008F3C6D" w:rsidRDefault="008F3C6D" w:rsidP="004B2FF6">
      <w:pPr>
        <w:jc w:val="both"/>
        <w:rPr>
          <w:rFonts w:ascii="Arial" w:hAnsi="Arial" w:cs="Arial"/>
          <w:sz w:val="20"/>
          <w:szCs w:val="20"/>
        </w:rPr>
      </w:pPr>
      <w:r w:rsidRPr="00F51B95">
        <w:rPr>
          <w:rFonts w:ascii="Arial" w:hAnsi="Arial" w:cs="Arial"/>
          <w:sz w:val="20"/>
          <w:szCs w:val="20"/>
        </w:rPr>
        <w:t xml:space="preserve">Broker </w:t>
      </w:r>
      <w:proofErr w:type="spellStart"/>
      <w:r w:rsidRPr="00F51B95">
        <w:rPr>
          <w:rFonts w:ascii="Arial" w:hAnsi="Arial" w:cs="Arial"/>
          <w:sz w:val="20"/>
          <w:szCs w:val="20"/>
        </w:rPr>
        <w:t>Consulting</w:t>
      </w:r>
      <w:proofErr w:type="spellEnd"/>
      <w:r w:rsidRPr="00F51B95">
        <w:rPr>
          <w:rFonts w:ascii="Arial" w:hAnsi="Arial" w:cs="Arial"/>
          <w:sz w:val="20"/>
          <w:szCs w:val="20"/>
        </w:rPr>
        <w:t xml:space="preserve"> Index spotřebitelských úvěrů je analytický nástroj, který ukazuje průměrnou úrokovou sazbu </w:t>
      </w:r>
      <w:r w:rsidR="00BE768F">
        <w:rPr>
          <w:rFonts w:ascii="Arial" w:hAnsi="Arial" w:cs="Arial"/>
          <w:sz w:val="20"/>
          <w:szCs w:val="20"/>
        </w:rPr>
        <w:br/>
      </w:r>
      <w:r w:rsidRPr="00F51B95">
        <w:rPr>
          <w:rFonts w:ascii="Arial" w:hAnsi="Arial" w:cs="Arial"/>
          <w:sz w:val="20"/>
          <w:szCs w:val="20"/>
        </w:rPr>
        <w:t xml:space="preserve">u spotřebitelských úvěrů, jež zprostředkovali konzultanti Broker Consulting a pobočky OK POINT u kteréhokoli </w:t>
      </w:r>
      <w:r w:rsidRPr="00F51B95">
        <w:rPr>
          <w:rFonts w:ascii="Arial" w:hAnsi="Arial" w:cs="Arial"/>
          <w:sz w:val="20"/>
          <w:szCs w:val="20"/>
        </w:rPr>
        <w:lastRenderedPageBreak/>
        <w:t>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B4992BC" w14:textId="77777777" w:rsidR="00BE768F" w:rsidRPr="00F51B95" w:rsidRDefault="00BE768F" w:rsidP="004B2FF6">
      <w:pPr>
        <w:jc w:val="both"/>
        <w:rPr>
          <w:rFonts w:ascii="Arial" w:hAnsi="Arial" w:cs="Arial"/>
          <w:sz w:val="20"/>
          <w:szCs w:val="20"/>
        </w:rPr>
      </w:pPr>
    </w:p>
    <w:p w14:paraId="2FA3FD44" w14:textId="2DAD35FC" w:rsidR="008F3C6D" w:rsidRPr="00B51F55" w:rsidRDefault="008F3C6D" w:rsidP="00B51F55">
      <w:pPr>
        <w:tabs>
          <w:tab w:val="left" w:pos="7152"/>
        </w:tabs>
        <w:jc w:val="both"/>
        <w:rPr>
          <w:rFonts w:ascii="Arial" w:hAnsi="Arial" w:cs="Arial"/>
          <w:b/>
          <w:sz w:val="18"/>
          <w:szCs w:val="16"/>
        </w:rPr>
      </w:pPr>
      <w:r>
        <w:rPr>
          <w:rFonts w:ascii="Arial" w:hAnsi="Arial" w:cs="Arial"/>
          <w:b/>
          <w:sz w:val="18"/>
          <w:szCs w:val="16"/>
        </w:rPr>
        <w:tab/>
      </w:r>
      <w:r w:rsidR="00EB1036">
        <w:rPr>
          <w:rFonts w:ascii="Arial" w:hAnsi="Arial" w:cs="Arial"/>
          <w:b/>
          <w:sz w:val="18"/>
        </w:rPr>
        <w:br/>
      </w: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19369C4D" w14:textId="712C7E4A" w:rsidR="008F3C6D" w:rsidRPr="00EB1036"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5F16FECD" w14:textId="69AB3698" w:rsidR="008F3C6D" w:rsidRDefault="008F3C6D" w:rsidP="008F3C6D">
      <w:pPr>
        <w:jc w:val="both"/>
        <w:rPr>
          <w:sz w:val="20"/>
        </w:rPr>
      </w:pPr>
    </w:p>
    <w:p w14:paraId="6AF53FD1" w14:textId="77777777" w:rsidR="00B51F55" w:rsidRPr="00B244B9" w:rsidRDefault="00B51F55" w:rsidP="00B51F55">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proofErr w:type="spellStart"/>
      <w:r w:rsidRPr="00B244B9">
        <w:rPr>
          <w:rFonts w:ascii="Arial" w:hAnsi="Arial" w:cs="Arial"/>
          <w:color w:val="1D1D1B"/>
          <w:w w:val="105"/>
          <w:sz w:val="18"/>
          <w:szCs w:val="16"/>
        </w:rPr>
        <w:t>Consulting</w:t>
      </w:r>
      <w:proofErr w:type="spellEnd"/>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proofErr w:type="spellStart"/>
      <w:r w:rsidRPr="00B244B9">
        <w:rPr>
          <w:rFonts w:ascii="Arial" w:hAnsi="Arial" w:cs="Arial"/>
          <w:color w:val="1D1D1B"/>
          <w:w w:val="105"/>
          <w:sz w:val="18"/>
          <w:szCs w:val="16"/>
        </w:rPr>
        <w:t>Consulting</w:t>
      </w:r>
      <w:proofErr w:type="spellEnd"/>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proofErr w:type="spellStart"/>
      <w:r w:rsidRPr="00B244B9">
        <w:rPr>
          <w:rFonts w:ascii="Arial" w:hAnsi="Arial" w:cs="Arial"/>
          <w:i/>
          <w:color w:val="1D1D1B"/>
          <w:w w:val="105"/>
          <w:sz w:val="18"/>
          <w:szCs w:val="16"/>
        </w:rPr>
        <w:t>Consulting</w:t>
      </w:r>
      <w:proofErr w:type="spellEnd"/>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685A4AD2" w14:textId="77777777" w:rsidR="00B51F55" w:rsidRDefault="00B51F55"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0E830060" w:rsidR="008F3C6D" w:rsidRPr="002A6FA3" w:rsidRDefault="008F3C6D" w:rsidP="008F3C6D">
      <w:pPr>
        <w:rPr>
          <w:rFonts w:ascii="Arial" w:eastAsia="Calibri" w:hAnsi="Arial" w:cs="Arial"/>
          <w:b/>
          <w:bCs/>
          <w:noProof/>
          <w:sz w:val="18"/>
          <w:szCs w:val="18"/>
          <w:lang w:bidi="ar-SA"/>
        </w:rPr>
      </w:pPr>
      <w:r>
        <w:rPr>
          <w:sz w:val="20"/>
        </w:rPr>
        <w:br/>
      </w:r>
      <w:r w:rsidR="00FA6B22">
        <w:rPr>
          <w:rFonts w:ascii="Arial" w:eastAsia="Calibri" w:hAnsi="Arial" w:cs="Arial"/>
          <w:b/>
          <w:bCs/>
          <w:noProof/>
          <w:sz w:val="18"/>
          <w:szCs w:val="18"/>
        </w:rPr>
        <w:t>Michaela Sahulová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45B42FA6" w:rsidR="008F3C6D" w:rsidRPr="00AC57BB" w:rsidRDefault="003B0E4E" w:rsidP="008F3C6D">
      <w:pPr>
        <w:rPr>
          <w:rFonts w:ascii="Arial" w:eastAsia="Calibri" w:hAnsi="Arial" w:cs="Arial"/>
          <w:bCs/>
          <w:noProof/>
          <w:sz w:val="18"/>
          <w:szCs w:val="18"/>
        </w:rPr>
      </w:pPr>
      <w:r w:rsidRPr="00AC57BB">
        <w:rPr>
          <w:rFonts w:ascii="Arial" w:eastAsia="Calibri" w:hAnsi="Arial" w:cs="Arial"/>
          <w:bCs/>
          <w:noProof/>
          <w:sz w:val="18"/>
          <w:szCs w:val="18"/>
        </w:rPr>
        <w:t>Broker Consulting, a.s.</w:t>
      </w:r>
    </w:p>
    <w:p w14:paraId="05963080" w14:textId="208EECFF" w:rsidR="008F3C6D" w:rsidRPr="00AC57BB" w:rsidRDefault="008F3C6D" w:rsidP="008F3C6D">
      <w:pPr>
        <w:rPr>
          <w:rFonts w:ascii="Arial" w:eastAsia="Calibri" w:hAnsi="Arial" w:cs="Arial"/>
          <w:noProof/>
          <w:sz w:val="18"/>
          <w:szCs w:val="18"/>
        </w:rPr>
      </w:pPr>
      <w:r w:rsidRPr="00AC57BB">
        <w:rPr>
          <w:rFonts w:ascii="Arial" w:eastAsia="Calibri" w:hAnsi="Arial" w:cs="Arial"/>
          <w:noProof/>
          <w:sz w:val="18"/>
          <w:szCs w:val="18"/>
        </w:rPr>
        <w:t>Office Park Nové Butovice (Budova B)</w:t>
      </w:r>
      <w:r w:rsidRPr="00AC57BB">
        <w:rPr>
          <w:rFonts w:ascii="Arial" w:eastAsia="Calibri" w:hAnsi="Arial" w:cs="Arial"/>
          <w:noProof/>
          <w:sz w:val="18"/>
          <w:szCs w:val="18"/>
        </w:rPr>
        <w:br/>
        <w:t>Bucharova 1423/6, 158 00 Praha 5</w:t>
      </w:r>
    </w:p>
    <w:p w14:paraId="1B4DF70A" w14:textId="24F83474" w:rsidR="005F7E72" w:rsidRPr="00AC57BB" w:rsidRDefault="005F7E72" w:rsidP="005F7E72">
      <w:pPr>
        <w:pStyle w:val="Bezmezer"/>
        <w:rPr>
          <w:rFonts w:ascii="Arial" w:eastAsia="Calibri" w:hAnsi="Arial" w:cs="Arial"/>
          <w:bCs/>
          <w:noProof/>
          <w:sz w:val="18"/>
          <w:szCs w:val="18"/>
        </w:rPr>
      </w:pPr>
      <w:r w:rsidRPr="00AC57BB">
        <w:rPr>
          <w:rFonts w:ascii="Arial" w:eastAsia="Calibri" w:hAnsi="Arial" w:cs="Arial"/>
          <w:bCs/>
          <w:noProof/>
          <w:sz w:val="18"/>
          <w:szCs w:val="18"/>
        </w:rPr>
        <w:t>mobil: +420</w:t>
      </w:r>
      <w:r w:rsidRPr="00AC57BB">
        <w:rPr>
          <w:rFonts w:ascii="Arial" w:eastAsia="Calibri" w:hAnsi="Arial" w:cs="Arial"/>
          <w:noProof/>
          <w:sz w:val="18"/>
          <w:szCs w:val="18"/>
        </w:rPr>
        <w:t> 731 538 373</w:t>
      </w:r>
    </w:p>
    <w:p w14:paraId="45D37221" w14:textId="01E5AB91" w:rsidR="008F3C6D" w:rsidRPr="00AC57BB" w:rsidRDefault="008F3C6D" w:rsidP="008F3C6D">
      <w:pPr>
        <w:rPr>
          <w:rFonts w:ascii="Arial" w:hAnsi="Arial" w:cs="Arial"/>
          <w:sz w:val="18"/>
          <w:szCs w:val="18"/>
        </w:rPr>
      </w:pPr>
      <w:r w:rsidRPr="00AC57BB">
        <w:rPr>
          <w:rFonts w:ascii="Arial" w:eastAsia="Calibri" w:hAnsi="Arial" w:cs="Arial"/>
          <w:noProof/>
          <w:sz w:val="18"/>
          <w:szCs w:val="18"/>
        </w:rPr>
        <w:t xml:space="preserve">e-mail: </w:t>
      </w:r>
      <w:hyperlink r:id="rId25" w:history="1">
        <w:r w:rsidR="00FA6B22" w:rsidRPr="00AC57BB">
          <w:rPr>
            <w:rStyle w:val="Hypertextovodkaz"/>
            <w:rFonts w:ascii="Arial" w:hAnsi="Arial" w:cs="Arial"/>
            <w:sz w:val="18"/>
            <w:szCs w:val="18"/>
          </w:rPr>
          <w:t>michaela.sahulova@bcas.cz</w:t>
        </w:r>
      </w:hyperlink>
    </w:p>
    <w:p w14:paraId="1FBC071D" w14:textId="77777777" w:rsidR="00FA6B22" w:rsidRPr="00FA6B22" w:rsidRDefault="00FA6B22" w:rsidP="008F3C6D">
      <w:pPr>
        <w:rPr>
          <w:rFonts w:ascii="Arial" w:eastAsia="Calibri" w:hAnsi="Arial" w:cs="Arial"/>
          <w:noProof/>
          <w:sz w:val="18"/>
          <w:szCs w:val="18"/>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D0EEE" w14:textId="77777777" w:rsidR="0094645B" w:rsidRDefault="0094645B">
      <w:r>
        <w:separator/>
      </w:r>
    </w:p>
  </w:endnote>
  <w:endnote w:type="continuationSeparator" w:id="0">
    <w:p w14:paraId="2D6E7521" w14:textId="77777777" w:rsidR="0094645B" w:rsidRDefault="0094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94645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" filled="f" stroked="f">
              <v:textbox inset="0,0,0,0">
                <w:txbxContent>
                  <w:p w14:paraId="38FC45A8" w14:textId="16B40CAC" w:rsidR="00D80B6D" w:rsidRPr="00081616" w:rsidRDefault="00DF5A2C"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94645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" filled="f" stroked="f">
              <v:textbox inset="0,0,0,0">
                <w:txbxContent>
                  <w:p w14:paraId="11E61A37" w14:textId="77777777" w:rsidR="00D80B6D" w:rsidRPr="00E95698" w:rsidRDefault="00DF5A2C"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94645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n2gEAAJcDAAAOAAAAZHJzL2Uyb0RvYy54bWysU91u0zAUvkfiHSzf06Qtgx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" filled="f" stroked="f">
              <v:textbox inset="0,0,0,0">
                <w:txbxContent>
                  <w:p w14:paraId="663644D1" w14:textId="77777777" w:rsidR="00D80B6D" w:rsidRPr="00943B58" w:rsidRDefault="00DF5A2C"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B7DED" w14:textId="77777777" w:rsidR="0094645B" w:rsidRDefault="0094645B">
      <w:r>
        <w:separator/>
      </w:r>
    </w:p>
  </w:footnote>
  <w:footnote w:type="continuationSeparator" w:id="0">
    <w:p w14:paraId="51DD820A" w14:textId="77777777" w:rsidR="0094645B" w:rsidRDefault="00946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7AC"/>
    <w:rsid w:val="00032D94"/>
    <w:rsid w:val="00036C73"/>
    <w:rsid w:val="000374D7"/>
    <w:rsid w:val="000400E4"/>
    <w:rsid w:val="00045B39"/>
    <w:rsid w:val="0005423A"/>
    <w:rsid w:val="00057018"/>
    <w:rsid w:val="000611E3"/>
    <w:rsid w:val="000618FE"/>
    <w:rsid w:val="00061ABB"/>
    <w:rsid w:val="00070675"/>
    <w:rsid w:val="000766E7"/>
    <w:rsid w:val="00080552"/>
    <w:rsid w:val="00081616"/>
    <w:rsid w:val="000853D4"/>
    <w:rsid w:val="00087263"/>
    <w:rsid w:val="0009776B"/>
    <w:rsid w:val="000B0D84"/>
    <w:rsid w:val="000B2E5D"/>
    <w:rsid w:val="000B2F39"/>
    <w:rsid w:val="000B5339"/>
    <w:rsid w:val="000B54E5"/>
    <w:rsid w:val="000C0090"/>
    <w:rsid w:val="000C1853"/>
    <w:rsid w:val="000C4C77"/>
    <w:rsid w:val="000D14E2"/>
    <w:rsid w:val="000D5F5D"/>
    <w:rsid w:val="000D7A4D"/>
    <w:rsid w:val="000E0EEC"/>
    <w:rsid w:val="000E168E"/>
    <w:rsid w:val="000E3D86"/>
    <w:rsid w:val="000F0BA4"/>
    <w:rsid w:val="000F1EC4"/>
    <w:rsid w:val="000F29D1"/>
    <w:rsid w:val="000F6249"/>
    <w:rsid w:val="00103543"/>
    <w:rsid w:val="001069A1"/>
    <w:rsid w:val="0010739A"/>
    <w:rsid w:val="00111C28"/>
    <w:rsid w:val="00112079"/>
    <w:rsid w:val="00112D65"/>
    <w:rsid w:val="00114F7B"/>
    <w:rsid w:val="00123939"/>
    <w:rsid w:val="0013044E"/>
    <w:rsid w:val="00131A69"/>
    <w:rsid w:val="00137003"/>
    <w:rsid w:val="0013717C"/>
    <w:rsid w:val="00137474"/>
    <w:rsid w:val="00143EFE"/>
    <w:rsid w:val="00156082"/>
    <w:rsid w:val="00161D10"/>
    <w:rsid w:val="00164597"/>
    <w:rsid w:val="001675AF"/>
    <w:rsid w:val="00170556"/>
    <w:rsid w:val="00170D87"/>
    <w:rsid w:val="001767A5"/>
    <w:rsid w:val="00180051"/>
    <w:rsid w:val="0018460D"/>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F045E"/>
    <w:rsid w:val="001F25C4"/>
    <w:rsid w:val="001F2BE0"/>
    <w:rsid w:val="001F3CF1"/>
    <w:rsid w:val="001F7194"/>
    <w:rsid w:val="001F71BA"/>
    <w:rsid w:val="001F7D30"/>
    <w:rsid w:val="00200B65"/>
    <w:rsid w:val="002141AF"/>
    <w:rsid w:val="00220944"/>
    <w:rsid w:val="00223A4A"/>
    <w:rsid w:val="0023042D"/>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590C"/>
    <w:rsid w:val="002A0285"/>
    <w:rsid w:val="002A3F19"/>
    <w:rsid w:val="002A6FA3"/>
    <w:rsid w:val="002A7325"/>
    <w:rsid w:val="002B0728"/>
    <w:rsid w:val="002B1317"/>
    <w:rsid w:val="002B7DA9"/>
    <w:rsid w:val="002B7F6D"/>
    <w:rsid w:val="002C0240"/>
    <w:rsid w:val="002C4A25"/>
    <w:rsid w:val="002D1619"/>
    <w:rsid w:val="002E633F"/>
    <w:rsid w:val="002F002B"/>
    <w:rsid w:val="002F05B2"/>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6FA6"/>
    <w:rsid w:val="0031712D"/>
    <w:rsid w:val="00320455"/>
    <w:rsid w:val="00321518"/>
    <w:rsid w:val="00321E19"/>
    <w:rsid w:val="003247B0"/>
    <w:rsid w:val="00330918"/>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325"/>
    <w:rsid w:val="00385EED"/>
    <w:rsid w:val="00390B58"/>
    <w:rsid w:val="00392024"/>
    <w:rsid w:val="003948A1"/>
    <w:rsid w:val="003A1549"/>
    <w:rsid w:val="003A2887"/>
    <w:rsid w:val="003A375A"/>
    <w:rsid w:val="003A43AB"/>
    <w:rsid w:val="003A6435"/>
    <w:rsid w:val="003B0E4E"/>
    <w:rsid w:val="003B0E4F"/>
    <w:rsid w:val="003C0CBE"/>
    <w:rsid w:val="003C2A23"/>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75C9"/>
    <w:rsid w:val="004116FD"/>
    <w:rsid w:val="0042193A"/>
    <w:rsid w:val="0043347D"/>
    <w:rsid w:val="00433F20"/>
    <w:rsid w:val="00435342"/>
    <w:rsid w:val="004376B0"/>
    <w:rsid w:val="00445D0A"/>
    <w:rsid w:val="004501B9"/>
    <w:rsid w:val="00453CFE"/>
    <w:rsid w:val="00454843"/>
    <w:rsid w:val="004556BB"/>
    <w:rsid w:val="00457FFE"/>
    <w:rsid w:val="00460FA7"/>
    <w:rsid w:val="00461BF2"/>
    <w:rsid w:val="004627B9"/>
    <w:rsid w:val="004678E9"/>
    <w:rsid w:val="00467E69"/>
    <w:rsid w:val="00471166"/>
    <w:rsid w:val="00473E24"/>
    <w:rsid w:val="00480982"/>
    <w:rsid w:val="00486655"/>
    <w:rsid w:val="004935C2"/>
    <w:rsid w:val="004A59C1"/>
    <w:rsid w:val="004B2DF6"/>
    <w:rsid w:val="004B2FF6"/>
    <w:rsid w:val="004B4E91"/>
    <w:rsid w:val="004B5797"/>
    <w:rsid w:val="004C222D"/>
    <w:rsid w:val="004C3DD1"/>
    <w:rsid w:val="004C3F71"/>
    <w:rsid w:val="004D5CC6"/>
    <w:rsid w:val="004E09B8"/>
    <w:rsid w:val="004E1737"/>
    <w:rsid w:val="004F303D"/>
    <w:rsid w:val="004F5D36"/>
    <w:rsid w:val="004F6195"/>
    <w:rsid w:val="0050659B"/>
    <w:rsid w:val="005130A9"/>
    <w:rsid w:val="005153F7"/>
    <w:rsid w:val="00515952"/>
    <w:rsid w:val="005224C1"/>
    <w:rsid w:val="005231DA"/>
    <w:rsid w:val="0053153F"/>
    <w:rsid w:val="00531C9F"/>
    <w:rsid w:val="005361AF"/>
    <w:rsid w:val="00536822"/>
    <w:rsid w:val="00536954"/>
    <w:rsid w:val="00540606"/>
    <w:rsid w:val="00541870"/>
    <w:rsid w:val="005436EC"/>
    <w:rsid w:val="00544A37"/>
    <w:rsid w:val="00545971"/>
    <w:rsid w:val="00551FDB"/>
    <w:rsid w:val="00554D18"/>
    <w:rsid w:val="0056501A"/>
    <w:rsid w:val="00573886"/>
    <w:rsid w:val="00573EE2"/>
    <w:rsid w:val="00577D19"/>
    <w:rsid w:val="005907CD"/>
    <w:rsid w:val="005A2139"/>
    <w:rsid w:val="005A37E5"/>
    <w:rsid w:val="005A4EB8"/>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135FD"/>
    <w:rsid w:val="006166CE"/>
    <w:rsid w:val="006218E4"/>
    <w:rsid w:val="00623C47"/>
    <w:rsid w:val="0062747C"/>
    <w:rsid w:val="0062786E"/>
    <w:rsid w:val="0064160C"/>
    <w:rsid w:val="00646E6F"/>
    <w:rsid w:val="00650123"/>
    <w:rsid w:val="006509E8"/>
    <w:rsid w:val="006542CA"/>
    <w:rsid w:val="006548C4"/>
    <w:rsid w:val="0066135D"/>
    <w:rsid w:val="00664259"/>
    <w:rsid w:val="00664867"/>
    <w:rsid w:val="00667012"/>
    <w:rsid w:val="006768F0"/>
    <w:rsid w:val="00677078"/>
    <w:rsid w:val="00681F49"/>
    <w:rsid w:val="00682D62"/>
    <w:rsid w:val="006839FB"/>
    <w:rsid w:val="00683F9A"/>
    <w:rsid w:val="006859AC"/>
    <w:rsid w:val="006859FD"/>
    <w:rsid w:val="0068617E"/>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2B43"/>
    <w:rsid w:val="006D39DF"/>
    <w:rsid w:val="006D65EC"/>
    <w:rsid w:val="006E26DC"/>
    <w:rsid w:val="006E6A2F"/>
    <w:rsid w:val="006E70A0"/>
    <w:rsid w:val="006F32FB"/>
    <w:rsid w:val="007046C5"/>
    <w:rsid w:val="007052FC"/>
    <w:rsid w:val="00705D83"/>
    <w:rsid w:val="00710AF5"/>
    <w:rsid w:val="00710E0C"/>
    <w:rsid w:val="0072112F"/>
    <w:rsid w:val="00724267"/>
    <w:rsid w:val="00725BF5"/>
    <w:rsid w:val="007320FB"/>
    <w:rsid w:val="007362E3"/>
    <w:rsid w:val="007408D1"/>
    <w:rsid w:val="00743627"/>
    <w:rsid w:val="00743E6A"/>
    <w:rsid w:val="0074636A"/>
    <w:rsid w:val="00753B64"/>
    <w:rsid w:val="0076114C"/>
    <w:rsid w:val="00762590"/>
    <w:rsid w:val="0076280C"/>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8CD"/>
    <w:rsid w:val="007E5614"/>
    <w:rsid w:val="007E768B"/>
    <w:rsid w:val="007F2DE8"/>
    <w:rsid w:val="007F4493"/>
    <w:rsid w:val="007F71F9"/>
    <w:rsid w:val="0080323F"/>
    <w:rsid w:val="008063BB"/>
    <w:rsid w:val="008123FF"/>
    <w:rsid w:val="0081387C"/>
    <w:rsid w:val="0083053E"/>
    <w:rsid w:val="00831B5E"/>
    <w:rsid w:val="00832F5B"/>
    <w:rsid w:val="00841AC4"/>
    <w:rsid w:val="00845A34"/>
    <w:rsid w:val="00852BBB"/>
    <w:rsid w:val="00856806"/>
    <w:rsid w:val="00856D3C"/>
    <w:rsid w:val="00860609"/>
    <w:rsid w:val="00863FC3"/>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4B0D"/>
    <w:rsid w:val="008E1286"/>
    <w:rsid w:val="008E19F3"/>
    <w:rsid w:val="008F3C6D"/>
    <w:rsid w:val="008F6AAF"/>
    <w:rsid w:val="00901E1F"/>
    <w:rsid w:val="0090292E"/>
    <w:rsid w:val="00906E67"/>
    <w:rsid w:val="009144B1"/>
    <w:rsid w:val="00915ADA"/>
    <w:rsid w:val="0092097A"/>
    <w:rsid w:val="009222C9"/>
    <w:rsid w:val="009228CF"/>
    <w:rsid w:val="00925499"/>
    <w:rsid w:val="00930569"/>
    <w:rsid w:val="00932625"/>
    <w:rsid w:val="009343CC"/>
    <w:rsid w:val="009344C2"/>
    <w:rsid w:val="009412B0"/>
    <w:rsid w:val="0094645B"/>
    <w:rsid w:val="0094705C"/>
    <w:rsid w:val="00957739"/>
    <w:rsid w:val="00957B41"/>
    <w:rsid w:val="009631E0"/>
    <w:rsid w:val="009649D2"/>
    <w:rsid w:val="009674F1"/>
    <w:rsid w:val="009834E2"/>
    <w:rsid w:val="00985DC8"/>
    <w:rsid w:val="009A52BA"/>
    <w:rsid w:val="009A69B1"/>
    <w:rsid w:val="009A700C"/>
    <w:rsid w:val="009C0ECA"/>
    <w:rsid w:val="009C45BA"/>
    <w:rsid w:val="009C7948"/>
    <w:rsid w:val="009C79BD"/>
    <w:rsid w:val="009D01A2"/>
    <w:rsid w:val="009D24BB"/>
    <w:rsid w:val="009D44DD"/>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6A29"/>
    <w:rsid w:val="00A16E82"/>
    <w:rsid w:val="00A252BA"/>
    <w:rsid w:val="00A26285"/>
    <w:rsid w:val="00A27A7B"/>
    <w:rsid w:val="00A36CBA"/>
    <w:rsid w:val="00A36D79"/>
    <w:rsid w:val="00A41EA4"/>
    <w:rsid w:val="00A44FE0"/>
    <w:rsid w:val="00A4618A"/>
    <w:rsid w:val="00A50D03"/>
    <w:rsid w:val="00A624BA"/>
    <w:rsid w:val="00A712B2"/>
    <w:rsid w:val="00A74214"/>
    <w:rsid w:val="00A7796E"/>
    <w:rsid w:val="00A9085F"/>
    <w:rsid w:val="00A92C95"/>
    <w:rsid w:val="00A93A25"/>
    <w:rsid w:val="00AA0920"/>
    <w:rsid w:val="00AA469A"/>
    <w:rsid w:val="00AA6E6D"/>
    <w:rsid w:val="00AA7977"/>
    <w:rsid w:val="00AA79D9"/>
    <w:rsid w:val="00AB50FF"/>
    <w:rsid w:val="00AC4BEC"/>
    <w:rsid w:val="00AC57BB"/>
    <w:rsid w:val="00AC614D"/>
    <w:rsid w:val="00AD1F39"/>
    <w:rsid w:val="00AD4BC3"/>
    <w:rsid w:val="00AE313F"/>
    <w:rsid w:val="00AE34F4"/>
    <w:rsid w:val="00AF042F"/>
    <w:rsid w:val="00B00C49"/>
    <w:rsid w:val="00B03105"/>
    <w:rsid w:val="00B03461"/>
    <w:rsid w:val="00B0766F"/>
    <w:rsid w:val="00B07F42"/>
    <w:rsid w:val="00B11974"/>
    <w:rsid w:val="00B12CF8"/>
    <w:rsid w:val="00B244B9"/>
    <w:rsid w:val="00B24559"/>
    <w:rsid w:val="00B27020"/>
    <w:rsid w:val="00B27178"/>
    <w:rsid w:val="00B310C3"/>
    <w:rsid w:val="00B42229"/>
    <w:rsid w:val="00B43ABC"/>
    <w:rsid w:val="00B44FA9"/>
    <w:rsid w:val="00B51125"/>
    <w:rsid w:val="00B51F55"/>
    <w:rsid w:val="00B52CDF"/>
    <w:rsid w:val="00B60D60"/>
    <w:rsid w:val="00B63CDD"/>
    <w:rsid w:val="00B65687"/>
    <w:rsid w:val="00B65A3B"/>
    <w:rsid w:val="00B67AF0"/>
    <w:rsid w:val="00B72C6B"/>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56B7"/>
    <w:rsid w:val="00BD5A47"/>
    <w:rsid w:val="00BD5FB6"/>
    <w:rsid w:val="00BE2BCC"/>
    <w:rsid w:val="00BE3896"/>
    <w:rsid w:val="00BE7068"/>
    <w:rsid w:val="00BE768F"/>
    <w:rsid w:val="00C03192"/>
    <w:rsid w:val="00C23E32"/>
    <w:rsid w:val="00C251C4"/>
    <w:rsid w:val="00C314C1"/>
    <w:rsid w:val="00C31917"/>
    <w:rsid w:val="00C40571"/>
    <w:rsid w:val="00C40D7F"/>
    <w:rsid w:val="00C41DD9"/>
    <w:rsid w:val="00C427DA"/>
    <w:rsid w:val="00C42C49"/>
    <w:rsid w:val="00C42FAF"/>
    <w:rsid w:val="00C568FB"/>
    <w:rsid w:val="00C56D0A"/>
    <w:rsid w:val="00C73DAB"/>
    <w:rsid w:val="00C863A3"/>
    <w:rsid w:val="00C864DC"/>
    <w:rsid w:val="00C90075"/>
    <w:rsid w:val="00C915B4"/>
    <w:rsid w:val="00C94EEA"/>
    <w:rsid w:val="00CA1722"/>
    <w:rsid w:val="00CA172B"/>
    <w:rsid w:val="00CA7673"/>
    <w:rsid w:val="00CB1227"/>
    <w:rsid w:val="00CB1255"/>
    <w:rsid w:val="00CB18B1"/>
    <w:rsid w:val="00CB38CA"/>
    <w:rsid w:val="00CB66A2"/>
    <w:rsid w:val="00CB6F2B"/>
    <w:rsid w:val="00CC1067"/>
    <w:rsid w:val="00CC2EC2"/>
    <w:rsid w:val="00CD3324"/>
    <w:rsid w:val="00CD6162"/>
    <w:rsid w:val="00CE4309"/>
    <w:rsid w:val="00CE6C6E"/>
    <w:rsid w:val="00CF42B9"/>
    <w:rsid w:val="00CF580B"/>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4957"/>
    <w:rsid w:val="00D55BD2"/>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8E6"/>
    <w:rsid w:val="00DA50BA"/>
    <w:rsid w:val="00DA55A8"/>
    <w:rsid w:val="00DA7B87"/>
    <w:rsid w:val="00DB0266"/>
    <w:rsid w:val="00DB63D9"/>
    <w:rsid w:val="00DB7E77"/>
    <w:rsid w:val="00DC0B27"/>
    <w:rsid w:val="00DC1667"/>
    <w:rsid w:val="00DC30D0"/>
    <w:rsid w:val="00DC7E88"/>
    <w:rsid w:val="00DD3AB0"/>
    <w:rsid w:val="00DD7FC1"/>
    <w:rsid w:val="00DF0000"/>
    <w:rsid w:val="00DF020C"/>
    <w:rsid w:val="00DF05CC"/>
    <w:rsid w:val="00DF5A2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18BB"/>
    <w:rsid w:val="00E57F9B"/>
    <w:rsid w:val="00E6726D"/>
    <w:rsid w:val="00E77BCA"/>
    <w:rsid w:val="00E81433"/>
    <w:rsid w:val="00E81C95"/>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BFC"/>
    <w:rsid w:val="00F101B3"/>
    <w:rsid w:val="00F13FDA"/>
    <w:rsid w:val="00F14982"/>
    <w:rsid w:val="00F20D55"/>
    <w:rsid w:val="00F250B8"/>
    <w:rsid w:val="00F2598D"/>
    <w:rsid w:val="00F259AE"/>
    <w:rsid w:val="00F31B7E"/>
    <w:rsid w:val="00F336A2"/>
    <w:rsid w:val="00F33826"/>
    <w:rsid w:val="00F34E7C"/>
    <w:rsid w:val="00F3561E"/>
    <w:rsid w:val="00F36EC6"/>
    <w:rsid w:val="00F4229F"/>
    <w:rsid w:val="00F44AEB"/>
    <w:rsid w:val="00F45620"/>
    <w:rsid w:val="00F46BBD"/>
    <w:rsid w:val="00F51B95"/>
    <w:rsid w:val="00F5432C"/>
    <w:rsid w:val="00F5470D"/>
    <w:rsid w:val="00F5611C"/>
    <w:rsid w:val="00F66B41"/>
    <w:rsid w:val="00F712AB"/>
    <w:rsid w:val="00F77D7D"/>
    <w:rsid w:val="00F80CD0"/>
    <w:rsid w:val="00F82DDB"/>
    <w:rsid w:val="00F838FF"/>
    <w:rsid w:val="00F83CDB"/>
    <w:rsid w:val="00F8771B"/>
    <w:rsid w:val="00F90003"/>
    <w:rsid w:val="00F9173C"/>
    <w:rsid w:val="00FA1C73"/>
    <w:rsid w:val="00FA6B22"/>
    <w:rsid w:val="00FA73E5"/>
    <w:rsid w:val="00FB18D0"/>
    <w:rsid w:val="00FB2ED6"/>
    <w:rsid w:val="00FB3309"/>
    <w:rsid w:val="00FB53F1"/>
    <w:rsid w:val="00FC23FE"/>
    <w:rsid w:val="00FC2522"/>
    <w:rsid w:val="00FC5B56"/>
    <w:rsid w:val="00FC7D97"/>
    <w:rsid w:val="00FD4B12"/>
    <w:rsid w:val="00FD7195"/>
    <w:rsid w:val="00FD747A"/>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D9126-1CDC-4F00-BA5D-32726CA0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3</Pages>
  <Words>882</Words>
  <Characters>5207</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28</cp:revision>
  <dcterms:created xsi:type="dcterms:W3CDTF">2022-10-19T12:10:00Z</dcterms:created>
  <dcterms:modified xsi:type="dcterms:W3CDTF">2022-10-31T08:41:00Z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