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4DBE9" w14:textId="6E0639B0" w:rsidR="00677C07" w:rsidRDefault="00677C07">
      <w:pPr>
        <w:rPr>
          <w:highlight w:val="yellow"/>
        </w:rPr>
      </w:pPr>
    </w:p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p w14:paraId="718E6546" w14:textId="121A6802" w:rsidR="00D80B6D" w:rsidRPr="00D84B7D" w:rsidRDefault="00D80B6D">
          <w:pPr>
            <w:rPr>
              <w:highlight w:val="yellow"/>
            </w:rPr>
          </w:pPr>
        </w:p>
        <w:p w14:paraId="7ED014A1" w14:textId="77777777" w:rsidR="00D80B6D" w:rsidRPr="00D84B7D" w:rsidRDefault="00D80B6D" w:rsidP="00D80B6D">
          <w:pPr>
            <w:pStyle w:val="Nadpis3"/>
            <w:spacing w:before="10"/>
            <w:rPr>
              <w:rFonts w:ascii="Arial" w:hAnsi="Arial" w:cs="Arial"/>
              <w:highlight w:val="yellow"/>
            </w:rPr>
          </w:pPr>
        </w:p>
        <w:p w14:paraId="0FB45B67" w14:textId="77777777" w:rsidR="00D80B6D" w:rsidRPr="00D84B7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b/>
              <w:sz w:val="24"/>
            </w:rPr>
            <w:t>INDEX HYPOTEČNÍCH ÚVĚRŮ</w:t>
          </w:r>
          <w:r w:rsidRPr="00D84B7D">
            <w:rPr>
              <w:rFonts w:ascii="Arial" w:hAnsi="Arial" w:cs="Arial"/>
              <w:sz w:val="24"/>
            </w:rPr>
            <w:t xml:space="preserve"> | </w:t>
          </w:r>
          <w:r w:rsidRPr="00D40C89">
            <w:rPr>
              <w:rFonts w:ascii="Arial" w:hAnsi="Arial" w:cs="Arial"/>
              <w:b/>
              <w:sz w:val="24"/>
            </w:rPr>
            <w:t xml:space="preserve">FIXINDEX </w:t>
          </w:r>
        </w:p>
        <w:p w14:paraId="03C4DE47" w14:textId="26FAE45C" w:rsidR="0009776B" w:rsidRPr="00D84B7D" w:rsidRDefault="00D80B6D" w:rsidP="005F65A1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sz w:val="24"/>
            </w:rPr>
            <w:t xml:space="preserve">INDEX PODÍLOVÝCH FONDŮ </w:t>
          </w:r>
        </w:p>
        <w:p w14:paraId="32900BCE" w14:textId="5904F9FC" w:rsidR="00D80B6D" w:rsidRPr="00D84B7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sz w:val="24"/>
            </w:rPr>
            <w:t>P</w:t>
          </w:r>
          <w:r w:rsidR="005F65A1" w:rsidRPr="00D84B7D">
            <w:rPr>
              <w:rFonts w:ascii="Arial" w:hAnsi="Arial" w:cs="Arial"/>
              <w:sz w:val="24"/>
            </w:rPr>
            <w:t>OV</w:t>
          </w:r>
          <w:r w:rsidRPr="00D84B7D">
            <w:rPr>
              <w:rFonts w:ascii="Arial" w:hAnsi="Arial" w:cs="Arial"/>
              <w:sz w:val="24"/>
            </w:rPr>
            <w:t xml:space="preserve">INDEX </w:t>
          </w:r>
        </w:p>
        <w:p w14:paraId="5B21B8A6" w14:textId="77777777" w:rsidR="00D80B6D" w:rsidRPr="00D84B7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sz w:val="24"/>
            </w:rPr>
            <w:t xml:space="preserve">INDEX SPOTŘEBITELSKÝCH ÚVĚRŮ  </w:t>
          </w:r>
        </w:p>
        <w:p w14:paraId="720CCDBB" w14:textId="77777777" w:rsidR="00D80B6D" w:rsidRPr="00D84B7D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  <w:r w:rsidRPr="00D84B7D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D84B7D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D84B7D">
            <w:rPr>
              <w:rFonts w:ascii="Arial" w:hAnsi="Arial" w:cs="Arial"/>
              <w:b/>
              <w:sz w:val="20"/>
            </w:rPr>
            <w:t xml:space="preserve">O společnosti Broker </w:t>
          </w:r>
          <w:proofErr w:type="spellStart"/>
          <w:r w:rsidRPr="00D84B7D">
            <w:rPr>
              <w:rFonts w:ascii="Arial" w:hAnsi="Arial" w:cs="Arial"/>
              <w:b/>
              <w:sz w:val="20"/>
            </w:rPr>
            <w:t>Consulting</w:t>
          </w:r>
          <w:proofErr w:type="spellEnd"/>
        </w:p>
        <w:p w14:paraId="27485CC6" w14:textId="77777777" w:rsidR="00D80B6D" w:rsidRPr="00D84B7D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6F276E07" w:rsidR="00792EE9" w:rsidRPr="006545F8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D84B7D">
            <w:rPr>
              <w:rFonts w:ascii="Arial" w:hAnsi="Arial" w:cs="Arial"/>
              <w:sz w:val="18"/>
            </w:rPr>
            <w:t xml:space="preserve">Broker </w:t>
          </w:r>
          <w:proofErr w:type="spellStart"/>
          <w:r w:rsidRPr="00D84B7D">
            <w:rPr>
              <w:rFonts w:ascii="Arial" w:hAnsi="Arial" w:cs="Arial"/>
              <w:sz w:val="18"/>
            </w:rPr>
            <w:t>Consulting</w:t>
          </w:r>
          <w:proofErr w:type="spellEnd"/>
          <w:r w:rsidRPr="00D84B7D">
            <w:rPr>
              <w:rFonts w:ascii="Arial" w:hAnsi="Arial" w:cs="Arial"/>
              <w:sz w:val="18"/>
            </w:rPr>
            <w:t xml:space="preserve">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2141AF" w:rsidRPr="00D84B7D">
            <w:rPr>
              <w:rFonts w:ascii="Arial" w:hAnsi="Arial" w:cs="Arial"/>
              <w:sz w:val="18"/>
            </w:rPr>
            <w:t>40</w:t>
          </w:r>
          <w:r w:rsidRPr="00D84B7D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</w:t>
          </w:r>
          <w:proofErr w:type="spellStart"/>
          <w:r w:rsidRPr="00D84B7D">
            <w:rPr>
              <w:rFonts w:ascii="Arial" w:hAnsi="Arial" w:cs="Arial"/>
              <w:sz w:val="18"/>
            </w:rPr>
            <w:t>Consultin</w:t>
          </w:r>
          <w:r w:rsidR="008D373A">
            <w:rPr>
              <w:rFonts w:ascii="Arial" w:hAnsi="Arial" w:cs="Arial"/>
              <w:sz w:val="18"/>
            </w:rPr>
            <w:t>g</w:t>
          </w:r>
          <w:proofErr w:type="spellEnd"/>
          <w:r w:rsidR="008D373A">
            <w:rPr>
              <w:rFonts w:ascii="Arial" w:hAnsi="Arial" w:cs="Arial"/>
              <w:sz w:val="18"/>
            </w:rPr>
            <w:t xml:space="preserve">. </w:t>
          </w:r>
          <w:proofErr w:type="spellStart"/>
          <w:r w:rsidRPr="00D84B7D">
            <w:rPr>
              <w:rStyle w:val="dn"/>
              <w:rFonts w:ascii="Arial" w:hAnsi="Arial" w:cs="Arial"/>
              <w:sz w:val="18"/>
              <w:szCs w:val="18"/>
            </w:rPr>
            <w:t>Více</w:t>
          </w:r>
          <w:proofErr w:type="spellEnd"/>
          <w:r w:rsidRPr="00D84B7D">
            <w:rPr>
              <w:rStyle w:val="dn"/>
              <w:rFonts w:ascii="Arial" w:hAnsi="Arial" w:cs="Arial"/>
              <w:sz w:val="18"/>
              <w:szCs w:val="18"/>
            </w:rPr>
            <w:t xml:space="preserve"> na </w:t>
          </w:r>
          <w:hyperlink r:id="rId9" w:history="1">
            <w:r w:rsidR="007B232E"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bcas.cz</w:t>
            </w:r>
          </w:hyperlink>
          <w:r w:rsidRPr="00D84B7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okpointy.cz</w:t>
            </w:r>
          </w:hyperlink>
          <w:r w:rsidR="007B232E" w:rsidRPr="00D84B7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okpoint.tv</w:t>
            </w:r>
          </w:hyperlink>
          <w:r w:rsidRPr="00D84B7D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realityspolu.cz</w:t>
            </w:r>
          </w:hyperlink>
          <w:r w:rsidR="007B232E" w:rsidRPr="00D84B7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. </w:t>
          </w:r>
          <w:proofErr w:type="spellStart"/>
          <w:r w:rsidRPr="00D84B7D">
            <w:rPr>
              <w:rStyle w:val="dn"/>
              <w:rFonts w:ascii="Arial" w:hAnsi="Arial" w:cs="Arial"/>
              <w:sz w:val="18"/>
              <w:szCs w:val="18"/>
            </w:rPr>
            <w:t>Navštivte</w:t>
          </w:r>
          <w:proofErr w:type="spellEnd"/>
          <w:r w:rsidRPr="00D84B7D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6545F8">
            <w:rPr>
              <w:rStyle w:val="dn"/>
              <w:rFonts w:ascii="Arial" w:hAnsi="Arial" w:cs="Arial"/>
              <w:sz w:val="18"/>
              <w:szCs w:val="18"/>
            </w:rPr>
            <w:t>také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6545F8">
            <w:rPr>
              <w:rStyle w:val="dn"/>
              <w:rFonts w:ascii="Arial" w:hAnsi="Arial" w:cs="Arial"/>
              <w:sz w:val="18"/>
              <w:szCs w:val="18"/>
            </w:rPr>
            <w:t>náš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hyperlink r:id="rId13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  <w:proofErr w:type="spellEnd"/>
          </w:hyperlink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4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LinkedIN</w:t>
            </w:r>
            <w:proofErr w:type="spellEnd"/>
          </w:hyperlink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  <w:proofErr w:type="spellEnd"/>
          </w:hyperlink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6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</w:t>
            </w:r>
          </w:hyperlink>
          <w:r w:rsidRPr="006545F8">
            <w:rPr>
              <w:rStyle w:val="Hypertextovodkaz"/>
              <w:rFonts w:ascii="Arial" w:hAnsi="Arial" w:cs="Arial"/>
              <w:color w:val="auto"/>
              <w:sz w:val="18"/>
              <w:szCs w:val="18"/>
            </w:rPr>
            <w:t>N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OK </w:t>
          </w:r>
          <w:proofErr w:type="spellStart"/>
          <w:r w:rsidRPr="006545F8">
            <w:rPr>
              <w:rStyle w:val="dn"/>
              <w:rFonts w:ascii="Arial" w:hAnsi="Arial" w:cs="Arial"/>
              <w:sz w:val="18"/>
              <w:szCs w:val="18"/>
            </w:rPr>
            <w:t>POINTů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. </w:t>
          </w:r>
        </w:p>
        <w:p w14:paraId="3F0EC976" w14:textId="3496D289" w:rsidR="00D80B6D" w:rsidRPr="006545F8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6545F8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4F038982" w14:textId="77777777" w:rsidR="00203BD4" w:rsidRDefault="00203BD4" w:rsidP="0025264B">
          <w:pPr>
            <w:rPr>
              <w:rFonts w:ascii="Arial" w:hAnsi="Arial" w:cs="Arial"/>
              <w:sz w:val="20"/>
              <w:szCs w:val="20"/>
              <w:highlight w:val="yellow"/>
            </w:rPr>
          </w:pPr>
        </w:p>
        <w:p w14:paraId="35539C65" w14:textId="06F0629B" w:rsidR="00D31127" w:rsidRPr="006545F8" w:rsidRDefault="00296B24" w:rsidP="0025264B">
          <w:pPr>
            <w:rPr>
              <w:rFonts w:ascii="Arial" w:hAnsi="Arial" w:cs="Arial"/>
              <w:sz w:val="20"/>
              <w:szCs w:val="20"/>
              <w:highlight w:val="yellow"/>
            </w:rPr>
            <w:sectPr w:rsidR="00D31127" w:rsidRPr="006545F8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206747BB" w14:textId="7498B86E" w:rsidR="00AE72D7" w:rsidRPr="006545F8" w:rsidRDefault="00AE72D7" w:rsidP="00AE72D7">
      <w:pPr>
        <w:widowControl/>
        <w:autoSpaceDE/>
        <w:autoSpaceDN/>
        <w:jc w:val="both"/>
        <w:rPr>
          <w:rFonts w:ascii="Calibri" w:eastAsia="Times New Roman" w:hAnsi="Calibri" w:cs="Calibri"/>
          <w:color w:val="000000"/>
          <w:lang w:bidi="ar-SA"/>
        </w:rPr>
      </w:pPr>
    </w:p>
    <w:p w14:paraId="5252BF3F" w14:textId="77777777" w:rsidR="00D40C89" w:rsidRPr="009345C9" w:rsidRDefault="00D40C89" w:rsidP="006B2EA9">
      <w:pPr>
        <w:jc w:val="center"/>
        <w:rPr>
          <w:rFonts w:ascii="Arial" w:hAnsi="Arial" w:cs="Arial"/>
          <w:sz w:val="28"/>
          <w:szCs w:val="28"/>
        </w:rPr>
      </w:pPr>
    </w:p>
    <w:p w14:paraId="10EA3566" w14:textId="6480820C" w:rsidR="00D40C89" w:rsidRPr="00A37A20" w:rsidRDefault="001F1D14" w:rsidP="00874FE0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 xml:space="preserve">V září </w:t>
      </w:r>
      <w:r w:rsidR="00E7623C">
        <w:rPr>
          <w:rFonts w:ascii="Arial" w:hAnsi="Arial" w:cs="Arial"/>
          <w:b/>
          <w:sz w:val="30"/>
          <w:szCs w:val="30"/>
        </w:rPr>
        <w:t>výrazně přibrzdil trend stoupajících úrokových sazeb hypoték</w:t>
      </w:r>
    </w:p>
    <w:p w14:paraId="2394C9D1" w14:textId="77777777" w:rsidR="00896FD6" w:rsidRPr="006545F8" w:rsidRDefault="00896FD6" w:rsidP="00652DCE">
      <w:pPr>
        <w:jc w:val="both"/>
        <w:rPr>
          <w:rFonts w:ascii="Arial" w:hAnsi="Arial" w:cs="Arial"/>
          <w:i/>
          <w:sz w:val="20"/>
          <w:szCs w:val="20"/>
        </w:rPr>
      </w:pPr>
    </w:p>
    <w:p w14:paraId="59766C93" w14:textId="77777777" w:rsidR="00917F21" w:rsidRDefault="00917F21" w:rsidP="00652DCE">
      <w:pPr>
        <w:jc w:val="both"/>
        <w:rPr>
          <w:rFonts w:ascii="Arial" w:hAnsi="Arial" w:cs="Arial"/>
          <w:i/>
          <w:sz w:val="20"/>
          <w:szCs w:val="20"/>
        </w:rPr>
      </w:pPr>
    </w:p>
    <w:p w14:paraId="3A609B7E" w14:textId="33A92B66" w:rsidR="00E7623C" w:rsidRDefault="004E67DB" w:rsidP="00652DC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i/>
          <w:sz w:val="20"/>
          <w:szCs w:val="20"/>
        </w:rPr>
        <w:t>Praha, 7</w:t>
      </w:r>
      <w:bookmarkStart w:id="0" w:name="_GoBack"/>
      <w:bookmarkEnd w:id="0"/>
      <w:r w:rsidR="00D47B8A" w:rsidRPr="002B1E20">
        <w:rPr>
          <w:rFonts w:ascii="Arial" w:hAnsi="Arial" w:cs="Arial"/>
          <w:i/>
          <w:sz w:val="20"/>
          <w:szCs w:val="20"/>
        </w:rPr>
        <w:t xml:space="preserve">. </w:t>
      </w:r>
      <w:r w:rsidR="00E7623C">
        <w:rPr>
          <w:rFonts w:ascii="Arial" w:hAnsi="Arial" w:cs="Arial"/>
          <w:i/>
          <w:sz w:val="20"/>
          <w:szCs w:val="20"/>
        </w:rPr>
        <w:t>října</w:t>
      </w:r>
      <w:r w:rsidR="009C283B" w:rsidRPr="002B1E20">
        <w:rPr>
          <w:rFonts w:ascii="Arial" w:hAnsi="Arial" w:cs="Arial"/>
          <w:i/>
          <w:sz w:val="20"/>
          <w:szCs w:val="20"/>
        </w:rPr>
        <w:t xml:space="preserve"> 2022</w:t>
      </w:r>
      <w:r w:rsidR="00E6319B" w:rsidRPr="002B1E20">
        <w:rPr>
          <w:rFonts w:ascii="Arial" w:hAnsi="Arial" w:cs="Arial"/>
        </w:rPr>
        <w:t xml:space="preserve"> </w:t>
      </w:r>
      <w:r w:rsidR="000851AC" w:rsidRPr="002B1E20">
        <w:rPr>
          <w:rFonts w:ascii="Arial" w:hAnsi="Arial" w:cs="Arial"/>
        </w:rPr>
        <w:t>–</w:t>
      </w:r>
      <w:r w:rsidR="00A37A20" w:rsidRPr="002B1E20">
        <w:rPr>
          <w:rFonts w:ascii="Arial" w:hAnsi="Arial" w:cs="Arial"/>
          <w:b/>
        </w:rPr>
        <w:t xml:space="preserve"> </w:t>
      </w:r>
      <w:r w:rsidR="00E7623C">
        <w:rPr>
          <w:rFonts w:ascii="Arial" w:hAnsi="Arial" w:cs="Arial"/>
          <w:b/>
        </w:rPr>
        <w:t xml:space="preserve">Podle </w:t>
      </w:r>
      <w:r w:rsidR="00251F32">
        <w:rPr>
          <w:rFonts w:ascii="Arial" w:hAnsi="Arial" w:cs="Arial"/>
          <w:b/>
        </w:rPr>
        <w:t xml:space="preserve">zářijových </w:t>
      </w:r>
      <w:r w:rsidR="00E7623C">
        <w:rPr>
          <w:rFonts w:ascii="Arial" w:hAnsi="Arial" w:cs="Arial"/>
          <w:b/>
        </w:rPr>
        <w:t xml:space="preserve">výsledků Broker </w:t>
      </w:r>
      <w:proofErr w:type="spellStart"/>
      <w:r w:rsidR="00E7623C">
        <w:rPr>
          <w:rFonts w:ascii="Arial" w:hAnsi="Arial" w:cs="Arial"/>
          <w:b/>
        </w:rPr>
        <w:t>Consulting</w:t>
      </w:r>
      <w:proofErr w:type="spellEnd"/>
      <w:r w:rsidR="00E7623C">
        <w:rPr>
          <w:rFonts w:ascii="Arial" w:hAnsi="Arial" w:cs="Arial"/>
          <w:b/>
        </w:rPr>
        <w:t xml:space="preserve"> Indexu hypotečních úvěrů </w:t>
      </w:r>
      <w:r w:rsidR="00251F32">
        <w:rPr>
          <w:rFonts w:ascii="Arial" w:hAnsi="Arial" w:cs="Arial"/>
          <w:b/>
        </w:rPr>
        <w:t xml:space="preserve">se průměrná úroková sazba hypoték zastavila na hodnotě 5,90 %. Oproti předchozím měsícům jde o výrazně menší meziměsíční nárůst, směrem nahoru vzrostly sazby </w:t>
      </w:r>
      <w:r w:rsidR="00FA35EB">
        <w:rPr>
          <w:rFonts w:ascii="Arial" w:hAnsi="Arial" w:cs="Arial"/>
          <w:b/>
        </w:rPr>
        <w:t xml:space="preserve">v porovnání se srpnem </w:t>
      </w:r>
      <w:r w:rsidR="008D484C">
        <w:rPr>
          <w:rFonts w:ascii="Arial" w:hAnsi="Arial" w:cs="Arial"/>
          <w:b/>
        </w:rPr>
        <w:t>pouze o osm bazických bodů</w:t>
      </w:r>
      <w:r w:rsidR="00251F32">
        <w:rPr>
          <w:rFonts w:ascii="Arial" w:hAnsi="Arial" w:cs="Arial"/>
          <w:b/>
        </w:rPr>
        <w:t>.</w:t>
      </w:r>
      <w:r w:rsidR="008D484C">
        <w:rPr>
          <w:rFonts w:ascii="Arial" w:hAnsi="Arial" w:cs="Arial"/>
          <w:b/>
        </w:rPr>
        <w:t xml:space="preserve"> Od loňského ledna</w:t>
      </w:r>
      <w:r w:rsidR="00FA35EB">
        <w:rPr>
          <w:rFonts w:ascii="Arial" w:hAnsi="Arial" w:cs="Arial"/>
          <w:b/>
        </w:rPr>
        <w:t xml:space="preserve"> </w:t>
      </w:r>
      <w:r w:rsidR="008D484C">
        <w:rPr>
          <w:rFonts w:ascii="Arial" w:hAnsi="Arial" w:cs="Arial"/>
          <w:b/>
        </w:rPr>
        <w:t xml:space="preserve">až </w:t>
      </w:r>
      <w:r w:rsidR="00FA35EB">
        <w:rPr>
          <w:rFonts w:ascii="Arial" w:hAnsi="Arial" w:cs="Arial"/>
          <w:b/>
        </w:rPr>
        <w:t>doposud se</w:t>
      </w:r>
      <w:r w:rsidR="008D484C">
        <w:rPr>
          <w:rFonts w:ascii="Arial" w:hAnsi="Arial" w:cs="Arial"/>
          <w:b/>
        </w:rPr>
        <w:t xml:space="preserve"> přitom</w:t>
      </w:r>
      <w:r w:rsidR="00FA35EB">
        <w:rPr>
          <w:rFonts w:ascii="Arial" w:hAnsi="Arial" w:cs="Arial"/>
          <w:b/>
        </w:rPr>
        <w:t xml:space="preserve"> sazby hypotečních úvěrů již více než ztrojnásobi</w:t>
      </w:r>
      <w:r w:rsidR="008D484C">
        <w:rPr>
          <w:rFonts w:ascii="Arial" w:hAnsi="Arial" w:cs="Arial"/>
          <w:b/>
        </w:rPr>
        <w:t>ly. Experti odhadují, že vrchol úrokových sazeb má již hypoteční trh za sebou, v dalších měsících je podle nich</w:t>
      </w:r>
      <w:r w:rsidR="00465E53">
        <w:rPr>
          <w:rFonts w:ascii="Arial" w:hAnsi="Arial" w:cs="Arial"/>
          <w:b/>
        </w:rPr>
        <w:t xml:space="preserve"> nejvíce pravděpodobná</w:t>
      </w:r>
      <w:r w:rsidR="008D484C">
        <w:rPr>
          <w:rFonts w:ascii="Arial" w:hAnsi="Arial" w:cs="Arial"/>
          <w:b/>
        </w:rPr>
        <w:t xml:space="preserve"> stagnace.</w:t>
      </w:r>
    </w:p>
    <w:p w14:paraId="4CC01FB9" w14:textId="605BC862" w:rsidR="005C7059" w:rsidRDefault="005C7059" w:rsidP="00652DCE">
      <w:pPr>
        <w:jc w:val="both"/>
        <w:rPr>
          <w:rFonts w:ascii="Arial" w:hAnsi="Arial" w:cs="Arial"/>
          <w:b/>
        </w:rPr>
      </w:pPr>
    </w:p>
    <w:p w14:paraId="78D25F00" w14:textId="5548347F" w:rsidR="005C7059" w:rsidRDefault="005C7059" w:rsidP="005C7059">
      <w:pPr>
        <w:jc w:val="both"/>
        <w:rPr>
          <w:rFonts w:ascii="Arial" w:hAnsi="Arial" w:cs="Arial"/>
          <w:color w:val="000000"/>
          <w:sz w:val="21"/>
          <w:szCs w:val="21"/>
        </w:rPr>
      </w:pPr>
      <w:r w:rsidRPr="005C7059">
        <w:rPr>
          <w:rStyle w:val="Siln"/>
          <w:rFonts w:ascii="Arial" w:hAnsi="Arial" w:cs="Arial"/>
          <w:b w:val="0"/>
          <w:bCs w:val="0"/>
          <w:color w:val="000000"/>
          <w:sz w:val="21"/>
          <w:szCs w:val="21"/>
        </w:rPr>
        <w:t>„</w:t>
      </w:r>
      <w:r w:rsidRPr="005C7059">
        <w:rPr>
          <w:rStyle w:val="Siln"/>
          <w:rFonts w:ascii="Arial" w:hAnsi="Arial" w:cs="Arial"/>
          <w:b w:val="0"/>
          <w:bCs w:val="0"/>
          <w:i/>
          <w:color w:val="000000"/>
          <w:sz w:val="21"/>
          <w:szCs w:val="21"/>
        </w:rPr>
        <w:t xml:space="preserve">Prudký růst sazeb, který započal již závěrem minulého roku, je pravděpodobně u konce. </w:t>
      </w:r>
      <w:r w:rsidR="00F00A6E">
        <w:rPr>
          <w:rStyle w:val="Siln"/>
          <w:rFonts w:ascii="Arial" w:hAnsi="Arial" w:cs="Arial"/>
          <w:b w:val="0"/>
          <w:bCs w:val="0"/>
          <w:i/>
          <w:color w:val="000000"/>
          <w:sz w:val="21"/>
          <w:szCs w:val="21"/>
        </w:rPr>
        <w:t>V posledních měsících</w:t>
      </w:r>
      <w:r w:rsidRPr="005C7059">
        <w:rPr>
          <w:rStyle w:val="Siln"/>
          <w:rFonts w:ascii="Arial" w:hAnsi="Arial" w:cs="Arial"/>
          <w:b w:val="0"/>
          <w:bCs w:val="0"/>
          <w:i/>
          <w:color w:val="000000"/>
          <w:sz w:val="21"/>
          <w:szCs w:val="21"/>
        </w:rPr>
        <w:t xml:space="preserve"> letošního roku očekáváme spíše stagn</w:t>
      </w:r>
      <w:r w:rsidR="00F00A6E">
        <w:rPr>
          <w:rStyle w:val="Siln"/>
          <w:rFonts w:ascii="Arial" w:hAnsi="Arial" w:cs="Arial"/>
          <w:b w:val="0"/>
          <w:bCs w:val="0"/>
          <w:i/>
          <w:color w:val="000000"/>
          <w:sz w:val="21"/>
          <w:szCs w:val="21"/>
        </w:rPr>
        <w:t>aci, výraznějšího snižování</w:t>
      </w:r>
      <w:r w:rsidRPr="005C7059">
        <w:rPr>
          <w:rStyle w:val="Siln"/>
          <w:rFonts w:ascii="Arial" w:hAnsi="Arial" w:cs="Arial"/>
          <w:b w:val="0"/>
          <w:bCs w:val="0"/>
          <w:i/>
          <w:color w:val="000000"/>
          <w:sz w:val="21"/>
          <w:szCs w:val="21"/>
        </w:rPr>
        <w:t xml:space="preserve"> ani nárůstu úrokových sazeb bychom se nejspíše dočkat neměli</w:t>
      </w:r>
      <w:r w:rsidRPr="005C7059">
        <w:rPr>
          <w:rStyle w:val="Siln"/>
          <w:rFonts w:ascii="Arial" w:hAnsi="Arial" w:cs="Arial"/>
          <w:b w:val="0"/>
          <w:bCs w:val="0"/>
          <w:color w:val="000000"/>
          <w:sz w:val="21"/>
          <w:szCs w:val="21"/>
        </w:rPr>
        <w:t>,“</w:t>
      </w:r>
      <w:r>
        <w:rPr>
          <w:rStyle w:val="Siln"/>
          <w:rFonts w:ascii="Arial" w:hAnsi="Arial" w:cs="Arial"/>
          <w:b w:val="0"/>
          <w:bCs w:val="0"/>
          <w:color w:val="000000"/>
          <w:sz w:val="21"/>
          <w:szCs w:val="21"/>
        </w:rPr>
        <w:t xml:space="preserve"> komentuje aktuální situaci na hypotečním trhu </w:t>
      </w:r>
      <w:r w:rsidRPr="00182A92">
        <w:rPr>
          <w:rFonts w:ascii="Arial" w:hAnsi="Arial" w:cs="Arial"/>
          <w:b/>
          <w:color w:val="000000"/>
          <w:sz w:val="21"/>
          <w:szCs w:val="21"/>
        </w:rPr>
        <w:t>Michaela Pud</w:t>
      </w:r>
      <w:r>
        <w:rPr>
          <w:rFonts w:ascii="Arial" w:hAnsi="Arial" w:cs="Arial"/>
          <w:b/>
          <w:color w:val="000000"/>
          <w:sz w:val="21"/>
          <w:szCs w:val="21"/>
        </w:rPr>
        <w:t xml:space="preserve">ilová, analytička hypotečních </w:t>
      </w:r>
      <w:r w:rsidRPr="00182A92">
        <w:rPr>
          <w:rFonts w:ascii="Arial" w:hAnsi="Arial" w:cs="Arial"/>
          <w:b/>
          <w:color w:val="000000"/>
          <w:sz w:val="21"/>
          <w:szCs w:val="21"/>
        </w:rPr>
        <w:t xml:space="preserve">a spotřebitelských úvěrů ze společnosti Broker </w:t>
      </w:r>
      <w:proofErr w:type="spellStart"/>
      <w:r w:rsidRPr="00182A92">
        <w:rPr>
          <w:rFonts w:ascii="Arial" w:hAnsi="Arial" w:cs="Arial"/>
          <w:b/>
          <w:color w:val="000000"/>
          <w:sz w:val="21"/>
          <w:szCs w:val="21"/>
        </w:rPr>
        <w:t>Consulting</w:t>
      </w:r>
      <w:proofErr w:type="spellEnd"/>
      <w:r>
        <w:rPr>
          <w:rFonts w:ascii="Arial" w:hAnsi="Arial" w:cs="Arial"/>
          <w:b/>
          <w:color w:val="000000"/>
          <w:sz w:val="21"/>
          <w:szCs w:val="21"/>
        </w:rPr>
        <w:t>.</w:t>
      </w:r>
      <w:r w:rsidR="00F00A6E"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 w:rsidR="00F00A6E">
        <w:rPr>
          <w:rFonts w:ascii="Arial" w:hAnsi="Arial" w:cs="Arial"/>
          <w:color w:val="000000"/>
          <w:sz w:val="21"/>
          <w:szCs w:val="21"/>
        </w:rPr>
        <w:t>V predikci odborníků hraje ale stále důležitou roli také jednání a případné další kroky České národní banky, která je hlavním garantem úrokových sazeb v tuzemsku.</w:t>
      </w:r>
    </w:p>
    <w:p w14:paraId="4E12CAB2" w14:textId="77777777" w:rsidR="004565C7" w:rsidRPr="00F00A6E" w:rsidRDefault="004565C7" w:rsidP="005C7059">
      <w:pPr>
        <w:jc w:val="both"/>
        <w:rPr>
          <w:rStyle w:val="Siln"/>
          <w:rFonts w:ascii="Arial" w:hAnsi="Arial" w:cs="Arial"/>
          <w:b w:val="0"/>
          <w:bCs w:val="0"/>
          <w:color w:val="000000"/>
          <w:sz w:val="21"/>
          <w:szCs w:val="21"/>
        </w:rPr>
      </w:pPr>
    </w:p>
    <w:p w14:paraId="0890D171" w14:textId="65F833CF" w:rsidR="005C48C1" w:rsidRPr="005C48C1" w:rsidRDefault="005C48C1" w:rsidP="004565C7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V porovnání s prázdninovými měsíci došlo v září ke zřetelnému z</w:t>
      </w:r>
      <w:r w:rsidR="007E1111">
        <w:rPr>
          <w:rFonts w:ascii="Arial" w:hAnsi="Arial" w:cs="Arial"/>
          <w:sz w:val="21"/>
          <w:szCs w:val="21"/>
        </w:rPr>
        <w:t>pomalení tempa</w:t>
      </w:r>
      <w:r>
        <w:rPr>
          <w:rFonts w:ascii="Arial" w:hAnsi="Arial" w:cs="Arial"/>
          <w:sz w:val="21"/>
          <w:szCs w:val="21"/>
        </w:rPr>
        <w:t xml:space="preserve"> dalšího růstu úrokových sazeb hypoték. Meziměsíčně zaznamenal Broker </w:t>
      </w:r>
      <w:proofErr w:type="spellStart"/>
      <w:r>
        <w:rPr>
          <w:rFonts w:ascii="Arial" w:hAnsi="Arial" w:cs="Arial"/>
          <w:sz w:val="21"/>
          <w:szCs w:val="21"/>
        </w:rPr>
        <w:t>Consulting</w:t>
      </w:r>
      <w:proofErr w:type="spellEnd"/>
      <w:r>
        <w:rPr>
          <w:rFonts w:ascii="Arial" w:hAnsi="Arial" w:cs="Arial"/>
          <w:sz w:val="21"/>
          <w:szCs w:val="21"/>
        </w:rPr>
        <w:t xml:space="preserve"> Index hypotečních úvěrů nárůst o pouhých 0,08 procentního b</w:t>
      </w:r>
      <w:r w:rsidR="006775B7">
        <w:rPr>
          <w:rFonts w:ascii="Arial" w:hAnsi="Arial" w:cs="Arial"/>
          <w:sz w:val="21"/>
          <w:szCs w:val="21"/>
        </w:rPr>
        <w:t xml:space="preserve">odu na 5,9 procenta. Oproti předchozímu </w:t>
      </w:r>
      <w:r w:rsidR="00E4469C">
        <w:rPr>
          <w:rFonts w:ascii="Arial" w:hAnsi="Arial" w:cs="Arial"/>
          <w:sz w:val="21"/>
          <w:szCs w:val="21"/>
        </w:rPr>
        <w:t>vývoji, který u</w:t>
      </w:r>
      <w:r w:rsidR="003A291C">
        <w:rPr>
          <w:rFonts w:ascii="Arial" w:hAnsi="Arial" w:cs="Arial"/>
          <w:sz w:val="21"/>
          <w:szCs w:val="21"/>
        </w:rPr>
        <w:t xml:space="preserve"> hypoték</w:t>
      </w:r>
      <w:r w:rsidR="00E4469C">
        <w:rPr>
          <w:rFonts w:ascii="Arial" w:hAnsi="Arial" w:cs="Arial"/>
          <w:sz w:val="21"/>
          <w:szCs w:val="21"/>
        </w:rPr>
        <w:t xml:space="preserve"> znamenal</w:t>
      </w:r>
      <w:r w:rsidR="003A291C">
        <w:rPr>
          <w:rFonts w:ascii="Arial" w:hAnsi="Arial" w:cs="Arial"/>
          <w:sz w:val="21"/>
          <w:szCs w:val="21"/>
        </w:rPr>
        <w:t xml:space="preserve"> </w:t>
      </w:r>
      <w:r w:rsidR="00E4469C">
        <w:rPr>
          <w:rFonts w:ascii="Arial" w:hAnsi="Arial" w:cs="Arial"/>
          <w:sz w:val="21"/>
          <w:szCs w:val="21"/>
        </w:rPr>
        <w:t>zvyšování sazeb</w:t>
      </w:r>
      <w:r w:rsidR="00AF2633">
        <w:rPr>
          <w:rFonts w:ascii="Arial" w:hAnsi="Arial" w:cs="Arial"/>
          <w:sz w:val="21"/>
          <w:szCs w:val="21"/>
        </w:rPr>
        <w:t xml:space="preserve"> obzvláště</w:t>
      </w:r>
      <w:r w:rsidR="006775B7">
        <w:rPr>
          <w:rFonts w:ascii="Arial" w:hAnsi="Arial" w:cs="Arial"/>
          <w:sz w:val="21"/>
          <w:szCs w:val="21"/>
        </w:rPr>
        <w:t xml:space="preserve"> od jara do srpna tohoto roku, jde o téměř zane</w:t>
      </w:r>
      <w:r w:rsidR="001B58E7">
        <w:rPr>
          <w:rFonts w:ascii="Arial" w:hAnsi="Arial" w:cs="Arial"/>
          <w:sz w:val="21"/>
          <w:szCs w:val="21"/>
        </w:rPr>
        <w:t>dbatelné</w:t>
      </w:r>
      <w:r w:rsidR="00AF2633">
        <w:rPr>
          <w:rFonts w:ascii="Arial" w:hAnsi="Arial" w:cs="Arial"/>
          <w:sz w:val="21"/>
          <w:szCs w:val="21"/>
        </w:rPr>
        <w:t xml:space="preserve"> na</w:t>
      </w:r>
      <w:r w:rsidR="00E4469C">
        <w:rPr>
          <w:rFonts w:ascii="Arial" w:hAnsi="Arial" w:cs="Arial"/>
          <w:sz w:val="21"/>
          <w:szCs w:val="21"/>
        </w:rPr>
        <w:t>výšení</w:t>
      </w:r>
      <w:r w:rsidR="003A291C">
        <w:rPr>
          <w:rFonts w:ascii="Arial" w:hAnsi="Arial" w:cs="Arial"/>
          <w:sz w:val="21"/>
          <w:szCs w:val="21"/>
        </w:rPr>
        <w:t>. I z</w:t>
      </w:r>
      <w:r w:rsidR="006775B7">
        <w:rPr>
          <w:rFonts w:ascii="Arial" w:hAnsi="Arial" w:cs="Arial"/>
          <w:sz w:val="21"/>
          <w:szCs w:val="21"/>
        </w:rPr>
        <w:t xml:space="preserve"> grafu je patrné, že jde o výjimečně nízký měsíční </w:t>
      </w:r>
      <w:r w:rsidR="00AF2633">
        <w:rPr>
          <w:rFonts w:ascii="Arial" w:hAnsi="Arial" w:cs="Arial"/>
          <w:sz w:val="21"/>
          <w:szCs w:val="21"/>
        </w:rPr>
        <w:t>nárůst v posledních měsících.</w:t>
      </w:r>
    </w:p>
    <w:p w14:paraId="290C3CC4" w14:textId="77777777" w:rsidR="006775B7" w:rsidRPr="00313D42" w:rsidRDefault="006775B7" w:rsidP="004A3439">
      <w:pPr>
        <w:rPr>
          <w:rFonts w:ascii="Arial" w:hAnsi="Arial" w:cs="Arial"/>
          <w:color w:val="4F81BD" w:themeColor="accent1"/>
          <w:sz w:val="20"/>
          <w:szCs w:val="20"/>
        </w:rPr>
      </w:pPr>
    </w:p>
    <w:p w14:paraId="1A0B242A" w14:textId="055AD3E1" w:rsidR="004A3439" w:rsidRPr="00313D42" w:rsidRDefault="001620E3" w:rsidP="00313D42">
      <w:pPr>
        <w:jc w:val="both"/>
        <w:rPr>
          <w:rFonts w:ascii="Calibri" w:hAnsi="Calibri" w:cs="Calibri"/>
          <w:sz w:val="21"/>
          <w:szCs w:val="21"/>
        </w:rPr>
      </w:pPr>
      <w:r w:rsidRPr="00313D42">
        <w:rPr>
          <w:rFonts w:ascii="Arial" w:hAnsi="Arial" w:cs="Arial"/>
          <w:sz w:val="21"/>
          <w:szCs w:val="21"/>
        </w:rPr>
        <w:t>Současně mírně klesla h</w:t>
      </w:r>
      <w:r w:rsidR="004A3439" w:rsidRPr="00313D42">
        <w:rPr>
          <w:rFonts w:ascii="Arial" w:hAnsi="Arial" w:cs="Arial"/>
          <w:sz w:val="21"/>
          <w:szCs w:val="21"/>
        </w:rPr>
        <w:t xml:space="preserve">odnota </w:t>
      </w:r>
      <w:r w:rsidR="004A3439" w:rsidRPr="00D02E81">
        <w:rPr>
          <w:rFonts w:ascii="Arial" w:hAnsi="Arial" w:cs="Arial"/>
          <w:b/>
          <w:sz w:val="21"/>
          <w:szCs w:val="21"/>
        </w:rPr>
        <w:t>předstihového u</w:t>
      </w:r>
      <w:r w:rsidR="003A291C" w:rsidRPr="00D02E81">
        <w:rPr>
          <w:rFonts w:ascii="Arial" w:hAnsi="Arial" w:cs="Arial"/>
          <w:b/>
          <w:sz w:val="21"/>
          <w:szCs w:val="21"/>
        </w:rPr>
        <w:t xml:space="preserve">kazatele </w:t>
      </w:r>
      <w:r w:rsidR="003A291C" w:rsidRPr="00D02E81">
        <w:rPr>
          <w:rFonts w:ascii="Arial" w:hAnsi="Arial" w:cs="Arial"/>
          <w:sz w:val="21"/>
          <w:szCs w:val="21"/>
        </w:rPr>
        <w:t xml:space="preserve">Broker </w:t>
      </w:r>
      <w:proofErr w:type="spellStart"/>
      <w:r w:rsidR="003A291C" w:rsidRPr="00D02E81">
        <w:rPr>
          <w:rFonts w:ascii="Arial" w:hAnsi="Arial" w:cs="Arial"/>
          <w:sz w:val="21"/>
          <w:szCs w:val="21"/>
        </w:rPr>
        <w:t>Cons</w:t>
      </w:r>
      <w:r w:rsidRPr="00D02E81">
        <w:rPr>
          <w:rFonts w:ascii="Arial" w:hAnsi="Arial" w:cs="Arial"/>
          <w:sz w:val="21"/>
          <w:szCs w:val="21"/>
        </w:rPr>
        <w:t>ulting</w:t>
      </w:r>
      <w:proofErr w:type="spellEnd"/>
      <w:r w:rsidRPr="00D02E81">
        <w:rPr>
          <w:rFonts w:ascii="Arial" w:hAnsi="Arial" w:cs="Arial"/>
          <w:sz w:val="21"/>
          <w:szCs w:val="21"/>
        </w:rPr>
        <w:t xml:space="preserve"> Indexu hypotečních úvěrů</w:t>
      </w:r>
      <w:r w:rsidR="006106F0">
        <w:rPr>
          <w:rFonts w:ascii="Arial" w:hAnsi="Arial" w:cs="Arial"/>
          <w:sz w:val="21"/>
          <w:szCs w:val="21"/>
        </w:rPr>
        <w:t>, a to</w:t>
      </w:r>
      <w:r w:rsidR="00DF658B">
        <w:rPr>
          <w:rFonts w:ascii="Arial" w:hAnsi="Arial" w:cs="Arial"/>
          <w:sz w:val="21"/>
          <w:szCs w:val="21"/>
        </w:rPr>
        <w:t xml:space="preserve"> u </w:t>
      </w:r>
      <w:r w:rsidR="006106F0">
        <w:rPr>
          <w:rFonts w:ascii="Arial" w:hAnsi="Arial" w:cs="Arial"/>
          <w:sz w:val="21"/>
          <w:szCs w:val="21"/>
        </w:rPr>
        <w:t xml:space="preserve">nejvíce preferovaných </w:t>
      </w:r>
      <w:r w:rsidRPr="00313D42">
        <w:rPr>
          <w:rFonts w:ascii="Arial" w:hAnsi="Arial" w:cs="Arial"/>
          <w:sz w:val="21"/>
          <w:szCs w:val="21"/>
        </w:rPr>
        <w:t>pětiletých fixací</w:t>
      </w:r>
      <w:r w:rsidR="00DF658B">
        <w:rPr>
          <w:rFonts w:ascii="Arial" w:hAnsi="Arial" w:cs="Arial"/>
          <w:sz w:val="21"/>
          <w:szCs w:val="21"/>
        </w:rPr>
        <w:t>. P</w:t>
      </w:r>
      <w:r w:rsidR="003A291C" w:rsidRPr="00313D42">
        <w:rPr>
          <w:rFonts w:ascii="Arial" w:hAnsi="Arial" w:cs="Arial"/>
          <w:sz w:val="21"/>
          <w:szCs w:val="21"/>
        </w:rPr>
        <w:t>oskytovaná výše úroku</w:t>
      </w:r>
      <w:r w:rsidR="00DF658B">
        <w:rPr>
          <w:rFonts w:ascii="Arial" w:hAnsi="Arial" w:cs="Arial"/>
          <w:sz w:val="21"/>
          <w:szCs w:val="21"/>
        </w:rPr>
        <w:t xml:space="preserve"> se bude</w:t>
      </w:r>
      <w:r w:rsidR="006106F0">
        <w:rPr>
          <w:rFonts w:ascii="Arial" w:hAnsi="Arial" w:cs="Arial"/>
          <w:sz w:val="21"/>
          <w:szCs w:val="21"/>
        </w:rPr>
        <w:t xml:space="preserve"> podle jeho výpočtu </w:t>
      </w:r>
      <w:r w:rsidR="003A291C" w:rsidRPr="00313D42">
        <w:rPr>
          <w:rFonts w:ascii="Arial" w:hAnsi="Arial" w:cs="Arial"/>
          <w:sz w:val="21"/>
          <w:szCs w:val="21"/>
        </w:rPr>
        <w:t xml:space="preserve">pohybovat </w:t>
      </w:r>
      <w:r w:rsidR="00D02E81">
        <w:rPr>
          <w:rFonts w:ascii="Arial" w:hAnsi="Arial" w:cs="Arial"/>
          <w:sz w:val="21"/>
          <w:szCs w:val="21"/>
        </w:rPr>
        <w:t xml:space="preserve">během října </w:t>
      </w:r>
      <w:r w:rsidR="003A291C" w:rsidRPr="00313D42">
        <w:rPr>
          <w:rFonts w:ascii="Arial" w:hAnsi="Arial" w:cs="Arial"/>
          <w:sz w:val="21"/>
          <w:szCs w:val="21"/>
        </w:rPr>
        <w:t xml:space="preserve">v blízkosti </w:t>
      </w:r>
      <w:r w:rsidR="004A3439" w:rsidRPr="00D02E81">
        <w:rPr>
          <w:rFonts w:ascii="Arial" w:hAnsi="Arial" w:cs="Arial"/>
          <w:b/>
          <w:sz w:val="21"/>
          <w:szCs w:val="21"/>
        </w:rPr>
        <w:t>6,12</w:t>
      </w:r>
      <w:r w:rsidR="003A291C" w:rsidRPr="00313D42">
        <w:rPr>
          <w:rFonts w:ascii="Arial" w:hAnsi="Arial" w:cs="Arial"/>
          <w:sz w:val="21"/>
          <w:szCs w:val="21"/>
        </w:rPr>
        <w:t xml:space="preserve"> procenta.</w:t>
      </w:r>
      <w:r w:rsidRPr="00313D42">
        <w:rPr>
          <w:rFonts w:ascii="Arial" w:hAnsi="Arial" w:cs="Arial"/>
          <w:sz w:val="21"/>
          <w:szCs w:val="21"/>
        </w:rPr>
        <w:t xml:space="preserve"> </w:t>
      </w:r>
      <w:r w:rsidR="006106F0">
        <w:rPr>
          <w:rFonts w:ascii="Arial" w:hAnsi="Arial" w:cs="Arial"/>
          <w:sz w:val="21"/>
          <w:szCs w:val="21"/>
        </w:rPr>
        <w:t>Uvedená</w:t>
      </w:r>
      <w:r w:rsidR="00CA135D" w:rsidRPr="00313D42">
        <w:rPr>
          <w:rFonts w:ascii="Arial" w:hAnsi="Arial" w:cs="Arial"/>
          <w:sz w:val="21"/>
          <w:szCs w:val="21"/>
        </w:rPr>
        <w:t xml:space="preserve"> hodnota predikuje výši</w:t>
      </w:r>
      <w:r w:rsidR="006106F0">
        <w:rPr>
          <w:rFonts w:ascii="Arial" w:hAnsi="Arial" w:cs="Arial"/>
          <w:sz w:val="21"/>
          <w:szCs w:val="21"/>
        </w:rPr>
        <w:t xml:space="preserve"> úrokových sazeb v</w:t>
      </w:r>
      <w:r w:rsidRPr="00313D42">
        <w:rPr>
          <w:rFonts w:ascii="Arial" w:hAnsi="Arial" w:cs="Arial"/>
          <w:sz w:val="21"/>
          <w:szCs w:val="21"/>
        </w:rPr>
        <w:t xml:space="preserve"> měsíčním </w:t>
      </w:r>
      <w:r w:rsidR="006106F0">
        <w:rPr>
          <w:rFonts w:ascii="Arial" w:hAnsi="Arial" w:cs="Arial"/>
          <w:sz w:val="21"/>
          <w:szCs w:val="21"/>
        </w:rPr>
        <w:t>předstihu</w:t>
      </w:r>
      <w:r w:rsidR="00D35FF4">
        <w:rPr>
          <w:rFonts w:ascii="Arial" w:hAnsi="Arial" w:cs="Arial"/>
          <w:sz w:val="21"/>
          <w:szCs w:val="21"/>
        </w:rPr>
        <w:t xml:space="preserve"> a má za cíl</w:t>
      </w:r>
      <w:r w:rsidR="009A4D99">
        <w:rPr>
          <w:rFonts w:ascii="Arial" w:hAnsi="Arial" w:cs="Arial"/>
          <w:sz w:val="21"/>
          <w:szCs w:val="21"/>
        </w:rPr>
        <w:t xml:space="preserve"> </w:t>
      </w:r>
      <w:r w:rsidRPr="00313D42">
        <w:rPr>
          <w:rFonts w:ascii="Arial" w:hAnsi="Arial" w:cs="Arial"/>
          <w:sz w:val="21"/>
          <w:szCs w:val="21"/>
        </w:rPr>
        <w:t>reagov</w:t>
      </w:r>
      <w:r w:rsidR="00CA135D" w:rsidRPr="00313D42">
        <w:rPr>
          <w:rFonts w:ascii="Arial" w:hAnsi="Arial" w:cs="Arial"/>
          <w:sz w:val="21"/>
          <w:szCs w:val="21"/>
        </w:rPr>
        <w:t xml:space="preserve">at na proměnlivou situaci na hypotečním trhu. </w:t>
      </w:r>
    </w:p>
    <w:p w14:paraId="23939B93" w14:textId="77777777" w:rsidR="00C779DC" w:rsidRPr="00C779DC" w:rsidRDefault="00C779DC" w:rsidP="00C779DC">
      <w:pPr>
        <w:jc w:val="both"/>
        <w:rPr>
          <w:rStyle w:val="Siln"/>
          <w:rFonts w:ascii="Arial" w:hAnsi="Arial" w:cs="Arial"/>
          <w:b w:val="0"/>
          <w:bCs w:val="0"/>
          <w:color w:val="000000"/>
          <w:sz w:val="21"/>
          <w:szCs w:val="21"/>
        </w:rPr>
      </w:pPr>
    </w:p>
    <w:p w14:paraId="128997AD" w14:textId="6E664E42" w:rsidR="0085594F" w:rsidRPr="0085594F" w:rsidRDefault="00C779DC" w:rsidP="0085594F">
      <w:pPr>
        <w:jc w:val="both"/>
        <w:rPr>
          <w:rStyle w:val="Siln"/>
          <w:rFonts w:ascii="Arial" w:hAnsi="Arial" w:cs="Arial"/>
          <w:b w:val="0"/>
          <w:bCs w:val="0"/>
          <w:color w:val="000000"/>
          <w:sz w:val="21"/>
          <w:szCs w:val="21"/>
        </w:rPr>
      </w:pPr>
      <w:r w:rsidRPr="0085594F">
        <w:rPr>
          <w:rStyle w:val="Siln"/>
          <w:rFonts w:ascii="Arial" w:hAnsi="Arial" w:cs="Arial"/>
          <w:b w:val="0"/>
          <w:bCs w:val="0"/>
          <w:color w:val="000000"/>
          <w:sz w:val="21"/>
          <w:szCs w:val="21"/>
        </w:rPr>
        <w:t>Vedle toho je evidentní celkové ochlazení hypotečního trhu. Některé banky mají proto</w:t>
      </w:r>
      <w:r w:rsidR="005C7059" w:rsidRPr="0085594F">
        <w:rPr>
          <w:rStyle w:val="Siln"/>
          <w:rFonts w:ascii="Arial" w:hAnsi="Arial" w:cs="Arial"/>
          <w:b w:val="0"/>
          <w:bCs w:val="0"/>
          <w:color w:val="000000"/>
          <w:sz w:val="21"/>
          <w:szCs w:val="21"/>
        </w:rPr>
        <w:t xml:space="preserve"> </w:t>
      </w:r>
      <w:r w:rsidRPr="0085594F">
        <w:rPr>
          <w:rStyle w:val="Siln"/>
          <w:rFonts w:ascii="Arial" w:hAnsi="Arial" w:cs="Arial"/>
          <w:b w:val="0"/>
          <w:bCs w:val="0"/>
          <w:color w:val="000000"/>
          <w:sz w:val="21"/>
          <w:szCs w:val="21"/>
        </w:rPr>
        <w:t>částečnou snahu upravovat</w:t>
      </w:r>
      <w:r w:rsidR="005C7059" w:rsidRPr="0085594F">
        <w:rPr>
          <w:rStyle w:val="Siln"/>
          <w:rFonts w:ascii="Arial" w:hAnsi="Arial" w:cs="Arial"/>
          <w:b w:val="0"/>
          <w:bCs w:val="0"/>
          <w:color w:val="000000"/>
          <w:sz w:val="21"/>
          <w:szCs w:val="21"/>
        </w:rPr>
        <w:t xml:space="preserve"> úrokové sazby směrem dolů</w:t>
      </w:r>
      <w:r w:rsidRPr="0085594F">
        <w:rPr>
          <w:rStyle w:val="Siln"/>
          <w:rFonts w:ascii="Arial" w:hAnsi="Arial" w:cs="Arial"/>
          <w:b w:val="0"/>
          <w:bCs w:val="0"/>
          <w:color w:val="000000"/>
          <w:sz w:val="21"/>
          <w:szCs w:val="21"/>
        </w:rPr>
        <w:t>, a to</w:t>
      </w:r>
      <w:r w:rsidR="005C7059" w:rsidRPr="0085594F">
        <w:rPr>
          <w:rStyle w:val="Siln"/>
          <w:rFonts w:ascii="Arial" w:hAnsi="Arial" w:cs="Arial"/>
          <w:b w:val="0"/>
          <w:bCs w:val="0"/>
          <w:color w:val="000000"/>
          <w:sz w:val="21"/>
          <w:szCs w:val="21"/>
        </w:rPr>
        <w:t xml:space="preserve"> v rámci akčních n</w:t>
      </w:r>
      <w:r w:rsidR="006775B7" w:rsidRPr="0085594F">
        <w:rPr>
          <w:rStyle w:val="Siln"/>
          <w:rFonts w:ascii="Arial" w:hAnsi="Arial" w:cs="Arial"/>
          <w:b w:val="0"/>
          <w:bCs w:val="0"/>
          <w:color w:val="000000"/>
          <w:sz w:val="21"/>
          <w:szCs w:val="21"/>
        </w:rPr>
        <w:t>abídek</w:t>
      </w:r>
      <w:r w:rsidR="00011DF6">
        <w:rPr>
          <w:rStyle w:val="Siln"/>
          <w:rFonts w:ascii="Arial" w:hAnsi="Arial" w:cs="Arial"/>
          <w:b w:val="0"/>
          <w:bCs w:val="0"/>
          <w:color w:val="000000"/>
          <w:sz w:val="21"/>
          <w:szCs w:val="21"/>
        </w:rPr>
        <w:t xml:space="preserve"> pro klienty</w:t>
      </w:r>
      <w:r w:rsidRPr="0085594F">
        <w:rPr>
          <w:rStyle w:val="Siln"/>
          <w:rFonts w:ascii="Arial" w:hAnsi="Arial" w:cs="Arial"/>
          <w:b w:val="0"/>
          <w:bCs w:val="0"/>
          <w:color w:val="000000"/>
          <w:sz w:val="21"/>
          <w:szCs w:val="21"/>
        </w:rPr>
        <w:t xml:space="preserve"> (například u vybraných fixací)</w:t>
      </w:r>
      <w:r w:rsidR="006775B7" w:rsidRPr="0085594F">
        <w:rPr>
          <w:rStyle w:val="Siln"/>
          <w:rFonts w:ascii="Arial" w:hAnsi="Arial" w:cs="Arial"/>
          <w:b w:val="0"/>
          <w:bCs w:val="0"/>
          <w:color w:val="000000"/>
          <w:sz w:val="21"/>
          <w:szCs w:val="21"/>
        </w:rPr>
        <w:t xml:space="preserve">. </w:t>
      </w:r>
      <w:r w:rsidR="00822194" w:rsidRPr="0085594F">
        <w:rPr>
          <w:rStyle w:val="Siln"/>
          <w:rFonts w:ascii="Arial" w:hAnsi="Arial" w:cs="Arial"/>
          <w:b w:val="0"/>
          <w:bCs w:val="0"/>
          <w:color w:val="000000"/>
          <w:sz w:val="21"/>
          <w:szCs w:val="21"/>
        </w:rPr>
        <w:t>Vzhledem ke klesající poptávce o tento typ úvěrů na bydlení mohou</w:t>
      </w:r>
      <w:r w:rsidR="0085594F" w:rsidRPr="0085594F">
        <w:rPr>
          <w:rStyle w:val="Siln"/>
          <w:rFonts w:ascii="Arial" w:hAnsi="Arial" w:cs="Arial"/>
          <w:b w:val="0"/>
          <w:bCs w:val="0"/>
          <w:color w:val="000000"/>
          <w:sz w:val="21"/>
          <w:szCs w:val="21"/>
        </w:rPr>
        <w:t xml:space="preserve"> tímto</w:t>
      </w:r>
      <w:r w:rsidR="00822194" w:rsidRPr="0085594F">
        <w:rPr>
          <w:rStyle w:val="Siln"/>
          <w:rFonts w:ascii="Arial" w:hAnsi="Arial" w:cs="Arial"/>
          <w:b w:val="0"/>
          <w:bCs w:val="0"/>
          <w:color w:val="000000"/>
          <w:sz w:val="21"/>
          <w:szCs w:val="21"/>
        </w:rPr>
        <w:t xml:space="preserve"> v rámci konkurenčního boje banky</w:t>
      </w:r>
      <w:r w:rsidR="0085594F" w:rsidRPr="0085594F">
        <w:rPr>
          <w:rStyle w:val="Siln"/>
          <w:rFonts w:ascii="Arial" w:hAnsi="Arial" w:cs="Arial"/>
          <w:b w:val="0"/>
          <w:bCs w:val="0"/>
          <w:color w:val="000000"/>
          <w:sz w:val="21"/>
          <w:szCs w:val="21"/>
        </w:rPr>
        <w:t xml:space="preserve"> rozhodnutí klienta případně </w:t>
      </w:r>
      <w:r w:rsidR="00822194" w:rsidRPr="0085594F">
        <w:rPr>
          <w:rStyle w:val="Siln"/>
          <w:rFonts w:ascii="Arial" w:hAnsi="Arial" w:cs="Arial"/>
          <w:b w:val="0"/>
          <w:bCs w:val="0"/>
          <w:color w:val="000000"/>
          <w:sz w:val="21"/>
          <w:szCs w:val="21"/>
        </w:rPr>
        <w:t xml:space="preserve">ovlivnit. </w:t>
      </w:r>
      <w:r w:rsidR="0085594F" w:rsidRPr="0085594F">
        <w:rPr>
          <w:rStyle w:val="Siln"/>
          <w:rFonts w:ascii="Arial" w:hAnsi="Arial" w:cs="Arial"/>
          <w:b w:val="0"/>
          <w:bCs w:val="0"/>
          <w:color w:val="000000"/>
          <w:sz w:val="21"/>
          <w:szCs w:val="21"/>
        </w:rPr>
        <w:t>K </w:t>
      </w:r>
      <w:r w:rsidR="00011DF6">
        <w:rPr>
          <w:rStyle w:val="Siln"/>
          <w:rFonts w:ascii="Arial" w:hAnsi="Arial" w:cs="Arial"/>
          <w:b w:val="0"/>
          <w:bCs w:val="0"/>
          <w:color w:val="000000"/>
          <w:sz w:val="21"/>
          <w:szCs w:val="21"/>
        </w:rPr>
        <w:t>tomu</w:t>
      </w:r>
      <w:r w:rsidR="0085594F" w:rsidRPr="0085594F">
        <w:rPr>
          <w:rStyle w:val="Siln"/>
          <w:rFonts w:ascii="Arial" w:hAnsi="Arial" w:cs="Arial"/>
          <w:b w:val="0"/>
          <w:bCs w:val="0"/>
          <w:color w:val="000000"/>
          <w:sz w:val="21"/>
          <w:szCs w:val="21"/>
        </w:rPr>
        <w:t xml:space="preserve"> </w:t>
      </w:r>
      <w:r w:rsidR="0085594F" w:rsidRPr="00011DF6">
        <w:rPr>
          <w:rStyle w:val="Siln"/>
          <w:rFonts w:ascii="Arial" w:hAnsi="Arial" w:cs="Arial"/>
          <w:bCs w:val="0"/>
          <w:color w:val="000000"/>
          <w:sz w:val="21"/>
          <w:szCs w:val="21"/>
        </w:rPr>
        <w:t>Michaela Pudilová</w:t>
      </w:r>
      <w:r w:rsidR="0085594F" w:rsidRPr="0085594F">
        <w:rPr>
          <w:rStyle w:val="Siln"/>
          <w:rFonts w:ascii="Arial" w:hAnsi="Arial" w:cs="Arial"/>
          <w:b w:val="0"/>
          <w:bCs w:val="0"/>
          <w:color w:val="000000"/>
          <w:sz w:val="21"/>
          <w:szCs w:val="21"/>
        </w:rPr>
        <w:t xml:space="preserve"> dodává: „</w:t>
      </w:r>
      <w:r w:rsidR="0085594F" w:rsidRPr="0085594F">
        <w:rPr>
          <w:rStyle w:val="Siln"/>
          <w:rFonts w:ascii="Arial" w:hAnsi="Arial" w:cs="Arial"/>
          <w:b w:val="0"/>
          <w:bCs w:val="0"/>
          <w:i/>
          <w:color w:val="000000"/>
          <w:sz w:val="21"/>
          <w:szCs w:val="21"/>
        </w:rPr>
        <w:t>Banky mohou klienta zvýhodnit i v případě, že bude hypotéka splácena z jejich účtu</w:t>
      </w:r>
      <w:r w:rsidR="0085594F" w:rsidRPr="0085594F">
        <w:rPr>
          <w:rStyle w:val="Siln"/>
          <w:rFonts w:ascii="Arial" w:hAnsi="Arial" w:cs="Arial"/>
          <w:b w:val="0"/>
          <w:bCs w:val="0"/>
          <w:color w:val="000000"/>
          <w:sz w:val="21"/>
          <w:szCs w:val="21"/>
        </w:rPr>
        <w:t>“.</w:t>
      </w:r>
    </w:p>
    <w:p w14:paraId="3C3C3BA6" w14:textId="6EA9B38C" w:rsidR="00C81DF4" w:rsidRDefault="00C81DF4" w:rsidP="00C81DF4">
      <w:pPr>
        <w:jc w:val="both"/>
        <w:rPr>
          <w:rStyle w:val="Siln"/>
          <w:rFonts w:ascii="Arial" w:hAnsi="Arial" w:cs="Arial"/>
          <w:b w:val="0"/>
          <w:bCs w:val="0"/>
          <w:color w:val="000000"/>
          <w:sz w:val="21"/>
          <w:szCs w:val="21"/>
        </w:rPr>
      </w:pPr>
    </w:p>
    <w:p w14:paraId="7F59EBE1" w14:textId="77777777" w:rsidR="00D01DC0" w:rsidRPr="00492941" w:rsidRDefault="00D01DC0" w:rsidP="00C81DF4">
      <w:pPr>
        <w:jc w:val="both"/>
        <w:rPr>
          <w:rStyle w:val="Zdraznn"/>
          <w:rFonts w:ascii="Arial" w:hAnsi="Arial" w:cs="Arial"/>
          <w:i w:val="0"/>
          <w:iCs w:val="0"/>
          <w:sz w:val="20"/>
          <w:szCs w:val="20"/>
          <w:lang w:eastAsia="en-US"/>
        </w:rPr>
      </w:pPr>
    </w:p>
    <w:p w14:paraId="13CE711F" w14:textId="57755CD5" w:rsidR="00A74A1E" w:rsidRPr="00492941" w:rsidRDefault="00A74A1E" w:rsidP="00F22A26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48B4F4DA" w14:textId="63EA691D" w:rsidR="00651B79" w:rsidRDefault="00651B79" w:rsidP="001B7936">
      <w:pPr>
        <w:jc w:val="both"/>
        <w:rPr>
          <w:rFonts w:ascii="Arial" w:hAnsi="Arial" w:cs="Arial"/>
          <w:sz w:val="20"/>
          <w:szCs w:val="20"/>
        </w:rPr>
      </w:pPr>
    </w:p>
    <w:p w14:paraId="32CF5D72" w14:textId="30EA5819" w:rsidR="00651B79" w:rsidRDefault="00E450AB" w:rsidP="00654F8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29428768" wp14:editId="01B67B41">
            <wp:extent cx="6635750" cy="2753360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 BC Index hypotečních úvěrů - září 202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7F495" w14:textId="77777777" w:rsidR="00C42CA5" w:rsidRPr="00651B79" w:rsidRDefault="00C42CA5" w:rsidP="001B7936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742D8034" w14:textId="3FB5068E" w:rsidR="00AB4842" w:rsidRPr="009345C9" w:rsidRDefault="00654F8C" w:rsidP="00092BB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C42CA5" w:rsidRPr="009345C9">
        <w:rPr>
          <w:rFonts w:ascii="Arial" w:hAnsi="Arial" w:cs="Arial"/>
          <w:sz w:val="20"/>
          <w:szCs w:val="20"/>
        </w:rPr>
        <w:lastRenderedPageBreak/>
        <w:t xml:space="preserve">Broker </w:t>
      </w:r>
      <w:proofErr w:type="spellStart"/>
      <w:r w:rsidR="00C42CA5" w:rsidRPr="009345C9">
        <w:rPr>
          <w:rFonts w:ascii="Arial" w:hAnsi="Arial" w:cs="Arial"/>
          <w:sz w:val="20"/>
          <w:szCs w:val="20"/>
        </w:rPr>
        <w:t>Consulting</w:t>
      </w:r>
      <w:proofErr w:type="spellEnd"/>
      <w:r w:rsidR="00C42CA5" w:rsidRPr="009345C9">
        <w:rPr>
          <w:rFonts w:ascii="Arial" w:hAnsi="Arial" w:cs="Arial"/>
          <w:sz w:val="20"/>
          <w:szCs w:val="20"/>
        </w:rPr>
        <w:t xml:space="preserve"> Index hypotečních úvěrů je analytický nástroj</w:t>
      </w:r>
      <w:r w:rsidR="00113603" w:rsidRPr="009345C9">
        <w:rPr>
          <w:rFonts w:ascii="Arial" w:hAnsi="Arial" w:cs="Arial"/>
          <w:sz w:val="20"/>
          <w:szCs w:val="20"/>
        </w:rPr>
        <w:t xml:space="preserve"> znázorňující</w:t>
      </w:r>
      <w:r w:rsidR="00C42CA5" w:rsidRPr="009345C9">
        <w:rPr>
          <w:rFonts w:ascii="Arial" w:hAnsi="Arial" w:cs="Arial"/>
          <w:sz w:val="20"/>
          <w:szCs w:val="20"/>
        </w:rPr>
        <w:t xml:space="preserve"> průměrnou úrokovou sazbu u hypotečních úvěrů, </w:t>
      </w:r>
      <w:r w:rsidR="00113603" w:rsidRPr="009345C9">
        <w:rPr>
          <w:rFonts w:ascii="Arial" w:hAnsi="Arial" w:cs="Arial"/>
          <w:sz w:val="20"/>
          <w:szCs w:val="20"/>
        </w:rPr>
        <w:t>které</w:t>
      </w:r>
      <w:r w:rsidR="00C42CA5" w:rsidRPr="009345C9">
        <w:rPr>
          <w:rFonts w:ascii="Arial" w:hAnsi="Arial" w:cs="Arial"/>
          <w:sz w:val="20"/>
          <w:szCs w:val="20"/>
        </w:rPr>
        <w:t xml:space="preserve"> zprostředkovali konzultanti Broker </w:t>
      </w:r>
      <w:proofErr w:type="spellStart"/>
      <w:r w:rsidR="00C42CA5" w:rsidRPr="009345C9">
        <w:rPr>
          <w:rFonts w:ascii="Arial" w:hAnsi="Arial" w:cs="Arial"/>
          <w:sz w:val="20"/>
          <w:szCs w:val="20"/>
        </w:rPr>
        <w:t>Consulting</w:t>
      </w:r>
      <w:proofErr w:type="spellEnd"/>
      <w:r w:rsidR="00C42CA5" w:rsidRPr="009345C9">
        <w:rPr>
          <w:rFonts w:ascii="Arial" w:hAnsi="Arial" w:cs="Arial"/>
          <w:sz w:val="20"/>
          <w:szCs w:val="20"/>
        </w:rPr>
        <w:t xml:space="preserve"> a pobočky OK POINT u kteréhokoli poskytovatele hypotečních úvěrů. Jedná se o vážený aritmetický průměr, kdy hlavní vahou je objem úvěru. Tedy čím vyšší úvěr, tím jeho sazba </w:t>
      </w:r>
      <w:r w:rsidR="00113603" w:rsidRPr="009345C9">
        <w:rPr>
          <w:rFonts w:ascii="Arial" w:hAnsi="Arial" w:cs="Arial"/>
          <w:sz w:val="20"/>
          <w:szCs w:val="20"/>
        </w:rPr>
        <w:t xml:space="preserve">vstupuje </w:t>
      </w:r>
      <w:r w:rsidR="00C42CA5" w:rsidRPr="009345C9">
        <w:rPr>
          <w:rFonts w:ascii="Arial" w:hAnsi="Arial" w:cs="Arial"/>
          <w:sz w:val="20"/>
          <w:szCs w:val="20"/>
        </w:rPr>
        <w:t xml:space="preserve">do indexu větší vahou. </w:t>
      </w:r>
      <w:r w:rsidR="00C42CA5" w:rsidRPr="009345C9">
        <w:rPr>
          <w:rFonts w:ascii="Arial" w:hAnsi="Arial" w:cs="Arial"/>
          <w:b/>
          <w:sz w:val="20"/>
          <w:szCs w:val="20"/>
        </w:rPr>
        <w:t xml:space="preserve">Výhodou metody výpočtu </w:t>
      </w:r>
      <w:r w:rsidR="00C7532A" w:rsidRPr="009345C9">
        <w:rPr>
          <w:rFonts w:ascii="Arial" w:hAnsi="Arial" w:cs="Arial"/>
          <w:b/>
          <w:sz w:val="20"/>
          <w:szCs w:val="20"/>
        </w:rPr>
        <w:t xml:space="preserve">indexu </w:t>
      </w:r>
      <w:r w:rsidR="00C42CA5" w:rsidRPr="009345C9">
        <w:rPr>
          <w:rFonts w:ascii="Arial" w:hAnsi="Arial" w:cs="Arial"/>
          <w:b/>
          <w:sz w:val="20"/>
          <w:szCs w:val="20"/>
        </w:rPr>
        <w:t>je skutečnost, že se do statistiky dostávají pouze skutečně schválené úvěry, a to bez výjimky všechny.</w:t>
      </w:r>
      <w:r w:rsidR="00C42CA5" w:rsidRPr="009345C9">
        <w:rPr>
          <w:rFonts w:ascii="Arial" w:hAnsi="Arial" w:cs="Arial"/>
          <w:sz w:val="20"/>
          <w:szCs w:val="20"/>
        </w:rPr>
        <w:t xml:space="preserve"> Nemůže tak dojít ke zkreslení informací </w:t>
      </w:r>
      <w:r w:rsidR="009A544A">
        <w:rPr>
          <w:rFonts w:ascii="Arial" w:hAnsi="Arial" w:cs="Arial"/>
          <w:sz w:val="20"/>
          <w:szCs w:val="20"/>
        </w:rPr>
        <w:br/>
      </w:r>
      <w:r w:rsidR="00C42CA5" w:rsidRPr="009345C9">
        <w:rPr>
          <w:rFonts w:ascii="Arial" w:hAnsi="Arial" w:cs="Arial"/>
          <w:sz w:val="20"/>
          <w:szCs w:val="20"/>
        </w:rPr>
        <w:t xml:space="preserve">a index není závislý na dodávkách třetích stran. </w:t>
      </w:r>
    </w:p>
    <w:p w14:paraId="06153168" w14:textId="741061EE" w:rsidR="00236A37" w:rsidRPr="009345C9" w:rsidRDefault="00236A37" w:rsidP="00B479EB"/>
    <w:p w14:paraId="464B118E" w14:textId="44DD1807" w:rsidR="00C42CA5" w:rsidRDefault="00C42CA5" w:rsidP="009345C9">
      <w:pPr>
        <w:jc w:val="both"/>
        <w:rPr>
          <w:rFonts w:ascii="Arial" w:hAnsi="Arial" w:cs="Arial"/>
          <w:sz w:val="20"/>
          <w:szCs w:val="20"/>
        </w:rPr>
      </w:pPr>
      <w:r w:rsidRPr="009345C9">
        <w:rPr>
          <w:rFonts w:ascii="Arial" w:hAnsi="Arial" w:cs="Arial"/>
          <w:sz w:val="20"/>
          <w:szCs w:val="20"/>
        </w:rPr>
        <w:t xml:space="preserve">V principu se Broker </w:t>
      </w:r>
      <w:proofErr w:type="spellStart"/>
      <w:r w:rsidRPr="009345C9">
        <w:rPr>
          <w:rFonts w:ascii="Arial" w:hAnsi="Arial" w:cs="Arial"/>
          <w:sz w:val="20"/>
          <w:szCs w:val="20"/>
        </w:rPr>
        <w:t>Consulting</w:t>
      </w:r>
      <w:proofErr w:type="spellEnd"/>
      <w:r w:rsidRPr="009345C9">
        <w:rPr>
          <w:rFonts w:ascii="Arial" w:hAnsi="Arial" w:cs="Arial"/>
          <w:sz w:val="20"/>
          <w:szCs w:val="20"/>
        </w:rPr>
        <w:t xml:space="preserve"> Index hypotečních úvěrů počítá ze sazeb, které jsou v danou chvíli pro daného klienta nejnižší na trhu</w:t>
      </w:r>
      <w:r w:rsidR="00FA2D1E" w:rsidRPr="009345C9">
        <w:rPr>
          <w:rFonts w:ascii="Arial" w:hAnsi="Arial" w:cs="Arial"/>
          <w:sz w:val="20"/>
          <w:szCs w:val="20"/>
        </w:rPr>
        <w:t>,</w:t>
      </w:r>
      <w:r w:rsidRPr="009345C9">
        <w:rPr>
          <w:rFonts w:ascii="Arial" w:hAnsi="Arial" w:cs="Arial"/>
          <w:sz w:val="20"/>
          <w:szCs w:val="20"/>
        </w:rPr>
        <w:t xml:space="preserve"> </w:t>
      </w:r>
      <w:r w:rsidR="00FA2D1E" w:rsidRPr="009345C9">
        <w:rPr>
          <w:rFonts w:ascii="Arial" w:hAnsi="Arial" w:cs="Arial"/>
          <w:sz w:val="20"/>
          <w:szCs w:val="20"/>
        </w:rPr>
        <w:t>a</w:t>
      </w:r>
      <w:r w:rsidRPr="009345C9">
        <w:rPr>
          <w:rFonts w:ascii="Arial" w:hAnsi="Arial" w:cs="Arial"/>
          <w:sz w:val="20"/>
          <w:szCs w:val="20"/>
        </w:rPr>
        <w:t xml:space="preserve">nebo se nejnižší hranici přibližují, neboť klient si vybírá z mnoha možností, které mu trh v danou chvíli nabízí. A většinou si vybírá právě nejnižší sazbu úvěru, který i v jiných parametrech splňuje jejich podmínky. Broker </w:t>
      </w:r>
      <w:proofErr w:type="spellStart"/>
      <w:r w:rsidRPr="009345C9">
        <w:rPr>
          <w:rFonts w:ascii="Arial" w:hAnsi="Arial" w:cs="Arial"/>
          <w:sz w:val="20"/>
          <w:szCs w:val="20"/>
        </w:rPr>
        <w:t>Consulting</w:t>
      </w:r>
      <w:proofErr w:type="spellEnd"/>
      <w:r w:rsidRPr="009345C9">
        <w:rPr>
          <w:rFonts w:ascii="Arial" w:hAnsi="Arial" w:cs="Arial"/>
          <w:sz w:val="20"/>
          <w:szCs w:val="20"/>
        </w:rPr>
        <w:t xml:space="preserve"> ročně zprostředkuje úvěry v objemu přesahujícím 13 miliard korun. </w:t>
      </w:r>
    </w:p>
    <w:p w14:paraId="70EFA666" w14:textId="34CF7970" w:rsidR="002E6DB6" w:rsidRDefault="002E6DB6" w:rsidP="009345C9">
      <w:pPr>
        <w:jc w:val="both"/>
        <w:rPr>
          <w:rFonts w:ascii="Arial" w:hAnsi="Arial" w:cs="Arial"/>
          <w:sz w:val="20"/>
          <w:szCs w:val="20"/>
        </w:rPr>
      </w:pPr>
    </w:p>
    <w:p w14:paraId="6B1DF12D" w14:textId="18A0CCB4" w:rsidR="009345C9" w:rsidRPr="009345C9" w:rsidRDefault="002E6DB6" w:rsidP="009345C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Předstihový ukazatel Broker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Consulting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Indexu hypotečních úvěrů a jeho výpočet rea</w:t>
      </w:r>
      <w:r w:rsidR="008C75D3">
        <w:rPr>
          <w:rFonts w:ascii="Arial" w:hAnsi="Arial" w:cs="Arial"/>
          <w:color w:val="000000"/>
          <w:sz w:val="20"/>
          <w:szCs w:val="20"/>
        </w:rPr>
        <w:t>guje na potřebu aktuálního výhledu výše sazeb, ve kterém se budou v daném měsíci poskytovat hypoteční úvěry zprostředkovávané od většiny bankovních institucí v tuzemsku. Ve výpočtu jde o aritmetick</w:t>
      </w:r>
      <w:r w:rsidR="00057F54">
        <w:rPr>
          <w:rFonts w:ascii="Arial" w:hAnsi="Arial" w:cs="Arial"/>
          <w:color w:val="000000"/>
          <w:sz w:val="20"/>
          <w:szCs w:val="20"/>
        </w:rPr>
        <w:t>ý průměr nabízených úrokových sazeb</w:t>
      </w:r>
      <w:r w:rsidR="00807AD4">
        <w:rPr>
          <w:rFonts w:ascii="Arial" w:hAnsi="Arial" w:cs="Arial"/>
          <w:color w:val="000000"/>
          <w:sz w:val="20"/>
          <w:szCs w:val="20"/>
        </w:rPr>
        <w:t xml:space="preserve"> v konkrétním </w:t>
      </w:r>
      <w:r w:rsidR="008C75D3">
        <w:rPr>
          <w:rFonts w:ascii="Arial" w:hAnsi="Arial" w:cs="Arial"/>
          <w:color w:val="000000"/>
          <w:sz w:val="20"/>
          <w:szCs w:val="20"/>
        </w:rPr>
        <w:t xml:space="preserve">měsíci, ve kterém se zveřejňují hodnoty Broker </w:t>
      </w:r>
      <w:proofErr w:type="spellStart"/>
      <w:r w:rsidR="008C75D3">
        <w:rPr>
          <w:rFonts w:ascii="Arial" w:hAnsi="Arial" w:cs="Arial"/>
          <w:color w:val="000000"/>
          <w:sz w:val="20"/>
          <w:szCs w:val="20"/>
        </w:rPr>
        <w:t>Consulting</w:t>
      </w:r>
      <w:proofErr w:type="spellEnd"/>
      <w:r w:rsidR="008C75D3">
        <w:rPr>
          <w:rFonts w:ascii="Arial" w:hAnsi="Arial" w:cs="Arial"/>
          <w:color w:val="000000"/>
          <w:sz w:val="20"/>
          <w:szCs w:val="20"/>
        </w:rPr>
        <w:t xml:space="preserve"> Indexu hypotečních úvěrů.</w:t>
      </w:r>
      <w:r w:rsidR="00CC3D3D">
        <w:rPr>
          <w:rFonts w:ascii="Arial" w:hAnsi="Arial" w:cs="Arial"/>
          <w:color w:val="000000"/>
          <w:sz w:val="20"/>
          <w:szCs w:val="20"/>
        </w:rPr>
        <w:t xml:space="preserve"> Vzhledem ke statisti</w:t>
      </w:r>
      <w:r w:rsidR="004919CC">
        <w:rPr>
          <w:rFonts w:ascii="Arial" w:hAnsi="Arial" w:cs="Arial"/>
          <w:color w:val="000000"/>
          <w:sz w:val="20"/>
          <w:szCs w:val="20"/>
        </w:rPr>
        <w:t>ce preferovaných fixací byla při výpoč</w:t>
      </w:r>
      <w:r w:rsidR="00CC3D3D">
        <w:rPr>
          <w:rFonts w:ascii="Arial" w:hAnsi="Arial" w:cs="Arial"/>
          <w:color w:val="000000"/>
          <w:sz w:val="20"/>
          <w:szCs w:val="20"/>
        </w:rPr>
        <w:t>t</w:t>
      </w:r>
      <w:r w:rsidR="004919CC">
        <w:rPr>
          <w:rFonts w:ascii="Arial" w:hAnsi="Arial" w:cs="Arial"/>
          <w:color w:val="000000"/>
          <w:sz w:val="20"/>
          <w:szCs w:val="20"/>
        </w:rPr>
        <w:t>u zohledněna</w:t>
      </w:r>
      <w:r w:rsidR="00CC3D3D">
        <w:rPr>
          <w:rFonts w:ascii="Arial" w:hAnsi="Arial" w:cs="Arial"/>
          <w:color w:val="000000"/>
          <w:sz w:val="20"/>
          <w:szCs w:val="20"/>
        </w:rPr>
        <w:t xml:space="preserve"> pětiletá fixace úrokových sazeb.</w:t>
      </w:r>
    </w:p>
    <w:p w14:paraId="691D3A33" w14:textId="77777777" w:rsidR="00C42CA5" w:rsidRPr="00C42CA5" w:rsidRDefault="00C42CA5" w:rsidP="00C42CA5">
      <w:pPr>
        <w:pBdr>
          <w:bottom w:val="single" w:sz="4" w:space="1" w:color="auto"/>
        </w:pBdr>
        <w:jc w:val="both"/>
        <w:rPr>
          <w:rFonts w:ascii="Arial" w:hAnsi="Arial" w:cs="Arial"/>
          <w:sz w:val="20"/>
          <w:szCs w:val="20"/>
        </w:rPr>
      </w:pPr>
    </w:p>
    <w:p w14:paraId="4A4E372E" w14:textId="214E9ADC" w:rsidR="00CA1806" w:rsidRDefault="00CA1806" w:rsidP="006529D7">
      <w:pPr>
        <w:rPr>
          <w:rFonts w:ascii="Arial" w:hAnsi="Arial" w:cs="Arial"/>
          <w:b/>
          <w:sz w:val="18"/>
          <w:szCs w:val="16"/>
        </w:rPr>
      </w:pPr>
    </w:p>
    <w:p w14:paraId="5FCF3C96" w14:textId="040F53B7" w:rsidR="00B01F39" w:rsidRPr="006529D7" w:rsidRDefault="00C947C0" w:rsidP="006529D7">
      <w:pPr>
        <w:rPr>
          <w:rFonts w:ascii="Arial" w:hAnsi="Arial" w:cs="Arial"/>
          <w:sz w:val="18"/>
          <w:szCs w:val="16"/>
        </w:rPr>
      </w:pPr>
      <w:r>
        <w:rPr>
          <w:rFonts w:ascii="Arial" w:hAnsi="Arial" w:cs="Arial"/>
          <w:b/>
          <w:sz w:val="18"/>
          <w:szCs w:val="16"/>
        </w:rPr>
        <w:t>P</w:t>
      </w:r>
      <w:r w:rsidR="00B37F41" w:rsidRPr="00B244B9">
        <w:rPr>
          <w:rFonts w:ascii="Arial" w:hAnsi="Arial" w:cs="Arial"/>
          <w:b/>
          <w:sz w:val="18"/>
          <w:szCs w:val="16"/>
        </w:rPr>
        <w:t>oznámka pro média:</w:t>
      </w:r>
      <w:r w:rsidR="00B37F41" w:rsidRPr="00B244B9">
        <w:rPr>
          <w:rFonts w:ascii="Arial" w:hAnsi="Arial" w:cs="Arial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Broker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proofErr w:type="spellStart"/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proofErr w:type="spellEnd"/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Indexy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je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možné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volně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spacing w:val="2"/>
          <w:w w:val="105"/>
          <w:sz w:val="18"/>
          <w:szCs w:val="16"/>
        </w:rPr>
        <w:t>publikovat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pouze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s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označením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„Broker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proofErr w:type="spellStart"/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proofErr w:type="spellEnd"/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Index“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spacing w:val="-3"/>
          <w:w w:val="105"/>
          <w:sz w:val="18"/>
          <w:szCs w:val="16"/>
        </w:rPr>
        <w:t>(</w:t>
      </w:r>
      <w:r w:rsidR="00B37F41" w:rsidRPr="00B244B9">
        <w:rPr>
          <w:rFonts w:ascii="Arial" w:hAnsi="Arial" w:cs="Arial"/>
          <w:i/>
          <w:color w:val="1D1D1B"/>
          <w:spacing w:val="-3"/>
          <w:w w:val="105"/>
          <w:sz w:val="18"/>
          <w:szCs w:val="16"/>
        </w:rPr>
        <w:t>např.</w:t>
      </w:r>
      <w:r w:rsidR="00B37F41"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Broker</w:t>
      </w:r>
      <w:r w:rsidR="00B37F41" w:rsidRPr="00B244B9">
        <w:rPr>
          <w:rFonts w:ascii="Arial" w:hAnsi="Arial" w:cs="Arial"/>
          <w:i/>
          <w:color w:val="1D1D1B"/>
          <w:spacing w:val="-9"/>
          <w:w w:val="105"/>
          <w:sz w:val="18"/>
          <w:szCs w:val="16"/>
        </w:rPr>
        <w:t xml:space="preserve"> </w:t>
      </w:r>
      <w:proofErr w:type="spellStart"/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Consulting</w:t>
      </w:r>
      <w:proofErr w:type="spellEnd"/>
      <w:r w:rsidR="00B37F41"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index</w:t>
      </w:r>
      <w:r w:rsidR="00B37F41" w:rsidRPr="0013512D">
        <w:rPr>
          <w:rFonts w:ascii="Arial" w:hAnsi="Arial" w:cs="Arial"/>
          <w:i/>
          <w:color w:val="1D1D1B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hypot</w:t>
      </w:r>
      <w:r w:rsidR="00830CE8">
        <w:rPr>
          <w:rFonts w:ascii="Arial" w:hAnsi="Arial" w:cs="Arial"/>
          <w:i/>
          <w:color w:val="1D1D1B"/>
          <w:w w:val="105"/>
          <w:sz w:val="18"/>
          <w:szCs w:val="16"/>
        </w:rPr>
        <w:t>e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ční</w:t>
      </w:r>
      <w:r w:rsidR="00B37F41">
        <w:rPr>
          <w:rFonts w:ascii="Arial" w:hAnsi="Arial" w:cs="Arial"/>
          <w:i/>
          <w:color w:val="1D1D1B"/>
          <w:w w:val="105"/>
          <w:sz w:val="18"/>
          <w:szCs w:val="16"/>
        </w:rPr>
        <w:t>ch úvěrů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). Více informací najdete též na webu </w:t>
      </w:r>
      <w:r w:rsidR="00B37F41" w:rsidRPr="0013512D">
        <w:rPr>
          <w:rStyle w:val="Hypertextovodkaz"/>
          <w:rFonts w:ascii="Arial" w:hAnsi="Arial" w:cs="Arial"/>
          <w:i/>
          <w:w w:val="105"/>
          <w:sz w:val="18"/>
          <w:szCs w:val="16"/>
        </w:rPr>
        <w:t>https://www.bcas.cz/onas/pro-media/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. </w:t>
      </w:r>
    </w:p>
    <w:p w14:paraId="58F041AC" w14:textId="57BD355F" w:rsidR="00692610" w:rsidRDefault="00692610" w:rsidP="00B27178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DE80F01" w14:textId="77777777" w:rsidR="00CA1806" w:rsidRPr="00D60D98" w:rsidRDefault="00CA1806" w:rsidP="00B27178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1D2EC938" w:rsidR="00D60D98" w:rsidRPr="0073009C" w:rsidRDefault="00D60D98" w:rsidP="00D60D98">
      <w:pPr>
        <w:rPr>
          <w:rFonts w:ascii="Arial" w:eastAsia="Calibri" w:hAnsi="Arial" w:cs="Arial"/>
          <w:b/>
          <w:bCs/>
          <w:noProof/>
          <w:sz w:val="18"/>
          <w:szCs w:val="18"/>
        </w:rPr>
      </w:pPr>
      <w:r w:rsidRPr="0073009C">
        <w:rPr>
          <w:rFonts w:ascii="Arial" w:eastAsia="Calibri" w:hAnsi="Arial" w:cs="Arial"/>
          <w:b/>
          <w:bCs/>
          <w:noProof/>
          <w:sz w:val="18"/>
          <w:szCs w:val="18"/>
        </w:rPr>
        <w:t>Kontakt pro média:</w:t>
      </w:r>
    </w:p>
    <w:p w14:paraId="090F1F41" w14:textId="2F88DEFA" w:rsidR="00B37F41" w:rsidRPr="0073009C" w:rsidRDefault="00B37F41" w:rsidP="00D60D98">
      <w:pPr>
        <w:rPr>
          <w:rFonts w:ascii="Arial" w:eastAsia="Calibri" w:hAnsi="Arial" w:cs="Arial"/>
          <w:bCs/>
          <w:noProof/>
          <w:sz w:val="18"/>
          <w:szCs w:val="18"/>
        </w:rPr>
      </w:pPr>
    </w:p>
    <w:p w14:paraId="459105C8" w14:textId="3415D3B2" w:rsidR="00692610" w:rsidRPr="0073009C" w:rsidRDefault="003529EF" w:rsidP="007748DA">
      <w:pPr>
        <w:spacing w:after="60"/>
        <w:rPr>
          <w:rFonts w:ascii="Arial" w:eastAsia="Calibri" w:hAnsi="Arial" w:cs="Arial"/>
          <w:bCs/>
          <w:noProof/>
          <w:sz w:val="18"/>
          <w:szCs w:val="18"/>
          <w:lang w:bidi="ar-SA"/>
        </w:rPr>
      </w:pPr>
      <w:r>
        <w:rPr>
          <w:rFonts w:ascii="Arial" w:eastAsia="Calibri" w:hAnsi="Arial" w:cs="Arial"/>
          <w:bCs/>
          <w:noProof/>
          <w:sz w:val="18"/>
          <w:szCs w:val="18"/>
        </w:rPr>
        <w:t>Michaela Sahulová</w:t>
      </w:r>
    </w:p>
    <w:p w14:paraId="3D378A07" w14:textId="7DB23AAC" w:rsidR="00692610" w:rsidRDefault="00692610" w:rsidP="00692610">
      <w:pPr>
        <w:pStyle w:val="Bezmezer"/>
        <w:rPr>
          <w:rFonts w:ascii="Arial" w:eastAsia="Calibri" w:hAnsi="Arial" w:cs="Arial"/>
          <w:noProof/>
          <w:sz w:val="18"/>
          <w:szCs w:val="18"/>
        </w:rPr>
      </w:pPr>
      <w:r w:rsidRPr="0073009C">
        <w:rPr>
          <w:rFonts w:ascii="Arial" w:eastAsia="Calibri" w:hAnsi="Arial" w:cs="Arial"/>
          <w:noProof/>
          <w:sz w:val="18"/>
          <w:szCs w:val="18"/>
        </w:rPr>
        <w:t>Specialistka PR a externí komunikace</w:t>
      </w:r>
    </w:p>
    <w:p w14:paraId="5B3D6899" w14:textId="334A3B70" w:rsidR="004928CB" w:rsidRDefault="004928CB" w:rsidP="004928CB">
      <w:pPr>
        <w:rPr>
          <w:rFonts w:ascii="Arial" w:eastAsiaTheme="minorEastAsia" w:hAnsi="Arial" w:cs="Arial"/>
          <w:noProof/>
          <w:color w:val="000000" w:themeColor="text1"/>
          <w:sz w:val="18"/>
          <w:szCs w:val="18"/>
          <w:lang w:bidi="ar-SA"/>
        </w:rPr>
      </w:pPr>
      <w:r>
        <w:rPr>
          <w:rFonts w:ascii="Arial" w:eastAsiaTheme="minorEastAsia" w:hAnsi="Arial" w:cs="Arial"/>
          <w:noProof/>
          <w:color w:val="000000" w:themeColor="text1"/>
          <w:sz w:val="18"/>
          <w:szCs w:val="18"/>
        </w:rPr>
        <w:t>tel.: +420 731 538 373</w:t>
      </w:r>
    </w:p>
    <w:p w14:paraId="16B705EA" w14:textId="41D7186C" w:rsidR="00692610" w:rsidRPr="0073009C" w:rsidRDefault="00692610" w:rsidP="00692610">
      <w:pPr>
        <w:rPr>
          <w:rFonts w:ascii="Arial" w:eastAsia="Calibri" w:hAnsi="Arial" w:cs="Arial"/>
          <w:noProof/>
          <w:sz w:val="18"/>
          <w:szCs w:val="18"/>
        </w:rPr>
      </w:pPr>
      <w:r w:rsidRPr="0073009C">
        <w:rPr>
          <w:rFonts w:ascii="Arial" w:eastAsia="Calibri" w:hAnsi="Arial" w:cs="Arial"/>
          <w:noProof/>
          <w:sz w:val="18"/>
          <w:szCs w:val="18"/>
        </w:rPr>
        <w:t xml:space="preserve">E-mail: </w:t>
      </w:r>
      <w:hyperlink r:id="rId26" w:history="1">
        <w:r w:rsidR="003529EF" w:rsidRPr="00862049">
          <w:rPr>
            <w:rStyle w:val="Hypertextovodkaz"/>
            <w:rFonts w:ascii="Arial" w:eastAsia="Calibri" w:hAnsi="Arial" w:cs="Arial"/>
            <w:noProof/>
            <w:sz w:val="18"/>
            <w:szCs w:val="18"/>
          </w:rPr>
          <w:t>michaela.sahulova@bcas.cz</w:t>
        </w:r>
      </w:hyperlink>
      <w:r w:rsidRPr="0073009C">
        <w:rPr>
          <w:rFonts w:ascii="Arial" w:eastAsia="Calibri" w:hAnsi="Arial" w:cs="Arial"/>
          <w:noProof/>
          <w:sz w:val="18"/>
          <w:szCs w:val="18"/>
        </w:rPr>
        <w:t xml:space="preserve"> </w:t>
      </w:r>
    </w:p>
    <w:p w14:paraId="066A8D8C" w14:textId="77777777" w:rsidR="00692610" w:rsidRPr="0073009C" w:rsidRDefault="00692610" w:rsidP="00692610">
      <w:pPr>
        <w:rPr>
          <w:rFonts w:ascii="Arial" w:eastAsia="Calibri" w:hAnsi="Arial" w:cs="Arial"/>
          <w:bCs/>
          <w:noProof/>
          <w:sz w:val="18"/>
          <w:szCs w:val="18"/>
        </w:rPr>
      </w:pPr>
    </w:p>
    <w:p w14:paraId="025F1B2F" w14:textId="70837378" w:rsidR="00D60D98" w:rsidRPr="002B2A94" w:rsidRDefault="00D60D98" w:rsidP="002B2A94">
      <w:pPr>
        <w:rPr>
          <w:rFonts w:ascii="Arial" w:eastAsia="Calibri" w:hAnsi="Arial" w:cs="Arial"/>
          <w:b/>
          <w:bCs/>
          <w:noProof/>
          <w:sz w:val="18"/>
          <w:szCs w:val="18"/>
          <w:lang w:bidi="ar-SA"/>
        </w:rPr>
      </w:pPr>
    </w:p>
    <w:sectPr w:rsidR="00D60D98" w:rsidRPr="002B2A94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FA7E8A" w14:textId="77777777" w:rsidR="00296B24" w:rsidRDefault="00296B24">
      <w:r>
        <w:separator/>
      </w:r>
    </w:p>
  </w:endnote>
  <w:endnote w:type="continuationSeparator" w:id="0">
    <w:p w14:paraId="79F04DC4" w14:textId="77777777" w:rsidR="00296B24" w:rsidRDefault="0029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296B24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380E0A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296B24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380E0A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296B24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380E0A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674D38" w14:textId="77777777" w:rsidR="00296B24" w:rsidRDefault="00296B24">
      <w:r>
        <w:separator/>
      </w:r>
    </w:p>
  </w:footnote>
  <w:footnote w:type="continuationSeparator" w:id="0">
    <w:p w14:paraId="5FC47DCF" w14:textId="77777777" w:rsidR="00296B24" w:rsidRDefault="00296B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43C085E5" w14:textId="62CDD8CE" w:rsidR="000F4B6C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HYPOTEČNÍCH ÚVĚRŮ &amp; FIXINDEX</w:t>
    </w:r>
  </w:p>
  <w:p w14:paraId="0E033147" w14:textId="77777777" w:rsidR="00D40C89" w:rsidRPr="00D40C89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3FF270D6" w14:textId="6799F236" w:rsidR="00D40C89" w:rsidRPr="00D40C89" w:rsidRDefault="009F59EE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2A1185">
      <w:rPr>
        <w:rFonts w:ascii="Arial" w:hAnsi="Arial" w:cs="Arial"/>
        <w:color w:val="E52713"/>
        <w:sz w:val="28"/>
        <w:szCs w:val="28"/>
      </w:rPr>
      <w:t>HYPOTEČNÍCH ÚVĚRŮ</w:t>
    </w:r>
    <w:r w:rsidR="00D40C89">
      <w:rPr>
        <w:rFonts w:ascii="Arial" w:hAnsi="Arial" w:cs="Arial"/>
        <w:color w:val="E52713"/>
        <w:sz w:val="28"/>
        <w:szCs w:val="28"/>
      </w:rPr>
      <w:t xml:space="preserve"> &amp; FIXINDEX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4919"/>
    <w:rsid w:val="00005B61"/>
    <w:rsid w:val="00011DF6"/>
    <w:rsid w:val="00014FB5"/>
    <w:rsid w:val="00020EC7"/>
    <w:rsid w:val="0002230E"/>
    <w:rsid w:val="000226F3"/>
    <w:rsid w:val="00026F23"/>
    <w:rsid w:val="000277AC"/>
    <w:rsid w:val="0003028F"/>
    <w:rsid w:val="00032D94"/>
    <w:rsid w:val="000374D7"/>
    <w:rsid w:val="00037DAF"/>
    <w:rsid w:val="000400E4"/>
    <w:rsid w:val="0004477D"/>
    <w:rsid w:val="00044EC5"/>
    <w:rsid w:val="00045D86"/>
    <w:rsid w:val="0005423A"/>
    <w:rsid w:val="00057F54"/>
    <w:rsid w:val="000611E3"/>
    <w:rsid w:val="000766E7"/>
    <w:rsid w:val="00081616"/>
    <w:rsid w:val="000823D3"/>
    <w:rsid w:val="00082D29"/>
    <w:rsid w:val="0008331F"/>
    <w:rsid w:val="000845CA"/>
    <w:rsid w:val="000851AC"/>
    <w:rsid w:val="000853D4"/>
    <w:rsid w:val="00092BB7"/>
    <w:rsid w:val="00096425"/>
    <w:rsid w:val="0009776B"/>
    <w:rsid w:val="000A080B"/>
    <w:rsid w:val="000B187C"/>
    <w:rsid w:val="000B6DD9"/>
    <w:rsid w:val="000C181E"/>
    <w:rsid w:val="000C2DA6"/>
    <w:rsid w:val="000C5541"/>
    <w:rsid w:val="000D14E2"/>
    <w:rsid w:val="000D2CFC"/>
    <w:rsid w:val="000D4AFB"/>
    <w:rsid w:val="000D7158"/>
    <w:rsid w:val="000E01C2"/>
    <w:rsid w:val="000E19B2"/>
    <w:rsid w:val="000E3D86"/>
    <w:rsid w:val="000E568C"/>
    <w:rsid w:val="000E5D32"/>
    <w:rsid w:val="000E6E14"/>
    <w:rsid w:val="000F4B6C"/>
    <w:rsid w:val="000F50BC"/>
    <w:rsid w:val="000F6249"/>
    <w:rsid w:val="001117DE"/>
    <w:rsid w:val="00111C28"/>
    <w:rsid w:val="00113603"/>
    <w:rsid w:val="00117AE4"/>
    <w:rsid w:val="00120113"/>
    <w:rsid w:val="001214E7"/>
    <w:rsid w:val="00122CEB"/>
    <w:rsid w:val="00125B97"/>
    <w:rsid w:val="00126BEC"/>
    <w:rsid w:val="0013044E"/>
    <w:rsid w:val="00131A69"/>
    <w:rsid w:val="00136D8D"/>
    <w:rsid w:val="00137003"/>
    <w:rsid w:val="0013717C"/>
    <w:rsid w:val="00140987"/>
    <w:rsid w:val="00145622"/>
    <w:rsid w:val="001524FB"/>
    <w:rsid w:val="00156082"/>
    <w:rsid w:val="00160686"/>
    <w:rsid w:val="00160E1C"/>
    <w:rsid w:val="00161352"/>
    <w:rsid w:val="001620E3"/>
    <w:rsid w:val="00162D8E"/>
    <w:rsid w:val="001675AF"/>
    <w:rsid w:val="0016771F"/>
    <w:rsid w:val="00174317"/>
    <w:rsid w:val="00175545"/>
    <w:rsid w:val="001767A5"/>
    <w:rsid w:val="00182A92"/>
    <w:rsid w:val="00192716"/>
    <w:rsid w:val="00194831"/>
    <w:rsid w:val="00194B5D"/>
    <w:rsid w:val="001A0A5C"/>
    <w:rsid w:val="001A1A56"/>
    <w:rsid w:val="001A2D08"/>
    <w:rsid w:val="001A54DD"/>
    <w:rsid w:val="001A5AC8"/>
    <w:rsid w:val="001A7D2F"/>
    <w:rsid w:val="001B2A07"/>
    <w:rsid w:val="001B3B31"/>
    <w:rsid w:val="001B501B"/>
    <w:rsid w:val="001B58E7"/>
    <w:rsid w:val="001B7936"/>
    <w:rsid w:val="001D015A"/>
    <w:rsid w:val="001D30C7"/>
    <w:rsid w:val="001D3DFC"/>
    <w:rsid w:val="001D45F5"/>
    <w:rsid w:val="001D5EFC"/>
    <w:rsid w:val="001E02C2"/>
    <w:rsid w:val="001E1597"/>
    <w:rsid w:val="001E4209"/>
    <w:rsid w:val="001F1D14"/>
    <w:rsid w:val="001F7194"/>
    <w:rsid w:val="001F71BA"/>
    <w:rsid w:val="002019F3"/>
    <w:rsid w:val="0020207A"/>
    <w:rsid w:val="00202F22"/>
    <w:rsid w:val="00203BD4"/>
    <w:rsid w:val="00206E92"/>
    <w:rsid w:val="00212C2E"/>
    <w:rsid w:val="0021395D"/>
    <w:rsid w:val="002141AF"/>
    <w:rsid w:val="00216B81"/>
    <w:rsid w:val="00216F2E"/>
    <w:rsid w:val="00220529"/>
    <w:rsid w:val="00223FFD"/>
    <w:rsid w:val="00224AF1"/>
    <w:rsid w:val="00224E6E"/>
    <w:rsid w:val="00225CEC"/>
    <w:rsid w:val="00225D70"/>
    <w:rsid w:val="00233BF3"/>
    <w:rsid w:val="002368F3"/>
    <w:rsid w:val="00236A37"/>
    <w:rsid w:val="00241313"/>
    <w:rsid w:val="0024212A"/>
    <w:rsid w:val="0025080B"/>
    <w:rsid w:val="0025183C"/>
    <w:rsid w:val="00251F32"/>
    <w:rsid w:val="0025264B"/>
    <w:rsid w:val="00253C9E"/>
    <w:rsid w:val="0025428A"/>
    <w:rsid w:val="002555D2"/>
    <w:rsid w:val="00257978"/>
    <w:rsid w:val="002619DC"/>
    <w:rsid w:val="00270B59"/>
    <w:rsid w:val="00270DB3"/>
    <w:rsid w:val="002717C9"/>
    <w:rsid w:val="00277D20"/>
    <w:rsid w:val="00280730"/>
    <w:rsid w:val="00281C61"/>
    <w:rsid w:val="00285767"/>
    <w:rsid w:val="002863CE"/>
    <w:rsid w:val="002961B5"/>
    <w:rsid w:val="00296B24"/>
    <w:rsid w:val="002A1185"/>
    <w:rsid w:val="002A498A"/>
    <w:rsid w:val="002B094E"/>
    <w:rsid w:val="002B1E20"/>
    <w:rsid w:val="002B2A94"/>
    <w:rsid w:val="002B3C6D"/>
    <w:rsid w:val="002B4919"/>
    <w:rsid w:val="002B6F4E"/>
    <w:rsid w:val="002C0E94"/>
    <w:rsid w:val="002C6C42"/>
    <w:rsid w:val="002C7D70"/>
    <w:rsid w:val="002D23B9"/>
    <w:rsid w:val="002D3534"/>
    <w:rsid w:val="002D49F7"/>
    <w:rsid w:val="002D64A2"/>
    <w:rsid w:val="002E0400"/>
    <w:rsid w:val="002E1A01"/>
    <w:rsid w:val="002E6173"/>
    <w:rsid w:val="002E6DB6"/>
    <w:rsid w:val="002F002B"/>
    <w:rsid w:val="002F46B0"/>
    <w:rsid w:val="002F485A"/>
    <w:rsid w:val="002F7EC2"/>
    <w:rsid w:val="003015E0"/>
    <w:rsid w:val="0030207B"/>
    <w:rsid w:val="00303778"/>
    <w:rsid w:val="00303A6E"/>
    <w:rsid w:val="0030751A"/>
    <w:rsid w:val="00307E95"/>
    <w:rsid w:val="00307FEB"/>
    <w:rsid w:val="003128F8"/>
    <w:rsid w:val="00313D42"/>
    <w:rsid w:val="00322E5E"/>
    <w:rsid w:val="003243A6"/>
    <w:rsid w:val="003247B0"/>
    <w:rsid w:val="00330918"/>
    <w:rsid w:val="0033296E"/>
    <w:rsid w:val="003337A9"/>
    <w:rsid w:val="00340E70"/>
    <w:rsid w:val="00342F85"/>
    <w:rsid w:val="00347557"/>
    <w:rsid w:val="00352435"/>
    <w:rsid w:val="003529EF"/>
    <w:rsid w:val="00355366"/>
    <w:rsid w:val="003555BB"/>
    <w:rsid w:val="003629B6"/>
    <w:rsid w:val="003640C8"/>
    <w:rsid w:val="00371225"/>
    <w:rsid w:val="003721AD"/>
    <w:rsid w:val="003761D9"/>
    <w:rsid w:val="00380608"/>
    <w:rsid w:val="00380E0A"/>
    <w:rsid w:val="00382546"/>
    <w:rsid w:val="00383DC5"/>
    <w:rsid w:val="00385EED"/>
    <w:rsid w:val="00390B58"/>
    <w:rsid w:val="00395F41"/>
    <w:rsid w:val="003967DF"/>
    <w:rsid w:val="003A291C"/>
    <w:rsid w:val="003A4D47"/>
    <w:rsid w:val="003A6435"/>
    <w:rsid w:val="003A7D32"/>
    <w:rsid w:val="003B0E4F"/>
    <w:rsid w:val="003B1966"/>
    <w:rsid w:val="003B5B25"/>
    <w:rsid w:val="003C0CBE"/>
    <w:rsid w:val="003C1344"/>
    <w:rsid w:val="003C3421"/>
    <w:rsid w:val="003C5D0A"/>
    <w:rsid w:val="003D1987"/>
    <w:rsid w:val="003D3AE8"/>
    <w:rsid w:val="003D69A7"/>
    <w:rsid w:val="003F07E8"/>
    <w:rsid w:val="003F79EC"/>
    <w:rsid w:val="00400A5A"/>
    <w:rsid w:val="004120C7"/>
    <w:rsid w:val="0042193A"/>
    <w:rsid w:val="00430ABD"/>
    <w:rsid w:val="00431631"/>
    <w:rsid w:val="00432FD5"/>
    <w:rsid w:val="00434C5D"/>
    <w:rsid w:val="00435115"/>
    <w:rsid w:val="00441028"/>
    <w:rsid w:val="00444432"/>
    <w:rsid w:val="00445D0A"/>
    <w:rsid w:val="00450DBC"/>
    <w:rsid w:val="004540ED"/>
    <w:rsid w:val="00454843"/>
    <w:rsid w:val="004564BC"/>
    <w:rsid w:val="004565C7"/>
    <w:rsid w:val="004627B9"/>
    <w:rsid w:val="00465E53"/>
    <w:rsid w:val="00466329"/>
    <w:rsid w:val="00473219"/>
    <w:rsid w:val="00477FFA"/>
    <w:rsid w:val="00481D66"/>
    <w:rsid w:val="00487B6B"/>
    <w:rsid w:val="004919CC"/>
    <w:rsid w:val="004928CB"/>
    <w:rsid w:val="00492941"/>
    <w:rsid w:val="00495AFF"/>
    <w:rsid w:val="00495E14"/>
    <w:rsid w:val="004A3439"/>
    <w:rsid w:val="004B5104"/>
    <w:rsid w:val="004B5797"/>
    <w:rsid w:val="004B6304"/>
    <w:rsid w:val="004B64B3"/>
    <w:rsid w:val="004B6AF3"/>
    <w:rsid w:val="004C0179"/>
    <w:rsid w:val="004C0CEF"/>
    <w:rsid w:val="004C3F71"/>
    <w:rsid w:val="004D3578"/>
    <w:rsid w:val="004D4D9F"/>
    <w:rsid w:val="004E67DB"/>
    <w:rsid w:val="004F1934"/>
    <w:rsid w:val="005042D1"/>
    <w:rsid w:val="00506098"/>
    <w:rsid w:val="00506161"/>
    <w:rsid w:val="0050659B"/>
    <w:rsid w:val="00512D6B"/>
    <w:rsid w:val="005153F7"/>
    <w:rsid w:val="0052216B"/>
    <w:rsid w:val="005224C1"/>
    <w:rsid w:val="0052338B"/>
    <w:rsid w:val="00523D4C"/>
    <w:rsid w:val="005275F9"/>
    <w:rsid w:val="0053153F"/>
    <w:rsid w:val="00534E75"/>
    <w:rsid w:val="00536954"/>
    <w:rsid w:val="005379BC"/>
    <w:rsid w:val="00540606"/>
    <w:rsid w:val="00541870"/>
    <w:rsid w:val="005436EC"/>
    <w:rsid w:val="00544A37"/>
    <w:rsid w:val="005455B0"/>
    <w:rsid w:val="0055263D"/>
    <w:rsid w:val="0055303C"/>
    <w:rsid w:val="00553369"/>
    <w:rsid w:val="00554574"/>
    <w:rsid w:val="0056150F"/>
    <w:rsid w:val="005678E0"/>
    <w:rsid w:val="005729F4"/>
    <w:rsid w:val="00576F58"/>
    <w:rsid w:val="005773B2"/>
    <w:rsid w:val="00577D19"/>
    <w:rsid w:val="0058062A"/>
    <w:rsid w:val="005834AE"/>
    <w:rsid w:val="0058666A"/>
    <w:rsid w:val="005875EC"/>
    <w:rsid w:val="00590434"/>
    <w:rsid w:val="00594050"/>
    <w:rsid w:val="0059432A"/>
    <w:rsid w:val="005956E9"/>
    <w:rsid w:val="005A37E5"/>
    <w:rsid w:val="005A4497"/>
    <w:rsid w:val="005A5BBA"/>
    <w:rsid w:val="005A5F08"/>
    <w:rsid w:val="005B0E8E"/>
    <w:rsid w:val="005B31D7"/>
    <w:rsid w:val="005B5427"/>
    <w:rsid w:val="005C48C1"/>
    <w:rsid w:val="005C7059"/>
    <w:rsid w:val="005D189A"/>
    <w:rsid w:val="005D6963"/>
    <w:rsid w:val="005E45D8"/>
    <w:rsid w:val="005F18D4"/>
    <w:rsid w:val="005F65A1"/>
    <w:rsid w:val="00600788"/>
    <w:rsid w:val="00600BA3"/>
    <w:rsid w:val="006106F0"/>
    <w:rsid w:val="00612DC2"/>
    <w:rsid w:val="006135FD"/>
    <w:rsid w:val="006212F9"/>
    <w:rsid w:val="0062747C"/>
    <w:rsid w:val="00633136"/>
    <w:rsid w:val="00636E70"/>
    <w:rsid w:val="0064020E"/>
    <w:rsid w:val="0064160C"/>
    <w:rsid w:val="0064209A"/>
    <w:rsid w:val="00645BA9"/>
    <w:rsid w:val="006501CB"/>
    <w:rsid w:val="00651B79"/>
    <w:rsid w:val="00652695"/>
    <w:rsid w:val="006529D7"/>
    <w:rsid w:val="00652DCE"/>
    <w:rsid w:val="006545F8"/>
    <w:rsid w:val="00654F8C"/>
    <w:rsid w:val="00656312"/>
    <w:rsid w:val="0066135D"/>
    <w:rsid w:val="00663C36"/>
    <w:rsid w:val="00667012"/>
    <w:rsid w:val="00673DDB"/>
    <w:rsid w:val="00675F3B"/>
    <w:rsid w:val="006768F0"/>
    <w:rsid w:val="00677078"/>
    <w:rsid w:val="006775B7"/>
    <w:rsid w:val="00677C07"/>
    <w:rsid w:val="0068617E"/>
    <w:rsid w:val="00686E01"/>
    <w:rsid w:val="00687107"/>
    <w:rsid w:val="00692610"/>
    <w:rsid w:val="006939E4"/>
    <w:rsid w:val="00693A07"/>
    <w:rsid w:val="00695DE8"/>
    <w:rsid w:val="00697A40"/>
    <w:rsid w:val="00697F28"/>
    <w:rsid w:val="006A0BD0"/>
    <w:rsid w:val="006A150C"/>
    <w:rsid w:val="006A2F6C"/>
    <w:rsid w:val="006A3BE2"/>
    <w:rsid w:val="006A6601"/>
    <w:rsid w:val="006B2EA9"/>
    <w:rsid w:val="006B3A13"/>
    <w:rsid w:val="006B3CB5"/>
    <w:rsid w:val="006C2696"/>
    <w:rsid w:val="006C4193"/>
    <w:rsid w:val="006C61E8"/>
    <w:rsid w:val="006D1884"/>
    <w:rsid w:val="006D65EC"/>
    <w:rsid w:val="006E26DC"/>
    <w:rsid w:val="006E52B8"/>
    <w:rsid w:val="006F32FB"/>
    <w:rsid w:val="00705D83"/>
    <w:rsid w:val="0072112F"/>
    <w:rsid w:val="007253C3"/>
    <w:rsid w:val="00730047"/>
    <w:rsid w:val="0073009C"/>
    <w:rsid w:val="007316BB"/>
    <w:rsid w:val="00731B6F"/>
    <w:rsid w:val="00731E05"/>
    <w:rsid w:val="00736FB9"/>
    <w:rsid w:val="007424FC"/>
    <w:rsid w:val="00762254"/>
    <w:rsid w:val="00767284"/>
    <w:rsid w:val="00771B91"/>
    <w:rsid w:val="007748DA"/>
    <w:rsid w:val="0077685A"/>
    <w:rsid w:val="007824F4"/>
    <w:rsid w:val="00783AB1"/>
    <w:rsid w:val="00784109"/>
    <w:rsid w:val="00785FC5"/>
    <w:rsid w:val="0078631B"/>
    <w:rsid w:val="00791A2B"/>
    <w:rsid w:val="00792EE9"/>
    <w:rsid w:val="0079572A"/>
    <w:rsid w:val="00795D79"/>
    <w:rsid w:val="0079732B"/>
    <w:rsid w:val="007A1121"/>
    <w:rsid w:val="007A1122"/>
    <w:rsid w:val="007A15A6"/>
    <w:rsid w:val="007A278E"/>
    <w:rsid w:val="007B11F2"/>
    <w:rsid w:val="007B232E"/>
    <w:rsid w:val="007B358E"/>
    <w:rsid w:val="007C6288"/>
    <w:rsid w:val="007D06A5"/>
    <w:rsid w:val="007D085C"/>
    <w:rsid w:val="007D2280"/>
    <w:rsid w:val="007D3EF7"/>
    <w:rsid w:val="007E1111"/>
    <w:rsid w:val="007E5614"/>
    <w:rsid w:val="007F0754"/>
    <w:rsid w:val="007F3198"/>
    <w:rsid w:val="007F515C"/>
    <w:rsid w:val="00800CEA"/>
    <w:rsid w:val="00807AD4"/>
    <w:rsid w:val="008104E0"/>
    <w:rsid w:val="0081387C"/>
    <w:rsid w:val="00822194"/>
    <w:rsid w:val="008269F5"/>
    <w:rsid w:val="00830105"/>
    <w:rsid w:val="0083053E"/>
    <w:rsid w:val="00830CE8"/>
    <w:rsid w:val="00831B5E"/>
    <w:rsid w:val="00831F36"/>
    <w:rsid w:val="0083338E"/>
    <w:rsid w:val="00833A44"/>
    <w:rsid w:val="0083519D"/>
    <w:rsid w:val="00844420"/>
    <w:rsid w:val="00845A34"/>
    <w:rsid w:val="00850445"/>
    <w:rsid w:val="0085594F"/>
    <w:rsid w:val="00866791"/>
    <w:rsid w:val="00874FE0"/>
    <w:rsid w:val="008769D5"/>
    <w:rsid w:val="00883131"/>
    <w:rsid w:val="00883A3E"/>
    <w:rsid w:val="00885B2F"/>
    <w:rsid w:val="008868A5"/>
    <w:rsid w:val="00890A80"/>
    <w:rsid w:val="008926E5"/>
    <w:rsid w:val="008926F3"/>
    <w:rsid w:val="00892DB3"/>
    <w:rsid w:val="008957C5"/>
    <w:rsid w:val="00896014"/>
    <w:rsid w:val="0089614B"/>
    <w:rsid w:val="00896556"/>
    <w:rsid w:val="00896FD6"/>
    <w:rsid w:val="00897BD9"/>
    <w:rsid w:val="008A04D3"/>
    <w:rsid w:val="008A0C76"/>
    <w:rsid w:val="008A663F"/>
    <w:rsid w:val="008B05F2"/>
    <w:rsid w:val="008C1795"/>
    <w:rsid w:val="008C4B0D"/>
    <w:rsid w:val="008C75D3"/>
    <w:rsid w:val="008D1E94"/>
    <w:rsid w:val="008D373A"/>
    <w:rsid w:val="008D484C"/>
    <w:rsid w:val="008E19F3"/>
    <w:rsid w:val="008E58ED"/>
    <w:rsid w:val="008F2226"/>
    <w:rsid w:val="008F4980"/>
    <w:rsid w:val="008F6707"/>
    <w:rsid w:val="008F6AAF"/>
    <w:rsid w:val="00901813"/>
    <w:rsid w:val="00903020"/>
    <w:rsid w:val="00906176"/>
    <w:rsid w:val="00906E67"/>
    <w:rsid w:val="00915ADA"/>
    <w:rsid w:val="009161BE"/>
    <w:rsid w:val="00917F21"/>
    <w:rsid w:val="009222C9"/>
    <w:rsid w:val="00926825"/>
    <w:rsid w:val="009268FC"/>
    <w:rsid w:val="00926A98"/>
    <w:rsid w:val="00932625"/>
    <w:rsid w:val="009340FD"/>
    <w:rsid w:val="00934141"/>
    <w:rsid w:val="009344C2"/>
    <w:rsid w:val="009345C9"/>
    <w:rsid w:val="0093538A"/>
    <w:rsid w:val="009434D0"/>
    <w:rsid w:val="0094705C"/>
    <w:rsid w:val="009514FE"/>
    <w:rsid w:val="00957B41"/>
    <w:rsid w:val="009644A2"/>
    <w:rsid w:val="00967162"/>
    <w:rsid w:val="00971DE7"/>
    <w:rsid w:val="00973C62"/>
    <w:rsid w:val="0097419E"/>
    <w:rsid w:val="00974A97"/>
    <w:rsid w:val="00977B41"/>
    <w:rsid w:val="00982987"/>
    <w:rsid w:val="0099489F"/>
    <w:rsid w:val="00994B64"/>
    <w:rsid w:val="00996D72"/>
    <w:rsid w:val="009A4D99"/>
    <w:rsid w:val="009A53B7"/>
    <w:rsid w:val="009A544A"/>
    <w:rsid w:val="009A69B1"/>
    <w:rsid w:val="009A6CDB"/>
    <w:rsid w:val="009B0CA9"/>
    <w:rsid w:val="009B52C2"/>
    <w:rsid w:val="009C0ECA"/>
    <w:rsid w:val="009C283B"/>
    <w:rsid w:val="009C2B04"/>
    <w:rsid w:val="009C3544"/>
    <w:rsid w:val="009C45BA"/>
    <w:rsid w:val="009D7AFB"/>
    <w:rsid w:val="009E055E"/>
    <w:rsid w:val="009E0C76"/>
    <w:rsid w:val="009E2833"/>
    <w:rsid w:val="009E317D"/>
    <w:rsid w:val="009E3B52"/>
    <w:rsid w:val="009E3D89"/>
    <w:rsid w:val="009E5B43"/>
    <w:rsid w:val="009E6B59"/>
    <w:rsid w:val="009F2CB2"/>
    <w:rsid w:val="009F2CEE"/>
    <w:rsid w:val="009F59EE"/>
    <w:rsid w:val="009F5CD5"/>
    <w:rsid w:val="009F66D0"/>
    <w:rsid w:val="00A069E2"/>
    <w:rsid w:val="00A073C7"/>
    <w:rsid w:val="00A07431"/>
    <w:rsid w:val="00A07A9F"/>
    <w:rsid w:val="00A11B93"/>
    <w:rsid w:val="00A11C90"/>
    <w:rsid w:val="00A12821"/>
    <w:rsid w:val="00A23C45"/>
    <w:rsid w:val="00A25B10"/>
    <w:rsid w:val="00A36D79"/>
    <w:rsid w:val="00A37A20"/>
    <w:rsid w:val="00A4618A"/>
    <w:rsid w:val="00A5429B"/>
    <w:rsid w:val="00A553A9"/>
    <w:rsid w:val="00A61F80"/>
    <w:rsid w:val="00A62CCA"/>
    <w:rsid w:val="00A641DB"/>
    <w:rsid w:val="00A65B9D"/>
    <w:rsid w:val="00A70932"/>
    <w:rsid w:val="00A719A5"/>
    <w:rsid w:val="00A72F83"/>
    <w:rsid w:val="00A7372B"/>
    <w:rsid w:val="00A74A1E"/>
    <w:rsid w:val="00A7509B"/>
    <w:rsid w:val="00A7796E"/>
    <w:rsid w:val="00A77F44"/>
    <w:rsid w:val="00A86656"/>
    <w:rsid w:val="00A87B14"/>
    <w:rsid w:val="00A93638"/>
    <w:rsid w:val="00A97D07"/>
    <w:rsid w:val="00AA218A"/>
    <w:rsid w:val="00AB3D30"/>
    <w:rsid w:val="00AB4794"/>
    <w:rsid w:val="00AB4842"/>
    <w:rsid w:val="00AB7CCF"/>
    <w:rsid w:val="00AC614D"/>
    <w:rsid w:val="00AC7F1C"/>
    <w:rsid w:val="00AD4EA3"/>
    <w:rsid w:val="00AE05ED"/>
    <w:rsid w:val="00AE44CB"/>
    <w:rsid w:val="00AE55D4"/>
    <w:rsid w:val="00AE72D7"/>
    <w:rsid w:val="00AF1038"/>
    <w:rsid w:val="00AF2633"/>
    <w:rsid w:val="00B01F39"/>
    <w:rsid w:val="00B05862"/>
    <w:rsid w:val="00B11974"/>
    <w:rsid w:val="00B12CF8"/>
    <w:rsid w:val="00B15519"/>
    <w:rsid w:val="00B15922"/>
    <w:rsid w:val="00B244B9"/>
    <w:rsid w:val="00B27178"/>
    <w:rsid w:val="00B30A9E"/>
    <w:rsid w:val="00B3265A"/>
    <w:rsid w:val="00B36901"/>
    <w:rsid w:val="00B37F41"/>
    <w:rsid w:val="00B4245F"/>
    <w:rsid w:val="00B43ABC"/>
    <w:rsid w:val="00B470FB"/>
    <w:rsid w:val="00B479EB"/>
    <w:rsid w:val="00B51125"/>
    <w:rsid w:val="00B52CDF"/>
    <w:rsid w:val="00B65A3B"/>
    <w:rsid w:val="00B72652"/>
    <w:rsid w:val="00B815A3"/>
    <w:rsid w:val="00B91CEE"/>
    <w:rsid w:val="00B94777"/>
    <w:rsid w:val="00B95BB2"/>
    <w:rsid w:val="00B95EBA"/>
    <w:rsid w:val="00BA0BC1"/>
    <w:rsid w:val="00BA1D82"/>
    <w:rsid w:val="00BA1FA3"/>
    <w:rsid w:val="00BA23D8"/>
    <w:rsid w:val="00BA4230"/>
    <w:rsid w:val="00BA45FD"/>
    <w:rsid w:val="00BA7722"/>
    <w:rsid w:val="00BB4512"/>
    <w:rsid w:val="00BB4D49"/>
    <w:rsid w:val="00BB51F4"/>
    <w:rsid w:val="00BB58F0"/>
    <w:rsid w:val="00BB6439"/>
    <w:rsid w:val="00BB675F"/>
    <w:rsid w:val="00BD0936"/>
    <w:rsid w:val="00BD17B0"/>
    <w:rsid w:val="00BD3715"/>
    <w:rsid w:val="00BD4EBD"/>
    <w:rsid w:val="00BD5A47"/>
    <w:rsid w:val="00BD6E76"/>
    <w:rsid w:val="00BF4092"/>
    <w:rsid w:val="00BF44F1"/>
    <w:rsid w:val="00C02E39"/>
    <w:rsid w:val="00C04F1A"/>
    <w:rsid w:val="00C05CCC"/>
    <w:rsid w:val="00C07F35"/>
    <w:rsid w:val="00C15993"/>
    <w:rsid w:val="00C17C49"/>
    <w:rsid w:val="00C23E32"/>
    <w:rsid w:val="00C2555B"/>
    <w:rsid w:val="00C30EA3"/>
    <w:rsid w:val="00C31E67"/>
    <w:rsid w:val="00C33A4A"/>
    <w:rsid w:val="00C4086A"/>
    <w:rsid w:val="00C42CA5"/>
    <w:rsid w:val="00C42FAF"/>
    <w:rsid w:val="00C47E7D"/>
    <w:rsid w:val="00C52DA0"/>
    <w:rsid w:val="00C60BBC"/>
    <w:rsid w:val="00C6644B"/>
    <w:rsid w:val="00C668FF"/>
    <w:rsid w:val="00C7532A"/>
    <w:rsid w:val="00C7663D"/>
    <w:rsid w:val="00C779DC"/>
    <w:rsid w:val="00C80ADA"/>
    <w:rsid w:val="00C81DF4"/>
    <w:rsid w:val="00C83132"/>
    <w:rsid w:val="00C864DC"/>
    <w:rsid w:val="00C908E5"/>
    <w:rsid w:val="00C9156E"/>
    <w:rsid w:val="00C947C0"/>
    <w:rsid w:val="00C947CE"/>
    <w:rsid w:val="00C97E6F"/>
    <w:rsid w:val="00CA135D"/>
    <w:rsid w:val="00CA1722"/>
    <w:rsid w:val="00CA1806"/>
    <w:rsid w:val="00CA5872"/>
    <w:rsid w:val="00CA7CAF"/>
    <w:rsid w:val="00CB06F8"/>
    <w:rsid w:val="00CB18B1"/>
    <w:rsid w:val="00CB38CA"/>
    <w:rsid w:val="00CB6F2B"/>
    <w:rsid w:val="00CB7254"/>
    <w:rsid w:val="00CC0CB0"/>
    <w:rsid w:val="00CC1067"/>
    <w:rsid w:val="00CC3D3D"/>
    <w:rsid w:val="00CC65C5"/>
    <w:rsid w:val="00CC73AB"/>
    <w:rsid w:val="00CD12BC"/>
    <w:rsid w:val="00CD3324"/>
    <w:rsid w:val="00CD46EA"/>
    <w:rsid w:val="00CD4A18"/>
    <w:rsid w:val="00CD575C"/>
    <w:rsid w:val="00CE0770"/>
    <w:rsid w:val="00CE6C6E"/>
    <w:rsid w:val="00CE76FD"/>
    <w:rsid w:val="00CF2033"/>
    <w:rsid w:val="00D0061B"/>
    <w:rsid w:val="00D012CF"/>
    <w:rsid w:val="00D016C3"/>
    <w:rsid w:val="00D01832"/>
    <w:rsid w:val="00D01DC0"/>
    <w:rsid w:val="00D02E81"/>
    <w:rsid w:val="00D0526B"/>
    <w:rsid w:val="00D07AA2"/>
    <w:rsid w:val="00D1081A"/>
    <w:rsid w:val="00D160DE"/>
    <w:rsid w:val="00D21C96"/>
    <w:rsid w:val="00D30074"/>
    <w:rsid w:val="00D30854"/>
    <w:rsid w:val="00D31127"/>
    <w:rsid w:val="00D320FC"/>
    <w:rsid w:val="00D333B4"/>
    <w:rsid w:val="00D3359F"/>
    <w:rsid w:val="00D35FF4"/>
    <w:rsid w:val="00D40C89"/>
    <w:rsid w:val="00D47B55"/>
    <w:rsid w:val="00D47B8A"/>
    <w:rsid w:val="00D50703"/>
    <w:rsid w:val="00D531E4"/>
    <w:rsid w:val="00D53C47"/>
    <w:rsid w:val="00D53E59"/>
    <w:rsid w:val="00D60444"/>
    <w:rsid w:val="00D605B1"/>
    <w:rsid w:val="00D60D98"/>
    <w:rsid w:val="00D61FAA"/>
    <w:rsid w:val="00D62038"/>
    <w:rsid w:val="00D628D2"/>
    <w:rsid w:val="00D62FEC"/>
    <w:rsid w:val="00D65C4E"/>
    <w:rsid w:val="00D67EA6"/>
    <w:rsid w:val="00D71EA0"/>
    <w:rsid w:val="00D721F1"/>
    <w:rsid w:val="00D73F33"/>
    <w:rsid w:val="00D74A93"/>
    <w:rsid w:val="00D80B6D"/>
    <w:rsid w:val="00D80F78"/>
    <w:rsid w:val="00D84488"/>
    <w:rsid w:val="00D844C8"/>
    <w:rsid w:val="00D84B7D"/>
    <w:rsid w:val="00D8513A"/>
    <w:rsid w:val="00D85BBB"/>
    <w:rsid w:val="00D85FB4"/>
    <w:rsid w:val="00D906BE"/>
    <w:rsid w:val="00D943AD"/>
    <w:rsid w:val="00D9690A"/>
    <w:rsid w:val="00DA2C91"/>
    <w:rsid w:val="00DA5316"/>
    <w:rsid w:val="00DA7B87"/>
    <w:rsid w:val="00DB0343"/>
    <w:rsid w:val="00DB342A"/>
    <w:rsid w:val="00DB63D9"/>
    <w:rsid w:val="00DB7121"/>
    <w:rsid w:val="00DB7E77"/>
    <w:rsid w:val="00DC0BD6"/>
    <w:rsid w:val="00DC0F17"/>
    <w:rsid w:val="00DC30D0"/>
    <w:rsid w:val="00DC37CE"/>
    <w:rsid w:val="00DC422E"/>
    <w:rsid w:val="00DD67DA"/>
    <w:rsid w:val="00DD7940"/>
    <w:rsid w:val="00DE1840"/>
    <w:rsid w:val="00DE1B89"/>
    <w:rsid w:val="00DE59C6"/>
    <w:rsid w:val="00DF2E5A"/>
    <w:rsid w:val="00DF3A69"/>
    <w:rsid w:val="00DF4305"/>
    <w:rsid w:val="00DF658B"/>
    <w:rsid w:val="00E00DC6"/>
    <w:rsid w:val="00E04B02"/>
    <w:rsid w:val="00E058A3"/>
    <w:rsid w:val="00E10ABF"/>
    <w:rsid w:val="00E130CB"/>
    <w:rsid w:val="00E151F3"/>
    <w:rsid w:val="00E17539"/>
    <w:rsid w:val="00E244E6"/>
    <w:rsid w:val="00E27028"/>
    <w:rsid w:val="00E32C50"/>
    <w:rsid w:val="00E423C3"/>
    <w:rsid w:val="00E4323F"/>
    <w:rsid w:val="00E4469C"/>
    <w:rsid w:val="00E450AB"/>
    <w:rsid w:val="00E5280E"/>
    <w:rsid w:val="00E52CEE"/>
    <w:rsid w:val="00E54A8E"/>
    <w:rsid w:val="00E563FC"/>
    <w:rsid w:val="00E57F9B"/>
    <w:rsid w:val="00E60634"/>
    <w:rsid w:val="00E6319B"/>
    <w:rsid w:val="00E6726D"/>
    <w:rsid w:val="00E7623C"/>
    <w:rsid w:val="00E80764"/>
    <w:rsid w:val="00E80FCB"/>
    <w:rsid w:val="00E81433"/>
    <w:rsid w:val="00E81C95"/>
    <w:rsid w:val="00E845C0"/>
    <w:rsid w:val="00E852A3"/>
    <w:rsid w:val="00E914B7"/>
    <w:rsid w:val="00E93103"/>
    <w:rsid w:val="00EA0295"/>
    <w:rsid w:val="00EA0C1C"/>
    <w:rsid w:val="00EA477A"/>
    <w:rsid w:val="00EA5D92"/>
    <w:rsid w:val="00EB307B"/>
    <w:rsid w:val="00EB5354"/>
    <w:rsid w:val="00EC3779"/>
    <w:rsid w:val="00EC7F0E"/>
    <w:rsid w:val="00ED2D1F"/>
    <w:rsid w:val="00ED58E9"/>
    <w:rsid w:val="00ED79D6"/>
    <w:rsid w:val="00EE1831"/>
    <w:rsid w:val="00EE3DAD"/>
    <w:rsid w:val="00EF2F7C"/>
    <w:rsid w:val="00EF3FC0"/>
    <w:rsid w:val="00EF61B5"/>
    <w:rsid w:val="00F00A40"/>
    <w:rsid w:val="00F00A6E"/>
    <w:rsid w:val="00F05773"/>
    <w:rsid w:val="00F0773E"/>
    <w:rsid w:val="00F14982"/>
    <w:rsid w:val="00F22A26"/>
    <w:rsid w:val="00F23C0F"/>
    <w:rsid w:val="00F2598D"/>
    <w:rsid w:val="00F32739"/>
    <w:rsid w:val="00F336A2"/>
    <w:rsid w:val="00F36BA0"/>
    <w:rsid w:val="00F44AEB"/>
    <w:rsid w:val="00F45620"/>
    <w:rsid w:val="00F5304D"/>
    <w:rsid w:val="00F532E2"/>
    <w:rsid w:val="00F5470D"/>
    <w:rsid w:val="00F5638B"/>
    <w:rsid w:val="00F628BC"/>
    <w:rsid w:val="00F7277F"/>
    <w:rsid w:val="00F72E32"/>
    <w:rsid w:val="00F73B85"/>
    <w:rsid w:val="00F829B7"/>
    <w:rsid w:val="00F84A4F"/>
    <w:rsid w:val="00F8617B"/>
    <w:rsid w:val="00F9173C"/>
    <w:rsid w:val="00F975AD"/>
    <w:rsid w:val="00FA2D1E"/>
    <w:rsid w:val="00FA35EB"/>
    <w:rsid w:val="00FB18D0"/>
    <w:rsid w:val="00FB2241"/>
    <w:rsid w:val="00FB2315"/>
    <w:rsid w:val="00FB2ED6"/>
    <w:rsid w:val="00FB412B"/>
    <w:rsid w:val="00FB59EE"/>
    <w:rsid w:val="00FB6B8F"/>
    <w:rsid w:val="00FC2522"/>
    <w:rsid w:val="00FC5B56"/>
    <w:rsid w:val="00FD4B12"/>
    <w:rsid w:val="00FD5009"/>
    <w:rsid w:val="00FD62DC"/>
    <w:rsid w:val="00FD6A70"/>
    <w:rsid w:val="00FE1EC8"/>
    <w:rsid w:val="00FE3560"/>
    <w:rsid w:val="00FE3E09"/>
    <w:rsid w:val="00FE4FBF"/>
    <w:rsid w:val="00FF1E5A"/>
    <w:rsid w:val="00FF6AA1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Zdraznn">
    <w:name w:val="Emphasis"/>
    <w:basedOn w:val="Standardnpsmoodstavce"/>
    <w:uiPriority w:val="20"/>
    <w:qFormat/>
    <w:rsid w:val="00E563FC"/>
    <w:rPr>
      <w:i/>
      <w:iCs/>
    </w:rPr>
  </w:style>
  <w:style w:type="character" w:styleId="Siln">
    <w:name w:val="Strong"/>
    <w:basedOn w:val="Standardnpsmoodstavce"/>
    <w:uiPriority w:val="22"/>
    <w:qFormat/>
    <w:rsid w:val="00A553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hyperlink" Target="mailto:michaela.sahulova@bcas.cz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241B9-7F83-49D7-8C6F-7F93C9887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1241</TotalTime>
  <Pages>3</Pages>
  <Words>862</Words>
  <Characters>5092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Michaela Sahulová</cp:lastModifiedBy>
  <cp:revision>28</cp:revision>
  <dcterms:created xsi:type="dcterms:W3CDTF">2022-10-05T11:39:00Z</dcterms:created>
  <dcterms:modified xsi:type="dcterms:W3CDTF">2022-10-07T09:06:00Z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