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14DBE9" w14:textId="6E0639B0" w:rsidR="00677C07" w:rsidRDefault="00677C07">
      <w:pPr>
        <w:rPr>
          <w:highlight w:val="yellow"/>
        </w:rPr>
      </w:pPr>
    </w:p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p w14:paraId="718E6546" w14:textId="121A6802" w:rsidR="00D80B6D" w:rsidRPr="00D84B7D" w:rsidRDefault="00D80B6D">
          <w:pPr>
            <w:rPr>
              <w:highlight w:val="yellow"/>
            </w:rPr>
          </w:pPr>
        </w:p>
        <w:p w14:paraId="7ED014A1" w14:textId="77777777" w:rsidR="00D80B6D" w:rsidRPr="00D84B7D" w:rsidRDefault="00D80B6D" w:rsidP="00D80B6D">
          <w:pPr>
            <w:pStyle w:val="Nadpis3"/>
            <w:spacing w:before="10"/>
            <w:rPr>
              <w:rFonts w:ascii="Arial" w:hAnsi="Arial" w:cs="Arial"/>
              <w:highlight w:val="yellow"/>
            </w:rPr>
          </w:pPr>
        </w:p>
        <w:p w14:paraId="0FB45B67" w14:textId="77777777" w:rsidR="00D80B6D" w:rsidRPr="00D84B7D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84B7D">
            <w:rPr>
              <w:rFonts w:ascii="Arial" w:hAnsi="Arial" w:cs="Arial"/>
              <w:b/>
              <w:sz w:val="24"/>
            </w:rPr>
            <w:t>INDEX HYPOTEČNÍCH ÚVĚRŮ</w:t>
          </w:r>
          <w:r w:rsidRPr="00D84B7D">
            <w:rPr>
              <w:rFonts w:ascii="Arial" w:hAnsi="Arial" w:cs="Arial"/>
              <w:sz w:val="24"/>
            </w:rPr>
            <w:t xml:space="preserve"> | </w:t>
          </w:r>
          <w:r w:rsidRPr="00D40C89">
            <w:rPr>
              <w:rFonts w:ascii="Arial" w:hAnsi="Arial" w:cs="Arial"/>
              <w:b/>
              <w:sz w:val="24"/>
            </w:rPr>
            <w:t xml:space="preserve">FIXINDEX </w:t>
          </w:r>
        </w:p>
        <w:p w14:paraId="03C4DE47" w14:textId="26FAE45C" w:rsidR="0009776B" w:rsidRPr="00D84B7D" w:rsidRDefault="00D80B6D" w:rsidP="005F65A1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84B7D">
            <w:rPr>
              <w:rFonts w:ascii="Arial" w:hAnsi="Arial" w:cs="Arial"/>
              <w:sz w:val="24"/>
            </w:rPr>
            <w:t xml:space="preserve">INDEX PODÍLOVÝCH FONDŮ </w:t>
          </w:r>
        </w:p>
        <w:p w14:paraId="32900BCE" w14:textId="5904F9FC" w:rsidR="00D80B6D" w:rsidRPr="00D84B7D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84B7D">
            <w:rPr>
              <w:rFonts w:ascii="Arial" w:hAnsi="Arial" w:cs="Arial"/>
              <w:sz w:val="24"/>
            </w:rPr>
            <w:t>P</w:t>
          </w:r>
          <w:r w:rsidR="005F65A1" w:rsidRPr="00D84B7D">
            <w:rPr>
              <w:rFonts w:ascii="Arial" w:hAnsi="Arial" w:cs="Arial"/>
              <w:sz w:val="24"/>
            </w:rPr>
            <w:t>OV</w:t>
          </w:r>
          <w:r w:rsidRPr="00D84B7D">
            <w:rPr>
              <w:rFonts w:ascii="Arial" w:hAnsi="Arial" w:cs="Arial"/>
              <w:sz w:val="24"/>
            </w:rPr>
            <w:t xml:space="preserve">INDEX </w:t>
          </w:r>
        </w:p>
        <w:p w14:paraId="5B21B8A6" w14:textId="77777777" w:rsidR="00D80B6D" w:rsidRPr="00D84B7D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D84B7D">
            <w:rPr>
              <w:rFonts w:ascii="Arial" w:hAnsi="Arial" w:cs="Arial"/>
              <w:sz w:val="24"/>
            </w:rPr>
            <w:t xml:space="preserve">INDEX SPOTŘEBITELSKÝCH ÚVĚRŮ  </w:t>
          </w:r>
        </w:p>
        <w:p w14:paraId="720CCDBB" w14:textId="77777777" w:rsidR="00D80B6D" w:rsidRPr="00D84B7D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  <w:r w:rsidRPr="00D84B7D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18EE6C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D84B7D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</w:pPr>
        </w:p>
        <w:p w14:paraId="5193A52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D84B7D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D84B7D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1132A3F" w14:textId="53DE594E" w:rsidR="00D80B6D" w:rsidRPr="00D84B7D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D84B7D">
            <w:rPr>
              <w:rFonts w:ascii="Arial" w:hAnsi="Arial" w:cs="Arial"/>
              <w:b/>
              <w:sz w:val="20"/>
            </w:rPr>
            <w:t xml:space="preserve">O společnosti Broker </w:t>
          </w:r>
          <w:proofErr w:type="spellStart"/>
          <w:r w:rsidRPr="00D84B7D">
            <w:rPr>
              <w:rFonts w:ascii="Arial" w:hAnsi="Arial" w:cs="Arial"/>
              <w:b/>
              <w:sz w:val="20"/>
            </w:rPr>
            <w:t>Consulting</w:t>
          </w:r>
          <w:proofErr w:type="spellEnd"/>
        </w:p>
        <w:p w14:paraId="27485CC6" w14:textId="77777777" w:rsidR="00D80B6D" w:rsidRPr="00D84B7D" w:rsidRDefault="00D80B6D" w:rsidP="00D80B6D">
          <w:pPr>
            <w:jc w:val="both"/>
            <w:rPr>
              <w:rFonts w:ascii="Arial" w:hAnsi="Arial" w:cs="Arial"/>
              <w:sz w:val="20"/>
            </w:rPr>
          </w:pPr>
        </w:p>
        <w:p w14:paraId="08070DCC" w14:textId="6F276E07" w:rsidR="00792EE9" w:rsidRPr="006545F8" w:rsidRDefault="00792EE9" w:rsidP="00792EE9">
          <w:pPr>
            <w:jc w:val="both"/>
            <w:rPr>
              <w:rStyle w:val="dn"/>
              <w:rFonts w:ascii="Arial" w:hAnsi="Arial" w:cs="Arial"/>
              <w:sz w:val="18"/>
              <w:szCs w:val="18"/>
            </w:rPr>
          </w:pPr>
          <w:r w:rsidRPr="00D84B7D">
            <w:rPr>
              <w:rFonts w:ascii="Arial" w:hAnsi="Arial" w:cs="Arial"/>
              <w:sz w:val="18"/>
            </w:rPr>
            <w:t xml:space="preserve">Broker </w:t>
          </w:r>
          <w:proofErr w:type="spellStart"/>
          <w:r w:rsidRPr="00D84B7D">
            <w:rPr>
              <w:rFonts w:ascii="Arial" w:hAnsi="Arial" w:cs="Arial"/>
              <w:sz w:val="18"/>
            </w:rPr>
            <w:t>Consulting</w:t>
          </w:r>
          <w:proofErr w:type="spellEnd"/>
          <w:r w:rsidRPr="00D84B7D">
            <w:rPr>
              <w:rFonts w:ascii="Arial" w:hAnsi="Arial" w:cs="Arial"/>
              <w:sz w:val="18"/>
            </w:rPr>
            <w:t xml:space="preserve"> je jednou z největších společností na českém a slovenském trhu, která poskytuje služby v oblasti financí a realit. Od roku 1998 získala důvěru více než 600 000 klientů. Poskytuje také služby přes 4 000 firmám. Distribuci služeb zajišťuje přibližně 2 000 konzultantů (profesionální konzultanti, zaměstnanci, konzultanti v zapracování v ČR i SR) ve více než 100 kancelářích a </w:t>
          </w:r>
          <w:r w:rsidR="002141AF" w:rsidRPr="00D84B7D">
            <w:rPr>
              <w:rFonts w:ascii="Arial" w:hAnsi="Arial" w:cs="Arial"/>
              <w:sz w:val="18"/>
            </w:rPr>
            <w:t>40</w:t>
          </w:r>
          <w:r w:rsidRPr="00D84B7D">
            <w:rPr>
              <w:rFonts w:ascii="Arial" w:hAnsi="Arial" w:cs="Arial"/>
              <w:sz w:val="18"/>
            </w:rPr>
            <w:t xml:space="preserve"> franšízových pobočkách OK POINT.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POINT, který přináší společnost Broker </w:t>
          </w:r>
          <w:proofErr w:type="spellStart"/>
          <w:r w:rsidRPr="00D84B7D">
            <w:rPr>
              <w:rFonts w:ascii="Arial" w:hAnsi="Arial" w:cs="Arial"/>
              <w:sz w:val="18"/>
            </w:rPr>
            <w:t>Consultin</w:t>
          </w:r>
          <w:r w:rsidR="008D373A">
            <w:rPr>
              <w:rFonts w:ascii="Arial" w:hAnsi="Arial" w:cs="Arial"/>
              <w:sz w:val="18"/>
            </w:rPr>
            <w:t>g</w:t>
          </w:r>
          <w:proofErr w:type="spellEnd"/>
          <w:r w:rsidR="008D373A">
            <w:rPr>
              <w:rFonts w:ascii="Arial" w:hAnsi="Arial" w:cs="Arial"/>
              <w:sz w:val="18"/>
            </w:rPr>
            <w:t xml:space="preserve">. </w:t>
          </w:r>
          <w:proofErr w:type="spellStart"/>
          <w:r w:rsidRPr="00D84B7D">
            <w:rPr>
              <w:rStyle w:val="dn"/>
              <w:rFonts w:ascii="Arial" w:hAnsi="Arial" w:cs="Arial"/>
              <w:sz w:val="18"/>
              <w:szCs w:val="18"/>
            </w:rPr>
            <w:t>Více</w:t>
          </w:r>
          <w:proofErr w:type="spellEnd"/>
          <w:r w:rsidRPr="00D84B7D">
            <w:rPr>
              <w:rStyle w:val="dn"/>
              <w:rFonts w:ascii="Arial" w:hAnsi="Arial" w:cs="Arial"/>
              <w:sz w:val="18"/>
              <w:szCs w:val="18"/>
            </w:rPr>
            <w:t xml:space="preserve"> na </w:t>
          </w:r>
          <w:hyperlink r:id="rId9" w:history="1">
            <w:r w:rsidR="007B232E" w:rsidRPr="00D84B7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bcas.cz</w:t>
            </w:r>
          </w:hyperlink>
          <w:r w:rsidRPr="00D84B7D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0" w:history="1">
            <w:r w:rsidR="007B232E" w:rsidRPr="00D84B7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okpointy.cz</w:t>
            </w:r>
          </w:hyperlink>
          <w:r w:rsidR="007B232E" w:rsidRPr="00D84B7D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1" w:history="1">
            <w:r w:rsidR="007B232E" w:rsidRPr="00D84B7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okpoint.tv</w:t>
            </w:r>
          </w:hyperlink>
          <w:r w:rsidRPr="00D84B7D">
            <w:rPr>
              <w:rStyle w:val="dn"/>
              <w:rFonts w:ascii="Arial" w:hAnsi="Arial" w:cs="Arial"/>
              <w:sz w:val="18"/>
              <w:szCs w:val="18"/>
            </w:rPr>
            <w:t xml:space="preserve"> a na </w:t>
          </w:r>
          <w:hyperlink r:id="rId12" w:history="1">
            <w:r w:rsidRPr="00D84B7D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realityspolu.cz</w:t>
            </w:r>
          </w:hyperlink>
          <w:r w:rsidR="007B232E" w:rsidRPr="00D84B7D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. </w:t>
          </w:r>
          <w:proofErr w:type="spellStart"/>
          <w:r w:rsidRPr="00D84B7D">
            <w:rPr>
              <w:rStyle w:val="dn"/>
              <w:rFonts w:ascii="Arial" w:hAnsi="Arial" w:cs="Arial"/>
              <w:sz w:val="18"/>
              <w:szCs w:val="18"/>
            </w:rPr>
            <w:t>Navštivte</w:t>
          </w:r>
          <w:proofErr w:type="spellEnd"/>
          <w:r w:rsidRPr="00D84B7D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6545F8">
            <w:rPr>
              <w:rStyle w:val="dn"/>
              <w:rFonts w:ascii="Arial" w:hAnsi="Arial" w:cs="Arial"/>
              <w:sz w:val="18"/>
              <w:szCs w:val="18"/>
            </w:rPr>
            <w:t>také</w:t>
          </w:r>
          <w:proofErr w:type="spellEnd"/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6545F8">
            <w:rPr>
              <w:rStyle w:val="dn"/>
              <w:rFonts w:ascii="Arial" w:hAnsi="Arial" w:cs="Arial"/>
              <w:sz w:val="18"/>
              <w:szCs w:val="18"/>
            </w:rPr>
            <w:t>náš</w:t>
          </w:r>
          <w:proofErr w:type="spellEnd"/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hyperlink r:id="rId13" w:history="1">
            <w:proofErr w:type="spellStart"/>
            <w:r w:rsidRPr="006545F8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  <w:proofErr w:type="spellEnd"/>
          </w:hyperlink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4" w:history="1">
            <w:proofErr w:type="spellStart"/>
            <w:r w:rsidRPr="006545F8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LinkedIN</w:t>
            </w:r>
            <w:proofErr w:type="spellEnd"/>
          </w:hyperlink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Broker Consulting a </w:t>
          </w:r>
          <w:hyperlink r:id="rId15" w:history="1">
            <w:proofErr w:type="spellStart"/>
            <w:r w:rsidRPr="006545F8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  <w:proofErr w:type="spellEnd"/>
          </w:hyperlink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6" w:history="1">
            <w:proofErr w:type="spellStart"/>
            <w:r w:rsidRPr="006545F8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</w:t>
            </w:r>
          </w:hyperlink>
          <w:r w:rsidRPr="006545F8">
            <w:rPr>
              <w:rStyle w:val="Hypertextovodkaz"/>
              <w:rFonts w:ascii="Arial" w:hAnsi="Arial" w:cs="Arial"/>
              <w:color w:val="auto"/>
              <w:sz w:val="18"/>
              <w:szCs w:val="18"/>
            </w:rPr>
            <w:t>N</w:t>
          </w:r>
          <w:proofErr w:type="spellEnd"/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 OK </w:t>
          </w:r>
          <w:proofErr w:type="spellStart"/>
          <w:r w:rsidRPr="006545F8">
            <w:rPr>
              <w:rStyle w:val="dn"/>
              <w:rFonts w:ascii="Arial" w:hAnsi="Arial" w:cs="Arial"/>
              <w:sz w:val="18"/>
              <w:szCs w:val="18"/>
            </w:rPr>
            <w:t>POINTů</w:t>
          </w:r>
          <w:proofErr w:type="spellEnd"/>
          <w:r w:rsidRPr="006545F8">
            <w:rPr>
              <w:rStyle w:val="dn"/>
              <w:rFonts w:ascii="Arial" w:hAnsi="Arial" w:cs="Arial"/>
              <w:sz w:val="18"/>
              <w:szCs w:val="18"/>
            </w:rPr>
            <w:t xml:space="preserve">. </w:t>
          </w:r>
        </w:p>
        <w:p w14:paraId="3F0EC976" w14:textId="3496D289" w:rsidR="00D80B6D" w:rsidRPr="006545F8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6545F8" w:rsidSect="00D80B6D">
              <w:headerReference w:type="default" r:id="rId17"/>
              <w:footerReference w:type="default" r:id="rId18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4F038982" w14:textId="77777777" w:rsidR="00203BD4" w:rsidRDefault="00203BD4" w:rsidP="0025264B">
          <w:pPr>
            <w:rPr>
              <w:rFonts w:ascii="Arial" w:hAnsi="Arial" w:cs="Arial"/>
              <w:sz w:val="20"/>
              <w:szCs w:val="20"/>
              <w:highlight w:val="yellow"/>
            </w:rPr>
          </w:pPr>
        </w:p>
        <w:p w14:paraId="35539C65" w14:textId="06F0629B" w:rsidR="00D31127" w:rsidRPr="006545F8" w:rsidRDefault="005678E0" w:rsidP="0025264B">
          <w:pPr>
            <w:rPr>
              <w:rFonts w:ascii="Arial" w:hAnsi="Arial" w:cs="Arial"/>
              <w:sz w:val="20"/>
              <w:szCs w:val="20"/>
              <w:highlight w:val="yellow"/>
            </w:rPr>
            <w:sectPr w:rsidR="00D31127" w:rsidRPr="006545F8" w:rsidSect="00D80B6D">
              <w:headerReference w:type="even" r:id="rId19"/>
              <w:headerReference w:type="default" r:id="rId20"/>
              <w:footerReference w:type="even" r:id="rId21"/>
              <w:footerReference w:type="default" r:id="rId22"/>
              <w:headerReference w:type="first" r:id="rId23"/>
              <w:footerReference w:type="first" r:id="rId24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206747BB" w14:textId="7498B86E" w:rsidR="00AE72D7" w:rsidRPr="006545F8" w:rsidRDefault="00AE72D7" w:rsidP="00AE72D7">
      <w:pPr>
        <w:widowControl/>
        <w:autoSpaceDE/>
        <w:autoSpaceDN/>
        <w:jc w:val="both"/>
        <w:rPr>
          <w:rFonts w:ascii="Calibri" w:eastAsia="Times New Roman" w:hAnsi="Calibri" w:cs="Calibri"/>
          <w:color w:val="000000"/>
          <w:lang w:bidi="ar-SA"/>
        </w:rPr>
      </w:pPr>
    </w:p>
    <w:p w14:paraId="5252BF3F" w14:textId="77777777" w:rsidR="00D40C89" w:rsidRPr="009345C9" w:rsidRDefault="00D40C89" w:rsidP="006B2EA9">
      <w:pPr>
        <w:jc w:val="center"/>
        <w:rPr>
          <w:rFonts w:ascii="Arial" w:hAnsi="Arial" w:cs="Arial"/>
          <w:sz w:val="28"/>
          <w:szCs w:val="28"/>
        </w:rPr>
      </w:pPr>
    </w:p>
    <w:p w14:paraId="10EA3566" w14:textId="61B1B0B4" w:rsidR="00D40C89" w:rsidRPr="00A37A20" w:rsidRDefault="00FE3E09" w:rsidP="00874FE0">
      <w:pPr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 xml:space="preserve">V srpnu </w:t>
      </w:r>
      <w:r w:rsidR="00EF3FC0">
        <w:rPr>
          <w:rFonts w:ascii="Arial" w:hAnsi="Arial" w:cs="Arial"/>
          <w:b/>
          <w:sz w:val="30"/>
          <w:szCs w:val="30"/>
        </w:rPr>
        <w:t>úroky u hypoték</w:t>
      </w:r>
      <w:r>
        <w:rPr>
          <w:rFonts w:ascii="Arial" w:hAnsi="Arial" w:cs="Arial"/>
          <w:b/>
          <w:sz w:val="30"/>
          <w:szCs w:val="30"/>
        </w:rPr>
        <w:t xml:space="preserve"> vzrostly na 5,82 %</w:t>
      </w:r>
      <w:r w:rsidR="00B05862">
        <w:rPr>
          <w:rFonts w:ascii="Arial" w:hAnsi="Arial" w:cs="Arial"/>
          <w:b/>
          <w:sz w:val="30"/>
          <w:szCs w:val="30"/>
        </w:rPr>
        <w:t xml:space="preserve">, </w:t>
      </w:r>
      <w:r>
        <w:rPr>
          <w:rFonts w:ascii="Arial" w:hAnsi="Arial" w:cs="Arial"/>
          <w:b/>
          <w:sz w:val="30"/>
          <w:szCs w:val="30"/>
        </w:rPr>
        <w:t xml:space="preserve">nejvíce preferované jsou stále pětileté fixace </w:t>
      </w:r>
      <w:r w:rsidR="00EF3FC0">
        <w:rPr>
          <w:rFonts w:ascii="Arial" w:hAnsi="Arial" w:cs="Arial"/>
          <w:b/>
          <w:sz w:val="30"/>
          <w:szCs w:val="30"/>
        </w:rPr>
        <w:t>sazeb</w:t>
      </w:r>
    </w:p>
    <w:p w14:paraId="2394C9D1" w14:textId="77777777" w:rsidR="00896FD6" w:rsidRPr="006545F8" w:rsidRDefault="00896FD6" w:rsidP="00652DCE">
      <w:pPr>
        <w:jc w:val="both"/>
        <w:rPr>
          <w:rFonts w:ascii="Arial" w:hAnsi="Arial" w:cs="Arial"/>
          <w:i/>
          <w:sz w:val="20"/>
          <w:szCs w:val="20"/>
        </w:rPr>
      </w:pPr>
    </w:p>
    <w:p w14:paraId="59766C93" w14:textId="77777777" w:rsidR="00917F21" w:rsidRDefault="00917F21" w:rsidP="00652DCE">
      <w:pPr>
        <w:jc w:val="both"/>
        <w:rPr>
          <w:rFonts w:ascii="Arial" w:hAnsi="Arial" w:cs="Arial"/>
          <w:i/>
          <w:sz w:val="20"/>
          <w:szCs w:val="20"/>
        </w:rPr>
      </w:pPr>
    </w:p>
    <w:p w14:paraId="34120B63" w14:textId="7A1E6C16" w:rsidR="00C947CE" w:rsidRDefault="00450DBC" w:rsidP="00652DC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i/>
          <w:sz w:val="20"/>
          <w:szCs w:val="20"/>
        </w:rPr>
        <w:t>Praha, 23</w:t>
      </w:r>
      <w:r w:rsidR="00D47B8A" w:rsidRPr="002B1E20">
        <w:rPr>
          <w:rFonts w:ascii="Arial" w:hAnsi="Arial" w:cs="Arial"/>
          <w:i/>
          <w:sz w:val="20"/>
          <w:szCs w:val="20"/>
        </w:rPr>
        <w:t xml:space="preserve">. </w:t>
      </w:r>
      <w:r w:rsidR="00FE3E09">
        <w:rPr>
          <w:rFonts w:ascii="Arial" w:hAnsi="Arial" w:cs="Arial"/>
          <w:i/>
          <w:sz w:val="20"/>
          <w:szCs w:val="20"/>
        </w:rPr>
        <w:t>září</w:t>
      </w:r>
      <w:r w:rsidR="009C283B" w:rsidRPr="002B1E20">
        <w:rPr>
          <w:rFonts w:ascii="Arial" w:hAnsi="Arial" w:cs="Arial"/>
          <w:i/>
          <w:sz w:val="20"/>
          <w:szCs w:val="20"/>
        </w:rPr>
        <w:t xml:space="preserve"> 2022</w:t>
      </w:r>
      <w:r w:rsidR="00E6319B" w:rsidRPr="002B1E20">
        <w:rPr>
          <w:rFonts w:ascii="Arial" w:hAnsi="Arial" w:cs="Arial"/>
        </w:rPr>
        <w:t xml:space="preserve"> </w:t>
      </w:r>
      <w:r w:rsidR="000851AC" w:rsidRPr="002B1E20">
        <w:rPr>
          <w:rFonts w:ascii="Arial" w:hAnsi="Arial" w:cs="Arial"/>
        </w:rPr>
        <w:t>–</w:t>
      </w:r>
      <w:r w:rsidR="00A37A20" w:rsidRPr="002B1E20">
        <w:rPr>
          <w:rFonts w:ascii="Arial" w:hAnsi="Arial" w:cs="Arial"/>
          <w:b/>
        </w:rPr>
        <w:t xml:space="preserve"> </w:t>
      </w:r>
      <w:r w:rsidR="003967DF">
        <w:rPr>
          <w:rFonts w:ascii="Arial" w:hAnsi="Arial" w:cs="Arial"/>
          <w:b/>
        </w:rPr>
        <w:t>V</w:t>
      </w:r>
      <w:r w:rsidR="00FD62DC">
        <w:rPr>
          <w:rFonts w:ascii="Arial" w:hAnsi="Arial" w:cs="Arial"/>
          <w:b/>
        </w:rPr>
        <w:t xml:space="preserve">ýsledky Broker </w:t>
      </w:r>
      <w:proofErr w:type="spellStart"/>
      <w:r w:rsidR="00FD62DC">
        <w:rPr>
          <w:rFonts w:ascii="Arial" w:hAnsi="Arial" w:cs="Arial"/>
          <w:b/>
        </w:rPr>
        <w:t>Co</w:t>
      </w:r>
      <w:r w:rsidR="005956E9">
        <w:rPr>
          <w:rFonts w:ascii="Arial" w:hAnsi="Arial" w:cs="Arial"/>
          <w:b/>
        </w:rPr>
        <w:t>n</w:t>
      </w:r>
      <w:r w:rsidR="00FD62DC">
        <w:rPr>
          <w:rFonts w:ascii="Arial" w:hAnsi="Arial" w:cs="Arial"/>
          <w:b/>
        </w:rPr>
        <w:t>s</w:t>
      </w:r>
      <w:r w:rsidR="003967DF">
        <w:rPr>
          <w:rFonts w:ascii="Arial" w:hAnsi="Arial" w:cs="Arial"/>
          <w:b/>
        </w:rPr>
        <w:t>ulting</w:t>
      </w:r>
      <w:proofErr w:type="spellEnd"/>
      <w:r w:rsidR="003967DF">
        <w:rPr>
          <w:rFonts w:ascii="Arial" w:hAnsi="Arial" w:cs="Arial"/>
          <w:b/>
        </w:rPr>
        <w:t xml:space="preserve"> Indexu hypotečních úvěrů</w:t>
      </w:r>
      <w:r w:rsidR="00C947CE">
        <w:rPr>
          <w:rFonts w:ascii="Arial" w:hAnsi="Arial" w:cs="Arial"/>
          <w:b/>
        </w:rPr>
        <w:t xml:space="preserve"> </w:t>
      </w:r>
      <w:r w:rsidR="00996D72">
        <w:rPr>
          <w:rFonts w:ascii="Arial" w:hAnsi="Arial" w:cs="Arial"/>
          <w:b/>
        </w:rPr>
        <w:t>deklarují</w:t>
      </w:r>
      <w:r w:rsidR="003967DF">
        <w:rPr>
          <w:rFonts w:ascii="Arial" w:hAnsi="Arial" w:cs="Arial"/>
          <w:b/>
        </w:rPr>
        <w:t>, že nárůst úrokových sazeb</w:t>
      </w:r>
      <w:r w:rsidR="00C947CE">
        <w:rPr>
          <w:rFonts w:ascii="Arial" w:hAnsi="Arial" w:cs="Arial"/>
          <w:b/>
        </w:rPr>
        <w:t xml:space="preserve"> </w:t>
      </w:r>
      <w:r w:rsidR="003967DF">
        <w:rPr>
          <w:rFonts w:ascii="Arial" w:hAnsi="Arial" w:cs="Arial"/>
          <w:b/>
        </w:rPr>
        <w:t xml:space="preserve">v srpnu </w:t>
      </w:r>
      <w:r w:rsidR="004C0179">
        <w:rPr>
          <w:rFonts w:ascii="Arial" w:hAnsi="Arial" w:cs="Arial"/>
          <w:b/>
        </w:rPr>
        <w:t>nadále</w:t>
      </w:r>
      <w:r w:rsidR="003967DF">
        <w:rPr>
          <w:rFonts w:ascii="Arial" w:hAnsi="Arial" w:cs="Arial"/>
          <w:b/>
        </w:rPr>
        <w:t xml:space="preserve"> </w:t>
      </w:r>
      <w:r w:rsidR="008D373A">
        <w:rPr>
          <w:rFonts w:ascii="Arial" w:hAnsi="Arial" w:cs="Arial"/>
          <w:b/>
        </w:rPr>
        <w:t>nepolevil.</w:t>
      </w:r>
      <w:r w:rsidR="005956E9">
        <w:rPr>
          <w:rFonts w:ascii="Arial" w:hAnsi="Arial" w:cs="Arial"/>
          <w:b/>
        </w:rPr>
        <w:t xml:space="preserve"> </w:t>
      </w:r>
      <w:r w:rsidR="004C0179">
        <w:rPr>
          <w:rFonts w:ascii="Arial" w:hAnsi="Arial" w:cs="Arial"/>
          <w:b/>
        </w:rPr>
        <w:t>Naopak p</w:t>
      </w:r>
      <w:r w:rsidR="00C947CE">
        <w:rPr>
          <w:rFonts w:ascii="Arial" w:hAnsi="Arial" w:cs="Arial"/>
          <w:b/>
        </w:rPr>
        <w:t xml:space="preserve">růměrné sazby u hypoték </w:t>
      </w:r>
      <w:r w:rsidR="003967DF">
        <w:rPr>
          <w:rFonts w:ascii="Arial" w:hAnsi="Arial" w:cs="Arial"/>
          <w:b/>
        </w:rPr>
        <w:t xml:space="preserve">meziměsíčně </w:t>
      </w:r>
      <w:r w:rsidR="00C947CE">
        <w:rPr>
          <w:rFonts w:ascii="Arial" w:hAnsi="Arial" w:cs="Arial"/>
          <w:b/>
        </w:rPr>
        <w:t>stouply o 0,21 procentního bodu, oproti červenci se tak v</w:t>
      </w:r>
      <w:r w:rsidR="00C15993">
        <w:rPr>
          <w:rFonts w:ascii="Arial" w:hAnsi="Arial" w:cs="Arial"/>
          <w:b/>
        </w:rPr>
        <w:t xml:space="preserve"> srpnu </w:t>
      </w:r>
      <w:r w:rsidR="003967DF">
        <w:rPr>
          <w:rFonts w:ascii="Arial" w:hAnsi="Arial" w:cs="Arial"/>
          <w:b/>
        </w:rPr>
        <w:t>tento typ úvěru na bydlení</w:t>
      </w:r>
      <w:r w:rsidR="00C15993">
        <w:rPr>
          <w:rFonts w:ascii="Arial" w:hAnsi="Arial" w:cs="Arial"/>
          <w:b/>
        </w:rPr>
        <w:t xml:space="preserve"> poskytoval</w:t>
      </w:r>
      <w:r w:rsidR="009268FC">
        <w:rPr>
          <w:rFonts w:ascii="Arial" w:hAnsi="Arial" w:cs="Arial"/>
          <w:b/>
        </w:rPr>
        <w:t xml:space="preserve"> za </w:t>
      </w:r>
      <w:r w:rsidR="004C0179">
        <w:rPr>
          <w:rFonts w:ascii="Arial" w:hAnsi="Arial" w:cs="Arial"/>
          <w:b/>
        </w:rPr>
        <w:br/>
      </w:r>
      <w:r w:rsidR="009268FC">
        <w:rPr>
          <w:rFonts w:ascii="Arial" w:hAnsi="Arial" w:cs="Arial"/>
          <w:b/>
        </w:rPr>
        <w:t>5,82 %.</w:t>
      </w:r>
      <w:r w:rsidR="00AB7CCF">
        <w:rPr>
          <w:rFonts w:ascii="Arial" w:hAnsi="Arial" w:cs="Arial"/>
          <w:b/>
        </w:rPr>
        <w:t xml:space="preserve"> Nejvíce preferované jsou </w:t>
      </w:r>
      <w:r w:rsidR="00EF3FC0">
        <w:rPr>
          <w:rFonts w:ascii="Arial" w:hAnsi="Arial" w:cs="Arial"/>
          <w:b/>
        </w:rPr>
        <w:t>z dlouhodobého hlediska</w:t>
      </w:r>
      <w:r w:rsidR="004C0179">
        <w:rPr>
          <w:rFonts w:ascii="Arial" w:hAnsi="Arial" w:cs="Arial"/>
          <w:b/>
        </w:rPr>
        <w:t xml:space="preserve"> u hypoték</w:t>
      </w:r>
      <w:r w:rsidR="00EF3FC0">
        <w:rPr>
          <w:rFonts w:ascii="Arial" w:hAnsi="Arial" w:cs="Arial"/>
          <w:b/>
        </w:rPr>
        <w:t xml:space="preserve"> </w:t>
      </w:r>
      <w:r w:rsidR="003967DF">
        <w:rPr>
          <w:rFonts w:ascii="Arial" w:hAnsi="Arial" w:cs="Arial"/>
          <w:b/>
        </w:rPr>
        <w:t xml:space="preserve">stále </w:t>
      </w:r>
      <w:r w:rsidR="00AB7CCF">
        <w:rPr>
          <w:rFonts w:ascii="Arial" w:hAnsi="Arial" w:cs="Arial"/>
          <w:b/>
        </w:rPr>
        <w:t>pětileté fixace</w:t>
      </w:r>
      <w:r w:rsidR="00C947CE">
        <w:rPr>
          <w:rFonts w:ascii="Arial" w:hAnsi="Arial" w:cs="Arial"/>
          <w:b/>
        </w:rPr>
        <w:t xml:space="preserve"> </w:t>
      </w:r>
      <w:r w:rsidR="00AB7CCF">
        <w:rPr>
          <w:rFonts w:ascii="Arial" w:hAnsi="Arial" w:cs="Arial"/>
          <w:b/>
        </w:rPr>
        <w:t>sazeb</w:t>
      </w:r>
      <w:r w:rsidR="00EF3FC0">
        <w:rPr>
          <w:rFonts w:ascii="Arial" w:hAnsi="Arial" w:cs="Arial"/>
          <w:b/>
        </w:rPr>
        <w:t>.</w:t>
      </w:r>
      <w:r w:rsidR="00AB7CCF">
        <w:rPr>
          <w:rFonts w:ascii="Arial" w:hAnsi="Arial" w:cs="Arial"/>
          <w:b/>
        </w:rPr>
        <w:t xml:space="preserve"> </w:t>
      </w:r>
      <w:r w:rsidR="009A53B7">
        <w:rPr>
          <w:rFonts w:ascii="Arial" w:hAnsi="Arial" w:cs="Arial"/>
          <w:b/>
        </w:rPr>
        <w:t>Podle předstihového ukazatele se v září předpokládá poskytování hypoték s pětiletou fixací v blízkosti úrokové sazby 6,17 %.</w:t>
      </w:r>
    </w:p>
    <w:p w14:paraId="47980321" w14:textId="31121B6A" w:rsidR="001D30C7" w:rsidRPr="00D53C47" w:rsidRDefault="001D30C7" w:rsidP="00652DCE">
      <w:pPr>
        <w:jc w:val="both"/>
        <w:rPr>
          <w:rFonts w:ascii="Arial" w:hAnsi="Arial" w:cs="Arial"/>
          <w:b/>
          <w:sz w:val="21"/>
          <w:szCs w:val="21"/>
        </w:rPr>
      </w:pPr>
    </w:p>
    <w:p w14:paraId="6591262F" w14:textId="6707CFC5" w:rsidR="002E6DB6" w:rsidRPr="00182A92" w:rsidRDefault="001D30C7" w:rsidP="00216F2E">
      <w:pPr>
        <w:jc w:val="both"/>
        <w:rPr>
          <w:rFonts w:ascii="Arial" w:hAnsi="Arial" w:cs="Arial"/>
          <w:color w:val="000000"/>
          <w:sz w:val="21"/>
          <w:szCs w:val="21"/>
        </w:rPr>
      </w:pPr>
      <w:r w:rsidRPr="00D53C47">
        <w:rPr>
          <w:rFonts w:ascii="Arial" w:hAnsi="Arial" w:cs="Arial"/>
          <w:sz w:val="21"/>
          <w:szCs w:val="21"/>
        </w:rPr>
        <w:t>Česká</w:t>
      </w:r>
      <w:r w:rsidR="00216F2E" w:rsidRPr="00D53C47">
        <w:rPr>
          <w:rFonts w:ascii="Arial" w:hAnsi="Arial" w:cs="Arial"/>
          <w:sz w:val="21"/>
          <w:szCs w:val="21"/>
        </w:rPr>
        <w:t xml:space="preserve"> národní banka v srpnu poprvé po více než roce ponechala z</w:t>
      </w:r>
      <w:r w:rsidR="00216F2E" w:rsidRPr="00D53C47">
        <w:rPr>
          <w:rFonts w:ascii="Arial" w:hAnsi="Arial" w:cs="Arial"/>
          <w:color w:val="000000"/>
          <w:sz w:val="21"/>
          <w:szCs w:val="21"/>
        </w:rPr>
        <w:t>ákladní úrokovou sazbu na stejné výši, a to</w:t>
      </w:r>
      <w:r w:rsidR="00D62FEC" w:rsidRPr="00D53C47">
        <w:rPr>
          <w:rFonts w:ascii="Arial" w:hAnsi="Arial" w:cs="Arial"/>
          <w:color w:val="000000"/>
          <w:sz w:val="21"/>
          <w:szCs w:val="21"/>
        </w:rPr>
        <w:t xml:space="preserve"> na</w:t>
      </w:r>
      <w:r w:rsidR="00216F2E" w:rsidRPr="00D53C47">
        <w:rPr>
          <w:rFonts w:ascii="Arial" w:hAnsi="Arial" w:cs="Arial"/>
          <w:color w:val="000000"/>
          <w:sz w:val="21"/>
          <w:szCs w:val="21"/>
        </w:rPr>
        <w:t xml:space="preserve"> </w:t>
      </w:r>
      <w:r w:rsidR="00216F2E" w:rsidRPr="00182A92">
        <w:rPr>
          <w:rFonts w:ascii="Arial" w:hAnsi="Arial" w:cs="Arial"/>
          <w:color w:val="000000"/>
          <w:sz w:val="21"/>
          <w:szCs w:val="21"/>
        </w:rPr>
        <w:t>sedmi procent</w:t>
      </w:r>
      <w:r w:rsidR="00D62FEC" w:rsidRPr="00182A92">
        <w:rPr>
          <w:rFonts w:ascii="Arial" w:hAnsi="Arial" w:cs="Arial"/>
          <w:color w:val="000000"/>
          <w:sz w:val="21"/>
          <w:szCs w:val="21"/>
        </w:rPr>
        <w:t>ech</w:t>
      </w:r>
      <w:r w:rsidR="00216F2E" w:rsidRPr="00182A92">
        <w:rPr>
          <w:rFonts w:ascii="Arial" w:hAnsi="Arial" w:cs="Arial"/>
          <w:color w:val="000000"/>
          <w:sz w:val="21"/>
          <w:szCs w:val="21"/>
        </w:rPr>
        <w:t>. „</w:t>
      </w:r>
      <w:r w:rsidR="00D62FEC" w:rsidRPr="00182A92">
        <w:rPr>
          <w:rFonts w:ascii="Arial" w:hAnsi="Arial" w:cs="Arial"/>
          <w:i/>
          <w:color w:val="000000"/>
          <w:sz w:val="21"/>
          <w:szCs w:val="21"/>
          <w:shd w:val="clear" w:color="auto" w:fill="FFFFFF"/>
        </w:rPr>
        <w:t>Pod</w:t>
      </w:r>
      <w:r w:rsidR="00216F2E" w:rsidRPr="00182A92">
        <w:rPr>
          <w:rFonts w:ascii="Arial" w:hAnsi="Arial" w:cs="Arial"/>
          <w:i/>
          <w:color w:val="000000"/>
          <w:sz w:val="21"/>
          <w:szCs w:val="21"/>
          <w:shd w:val="clear" w:color="auto" w:fill="FFFFFF"/>
        </w:rPr>
        <w:t>le nového guvernéra ČNB jsou již úrokové sazby na úrovni, která t</w:t>
      </w:r>
      <w:r w:rsidR="00996D72" w:rsidRPr="00182A92">
        <w:rPr>
          <w:rFonts w:ascii="Arial" w:hAnsi="Arial" w:cs="Arial"/>
          <w:i/>
          <w:color w:val="000000"/>
          <w:sz w:val="21"/>
          <w:szCs w:val="21"/>
          <w:shd w:val="clear" w:color="auto" w:fill="FFFFFF"/>
        </w:rPr>
        <w:t xml:space="preserve">lumí domácí poptávkové tlaky </w:t>
      </w:r>
      <w:r w:rsidR="00216F2E" w:rsidRPr="00182A92">
        <w:rPr>
          <w:rFonts w:ascii="Arial" w:hAnsi="Arial" w:cs="Arial"/>
          <w:i/>
          <w:color w:val="000000"/>
          <w:sz w:val="21"/>
          <w:szCs w:val="21"/>
          <w:shd w:val="clear" w:color="auto" w:fill="FFFFFF"/>
        </w:rPr>
        <w:t>a brzdí tak růst bankovních úvěrů</w:t>
      </w:r>
      <w:r w:rsidR="00216F2E" w:rsidRPr="00182A92">
        <w:rPr>
          <w:rFonts w:ascii="Arial" w:hAnsi="Arial" w:cs="Arial"/>
          <w:color w:val="000000"/>
          <w:sz w:val="21"/>
          <w:szCs w:val="21"/>
          <w:shd w:val="clear" w:color="auto" w:fill="FFFFFF"/>
        </w:rPr>
        <w:t>,“</w:t>
      </w:r>
      <w:r w:rsidR="00D62FEC" w:rsidRPr="00182A92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sděluje</w:t>
      </w:r>
      <w:r w:rsidR="00216F2E" w:rsidRPr="00182A92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216F2E" w:rsidRPr="00182A92">
        <w:rPr>
          <w:rFonts w:ascii="Arial" w:hAnsi="Arial" w:cs="Arial"/>
          <w:b/>
          <w:color w:val="000000"/>
          <w:sz w:val="21"/>
          <w:szCs w:val="21"/>
        </w:rPr>
        <w:t>Michaela Pud</w:t>
      </w:r>
      <w:r w:rsidR="00C83132">
        <w:rPr>
          <w:rFonts w:ascii="Arial" w:hAnsi="Arial" w:cs="Arial"/>
          <w:b/>
          <w:color w:val="000000"/>
          <w:sz w:val="21"/>
          <w:szCs w:val="21"/>
        </w:rPr>
        <w:t xml:space="preserve">ilová, analytička hypotečních </w:t>
      </w:r>
      <w:r w:rsidR="00D160DE" w:rsidRPr="00182A92">
        <w:rPr>
          <w:rFonts w:ascii="Arial" w:hAnsi="Arial" w:cs="Arial"/>
          <w:b/>
          <w:color w:val="000000"/>
          <w:sz w:val="21"/>
          <w:szCs w:val="21"/>
        </w:rPr>
        <w:t xml:space="preserve">a </w:t>
      </w:r>
      <w:r w:rsidR="00216F2E" w:rsidRPr="00182A92">
        <w:rPr>
          <w:rFonts w:ascii="Arial" w:hAnsi="Arial" w:cs="Arial"/>
          <w:b/>
          <w:color w:val="000000"/>
          <w:sz w:val="21"/>
          <w:szCs w:val="21"/>
        </w:rPr>
        <w:t xml:space="preserve">spotřebitelských úvěrů ze společnosti Broker </w:t>
      </w:r>
      <w:proofErr w:type="spellStart"/>
      <w:r w:rsidR="00216F2E" w:rsidRPr="00182A92">
        <w:rPr>
          <w:rFonts w:ascii="Arial" w:hAnsi="Arial" w:cs="Arial"/>
          <w:b/>
          <w:color w:val="000000"/>
          <w:sz w:val="21"/>
          <w:szCs w:val="21"/>
        </w:rPr>
        <w:t>Consulting</w:t>
      </w:r>
      <w:proofErr w:type="spellEnd"/>
      <w:r w:rsidR="00216F2E" w:rsidRPr="00182A92">
        <w:rPr>
          <w:rFonts w:ascii="Arial" w:hAnsi="Arial" w:cs="Arial"/>
          <w:color w:val="000000"/>
          <w:sz w:val="21"/>
          <w:szCs w:val="21"/>
        </w:rPr>
        <w:t>.</w:t>
      </w:r>
      <w:r w:rsidR="00D62FEC" w:rsidRPr="00182A92">
        <w:rPr>
          <w:rFonts w:ascii="Arial" w:hAnsi="Arial" w:cs="Arial"/>
          <w:color w:val="000000"/>
          <w:sz w:val="21"/>
          <w:szCs w:val="21"/>
        </w:rPr>
        <w:t xml:space="preserve"> V kontextu meziměsíčního růstu to ale ještě neznamená okamžité zastavení dalšího stoupaní úrokových sazeb směrem vzhůru, naopak už v srpnu experti na hypotéky přepokládali brzké překroče</w:t>
      </w:r>
      <w:r w:rsidR="002961B5" w:rsidRPr="00182A92">
        <w:rPr>
          <w:rFonts w:ascii="Arial" w:hAnsi="Arial" w:cs="Arial"/>
          <w:color w:val="000000"/>
          <w:sz w:val="21"/>
          <w:szCs w:val="21"/>
        </w:rPr>
        <w:t>ní šestiprocentní hranice a další mírný růst sazeb.</w:t>
      </w:r>
      <w:r w:rsidR="009E5B43" w:rsidRPr="00182A92">
        <w:rPr>
          <w:rFonts w:ascii="Arial" w:hAnsi="Arial" w:cs="Arial"/>
          <w:color w:val="000000"/>
          <w:sz w:val="21"/>
          <w:szCs w:val="21"/>
        </w:rPr>
        <w:t xml:space="preserve"> </w:t>
      </w:r>
    </w:p>
    <w:p w14:paraId="544356ED" w14:textId="2EA30A3D" w:rsidR="00E54A8E" w:rsidRPr="00182A92" w:rsidRDefault="00E54A8E" w:rsidP="00D160DE">
      <w:pPr>
        <w:jc w:val="both"/>
        <w:rPr>
          <w:rFonts w:ascii="Arial" w:hAnsi="Arial" w:cs="Arial"/>
          <w:color w:val="000000"/>
          <w:sz w:val="21"/>
          <w:szCs w:val="21"/>
        </w:rPr>
      </w:pPr>
    </w:p>
    <w:p w14:paraId="31C7E50D" w14:textId="586F90AF" w:rsidR="00E54A8E" w:rsidRPr="00182A92" w:rsidRDefault="00E54A8E" w:rsidP="00D160DE">
      <w:pPr>
        <w:jc w:val="both"/>
        <w:rPr>
          <w:rFonts w:ascii="Arial" w:hAnsi="Arial" w:cs="Arial"/>
          <w:color w:val="000000"/>
          <w:sz w:val="21"/>
          <w:szCs w:val="21"/>
        </w:rPr>
      </w:pPr>
      <w:r w:rsidRPr="00182A92">
        <w:rPr>
          <w:rFonts w:ascii="Arial" w:hAnsi="Arial" w:cs="Arial"/>
          <w:color w:val="000000"/>
          <w:sz w:val="21"/>
          <w:szCs w:val="21"/>
        </w:rPr>
        <w:t xml:space="preserve">Meziměsíčně došlo </w:t>
      </w:r>
      <w:r w:rsidR="00996D72" w:rsidRPr="00182A92">
        <w:rPr>
          <w:rFonts w:ascii="Arial" w:hAnsi="Arial" w:cs="Arial"/>
          <w:color w:val="000000"/>
          <w:sz w:val="21"/>
          <w:szCs w:val="21"/>
        </w:rPr>
        <w:t xml:space="preserve">opět </w:t>
      </w:r>
      <w:r w:rsidRPr="00182A92">
        <w:rPr>
          <w:rFonts w:ascii="Arial" w:hAnsi="Arial" w:cs="Arial"/>
          <w:color w:val="000000"/>
          <w:sz w:val="21"/>
          <w:szCs w:val="21"/>
        </w:rPr>
        <w:t>k</w:t>
      </w:r>
      <w:r w:rsidR="00303778" w:rsidRPr="00182A92">
        <w:rPr>
          <w:rFonts w:ascii="Arial" w:hAnsi="Arial" w:cs="Arial"/>
          <w:color w:val="000000"/>
          <w:sz w:val="21"/>
          <w:szCs w:val="21"/>
        </w:rPr>
        <w:t> mírnému navýšení</w:t>
      </w:r>
      <w:r w:rsidRPr="00182A92">
        <w:rPr>
          <w:rFonts w:ascii="Arial" w:hAnsi="Arial" w:cs="Arial"/>
          <w:color w:val="000000"/>
          <w:sz w:val="21"/>
          <w:szCs w:val="21"/>
        </w:rPr>
        <w:t xml:space="preserve"> </w:t>
      </w:r>
      <w:r w:rsidR="00A87B14" w:rsidRPr="00182A92">
        <w:rPr>
          <w:rFonts w:ascii="Arial" w:hAnsi="Arial" w:cs="Arial"/>
          <w:color w:val="000000"/>
          <w:sz w:val="21"/>
          <w:szCs w:val="21"/>
        </w:rPr>
        <w:t xml:space="preserve">úrokových sazeb, a to o 0,21 procentního bodu, vyplývá to z grafu dlouhodobě měřených hodnot Broker </w:t>
      </w:r>
      <w:proofErr w:type="spellStart"/>
      <w:r w:rsidR="00A87B14" w:rsidRPr="00182A92">
        <w:rPr>
          <w:rFonts w:ascii="Arial" w:hAnsi="Arial" w:cs="Arial"/>
          <w:color w:val="000000"/>
          <w:sz w:val="21"/>
          <w:szCs w:val="21"/>
        </w:rPr>
        <w:t>Consulting</w:t>
      </w:r>
      <w:proofErr w:type="spellEnd"/>
      <w:r w:rsidR="00A87B14" w:rsidRPr="00182A92">
        <w:rPr>
          <w:rFonts w:ascii="Arial" w:hAnsi="Arial" w:cs="Arial"/>
          <w:color w:val="000000"/>
          <w:sz w:val="21"/>
          <w:szCs w:val="21"/>
        </w:rPr>
        <w:t xml:space="preserve"> Indexu hypotečních úvěrů. Ten </w:t>
      </w:r>
      <w:r w:rsidR="00996D72" w:rsidRPr="00182A92">
        <w:rPr>
          <w:rFonts w:ascii="Arial" w:hAnsi="Arial" w:cs="Arial"/>
          <w:color w:val="000000"/>
          <w:sz w:val="21"/>
          <w:szCs w:val="21"/>
        </w:rPr>
        <w:t>se j</w:t>
      </w:r>
      <w:r w:rsidR="00A87B14" w:rsidRPr="00182A92">
        <w:rPr>
          <w:rFonts w:ascii="Arial" w:hAnsi="Arial" w:cs="Arial"/>
          <w:color w:val="000000"/>
          <w:sz w:val="21"/>
          <w:szCs w:val="21"/>
        </w:rPr>
        <w:t xml:space="preserve">eště </w:t>
      </w:r>
      <w:r w:rsidR="00996D72" w:rsidRPr="00182A92">
        <w:rPr>
          <w:rFonts w:ascii="Arial" w:hAnsi="Arial" w:cs="Arial"/>
          <w:color w:val="000000"/>
          <w:sz w:val="21"/>
          <w:szCs w:val="21"/>
        </w:rPr>
        <w:t xml:space="preserve">přitom </w:t>
      </w:r>
      <w:r w:rsidR="00A87B14" w:rsidRPr="00182A92">
        <w:rPr>
          <w:rFonts w:ascii="Arial" w:hAnsi="Arial" w:cs="Arial"/>
          <w:color w:val="000000"/>
          <w:sz w:val="21"/>
          <w:szCs w:val="21"/>
        </w:rPr>
        <w:t>n</w:t>
      </w:r>
      <w:r w:rsidR="00996D72" w:rsidRPr="00182A92">
        <w:rPr>
          <w:rFonts w:ascii="Arial" w:hAnsi="Arial" w:cs="Arial"/>
          <w:color w:val="000000"/>
          <w:sz w:val="21"/>
          <w:szCs w:val="21"/>
        </w:rPr>
        <w:t>a</w:t>
      </w:r>
      <w:r w:rsidR="00303778" w:rsidRPr="00182A92">
        <w:rPr>
          <w:rFonts w:ascii="Arial" w:hAnsi="Arial" w:cs="Arial"/>
          <w:color w:val="000000"/>
          <w:sz w:val="21"/>
          <w:szCs w:val="21"/>
        </w:rPr>
        <w:t xml:space="preserve"> začátku tohoto roku pohyboval pod hranicí čtyř procent. Podle </w:t>
      </w:r>
      <w:r w:rsidR="00D30074" w:rsidRPr="00182A92">
        <w:rPr>
          <w:rFonts w:ascii="Arial" w:hAnsi="Arial" w:cs="Arial"/>
          <w:color w:val="000000"/>
          <w:sz w:val="21"/>
          <w:szCs w:val="21"/>
        </w:rPr>
        <w:t>expertů na úvěry</w:t>
      </w:r>
      <w:r w:rsidR="002A498A" w:rsidRPr="00182A92">
        <w:rPr>
          <w:rFonts w:ascii="Arial" w:hAnsi="Arial" w:cs="Arial"/>
          <w:color w:val="000000"/>
          <w:sz w:val="21"/>
          <w:szCs w:val="21"/>
        </w:rPr>
        <w:t xml:space="preserve"> se dá </w:t>
      </w:r>
      <w:r w:rsidR="00994B64">
        <w:rPr>
          <w:rFonts w:ascii="Arial" w:hAnsi="Arial" w:cs="Arial"/>
          <w:color w:val="000000"/>
          <w:sz w:val="21"/>
          <w:szCs w:val="21"/>
        </w:rPr>
        <w:t>závěrem roku</w:t>
      </w:r>
      <w:r w:rsidR="002A498A" w:rsidRPr="00182A92">
        <w:rPr>
          <w:rFonts w:ascii="Arial" w:hAnsi="Arial" w:cs="Arial"/>
          <w:color w:val="000000"/>
          <w:sz w:val="21"/>
          <w:szCs w:val="21"/>
        </w:rPr>
        <w:t xml:space="preserve"> očekávat stagnace </w:t>
      </w:r>
      <w:r w:rsidR="000D4AFB" w:rsidRPr="00182A92">
        <w:rPr>
          <w:rFonts w:ascii="Arial" w:hAnsi="Arial" w:cs="Arial"/>
          <w:color w:val="000000"/>
          <w:sz w:val="21"/>
          <w:szCs w:val="21"/>
        </w:rPr>
        <w:t xml:space="preserve">úrokových </w:t>
      </w:r>
      <w:r w:rsidR="002A498A" w:rsidRPr="00182A92">
        <w:rPr>
          <w:rFonts w:ascii="Arial" w:hAnsi="Arial" w:cs="Arial"/>
          <w:color w:val="000000"/>
          <w:sz w:val="21"/>
          <w:szCs w:val="21"/>
        </w:rPr>
        <w:t xml:space="preserve">sazeb. </w:t>
      </w:r>
    </w:p>
    <w:p w14:paraId="1F24122E" w14:textId="6C4DFF06" w:rsidR="00203BD4" w:rsidRPr="00182A92" w:rsidRDefault="00203BD4" w:rsidP="00D160DE">
      <w:pPr>
        <w:jc w:val="both"/>
        <w:rPr>
          <w:rFonts w:ascii="Arial" w:hAnsi="Arial" w:cs="Arial"/>
          <w:color w:val="000000"/>
          <w:sz w:val="21"/>
          <w:szCs w:val="21"/>
        </w:rPr>
      </w:pPr>
    </w:p>
    <w:p w14:paraId="5BEB6248" w14:textId="40323B6E" w:rsidR="00203BD4" w:rsidRPr="00182A92" w:rsidRDefault="00203BD4" w:rsidP="00F36BA0">
      <w:pPr>
        <w:jc w:val="both"/>
        <w:rPr>
          <w:rFonts w:ascii="Arial" w:eastAsiaTheme="minorHAnsi" w:hAnsi="Arial" w:cs="Arial"/>
          <w:sz w:val="21"/>
          <w:szCs w:val="21"/>
          <w:lang w:bidi="ar-SA"/>
        </w:rPr>
      </w:pPr>
      <w:r w:rsidRPr="00182A92">
        <w:rPr>
          <w:rFonts w:ascii="Arial" w:hAnsi="Arial" w:cs="Arial"/>
          <w:sz w:val="21"/>
          <w:szCs w:val="21"/>
        </w:rPr>
        <w:t xml:space="preserve">Předstihový ukazatel Broker </w:t>
      </w:r>
      <w:proofErr w:type="spellStart"/>
      <w:r w:rsidRPr="00182A92">
        <w:rPr>
          <w:rFonts w:ascii="Arial" w:hAnsi="Arial" w:cs="Arial"/>
          <w:sz w:val="21"/>
          <w:szCs w:val="21"/>
        </w:rPr>
        <w:t>Consulting</w:t>
      </w:r>
      <w:proofErr w:type="spellEnd"/>
      <w:r w:rsidRPr="00182A92">
        <w:rPr>
          <w:rFonts w:ascii="Arial" w:hAnsi="Arial" w:cs="Arial"/>
          <w:sz w:val="21"/>
          <w:szCs w:val="21"/>
        </w:rPr>
        <w:t xml:space="preserve"> Indexu hypotečních úvěrů, který je vytvořen z nabídkových sazeb většiny bank, vykazuje na září hodnotu </w:t>
      </w:r>
      <w:r w:rsidRPr="00182A92">
        <w:rPr>
          <w:rFonts w:ascii="Arial" w:hAnsi="Arial" w:cs="Arial"/>
          <w:b/>
          <w:sz w:val="21"/>
          <w:szCs w:val="21"/>
        </w:rPr>
        <w:t>6,17 %</w:t>
      </w:r>
      <w:r w:rsidRPr="00182A92">
        <w:rPr>
          <w:rFonts w:ascii="Arial" w:hAnsi="Arial" w:cs="Arial"/>
          <w:sz w:val="21"/>
          <w:szCs w:val="21"/>
        </w:rPr>
        <w:t xml:space="preserve"> pro pětiletou fixaci. V aktuálním </w:t>
      </w:r>
      <w:r w:rsidR="00CC3D3D" w:rsidRPr="00182A92">
        <w:rPr>
          <w:rFonts w:ascii="Arial" w:hAnsi="Arial" w:cs="Arial"/>
          <w:sz w:val="21"/>
          <w:szCs w:val="21"/>
        </w:rPr>
        <w:t>měsíci se t</w:t>
      </w:r>
      <w:r w:rsidR="00F36BA0" w:rsidRPr="00182A92">
        <w:rPr>
          <w:rFonts w:ascii="Arial" w:hAnsi="Arial" w:cs="Arial"/>
          <w:sz w:val="21"/>
          <w:szCs w:val="21"/>
        </w:rPr>
        <w:t>ak budou reálně poskytovat hypoteční úvěry v blízkosti uvedené úrokové sazby</w:t>
      </w:r>
      <w:r w:rsidR="00CC3D3D" w:rsidRPr="00182A92">
        <w:rPr>
          <w:rFonts w:ascii="Arial" w:hAnsi="Arial" w:cs="Arial"/>
          <w:sz w:val="21"/>
          <w:szCs w:val="21"/>
        </w:rPr>
        <w:t xml:space="preserve">. </w:t>
      </w:r>
      <w:r w:rsidR="00F36BA0" w:rsidRPr="00182A92">
        <w:rPr>
          <w:rFonts w:ascii="Arial" w:hAnsi="Arial" w:cs="Arial"/>
          <w:sz w:val="21"/>
          <w:szCs w:val="21"/>
        </w:rPr>
        <w:t>Vzhledem k pokračování trendu růstu sazeb reaguje ukazatel na proměnlivou situaci a zprostředkovává měsíční predikci reálné výše</w:t>
      </w:r>
      <w:r w:rsidR="00182A92">
        <w:rPr>
          <w:rFonts w:ascii="Arial" w:hAnsi="Arial" w:cs="Arial"/>
          <w:sz w:val="21"/>
          <w:szCs w:val="21"/>
        </w:rPr>
        <w:t xml:space="preserve"> nabízených</w:t>
      </w:r>
      <w:r w:rsidR="00F36BA0" w:rsidRPr="00182A92">
        <w:rPr>
          <w:rFonts w:ascii="Arial" w:hAnsi="Arial" w:cs="Arial"/>
          <w:sz w:val="21"/>
          <w:szCs w:val="21"/>
        </w:rPr>
        <w:t xml:space="preserve"> sazeb.</w:t>
      </w:r>
    </w:p>
    <w:p w14:paraId="2C8A9190" w14:textId="4A3BB429" w:rsidR="002E6DB6" w:rsidRPr="00182A92" w:rsidRDefault="002E6DB6" w:rsidP="00216F2E">
      <w:pPr>
        <w:jc w:val="both"/>
        <w:rPr>
          <w:rFonts w:ascii="Arial" w:hAnsi="Arial" w:cs="Arial"/>
          <w:color w:val="000000"/>
          <w:sz w:val="21"/>
          <w:szCs w:val="21"/>
        </w:rPr>
      </w:pPr>
    </w:p>
    <w:p w14:paraId="7353A83E" w14:textId="4B9BB12D" w:rsidR="00216F2E" w:rsidRPr="00182A92" w:rsidRDefault="0025183C" w:rsidP="00E54A8E">
      <w:pPr>
        <w:jc w:val="both"/>
        <w:rPr>
          <w:rFonts w:ascii="Arial" w:hAnsi="Arial" w:cs="Arial"/>
          <w:color w:val="000000"/>
          <w:sz w:val="21"/>
          <w:szCs w:val="21"/>
        </w:rPr>
      </w:pPr>
      <w:r w:rsidRPr="00182A92">
        <w:rPr>
          <w:rFonts w:ascii="Arial" w:hAnsi="Arial" w:cs="Arial"/>
          <w:color w:val="000000"/>
          <w:sz w:val="21"/>
          <w:szCs w:val="21"/>
        </w:rPr>
        <w:t>U fixace úrokových sazeb hypotečních úvěrů se opět potvr</w:t>
      </w:r>
      <w:r w:rsidR="00D53C47" w:rsidRPr="00182A92">
        <w:rPr>
          <w:rFonts w:ascii="Arial" w:hAnsi="Arial" w:cs="Arial"/>
          <w:color w:val="000000"/>
          <w:sz w:val="21"/>
          <w:szCs w:val="21"/>
        </w:rPr>
        <w:t>dila zřejmá preference</w:t>
      </w:r>
      <w:r w:rsidRPr="00182A92">
        <w:rPr>
          <w:rFonts w:ascii="Arial" w:hAnsi="Arial" w:cs="Arial"/>
          <w:color w:val="000000"/>
          <w:sz w:val="21"/>
          <w:szCs w:val="21"/>
        </w:rPr>
        <w:t xml:space="preserve"> 5 letých</w:t>
      </w:r>
      <w:r w:rsidR="00D53C47" w:rsidRPr="00182A92">
        <w:rPr>
          <w:rFonts w:ascii="Arial" w:hAnsi="Arial" w:cs="Arial"/>
          <w:color w:val="000000"/>
          <w:sz w:val="21"/>
          <w:szCs w:val="21"/>
        </w:rPr>
        <w:t xml:space="preserve"> období, </w:t>
      </w:r>
      <w:r w:rsidR="00D65C4E" w:rsidRPr="00182A92">
        <w:rPr>
          <w:rFonts w:ascii="Arial" w:hAnsi="Arial" w:cs="Arial"/>
          <w:color w:val="000000"/>
          <w:sz w:val="21"/>
          <w:szCs w:val="21"/>
        </w:rPr>
        <w:t xml:space="preserve">jež </w:t>
      </w:r>
      <w:r w:rsidR="00D53C47" w:rsidRPr="00182A92">
        <w:rPr>
          <w:rFonts w:ascii="Arial" w:hAnsi="Arial" w:cs="Arial"/>
          <w:color w:val="000000"/>
          <w:sz w:val="21"/>
          <w:szCs w:val="21"/>
        </w:rPr>
        <w:t xml:space="preserve">klienti volí více než v polovině případů. </w:t>
      </w:r>
      <w:r w:rsidRPr="00182A92">
        <w:rPr>
          <w:rFonts w:ascii="Arial" w:hAnsi="Arial" w:cs="Arial"/>
          <w:color w:val="000000"/>
          <w:sz w:val="21"/>
          <w:szCs w:val="21"/>
        </w:rPr>
        <w:t xml:space="preserve"> </w:t>
      </w:r>
      <w:r w:rsidR="00D53C47" w:rsidRPr="00182A92">
        <w:rPr>
          <w:rFonts w:ascii="Arial" w:hAnsi="Arial" w:cs="Arial"/>
          <w:color w:val="000000"/>
          <w:sz w:val="21"/>
          <w:szCs w:val="21"/>
        </w:rPr>
        <w:t>Stále je evidentní i snaha o delší „zmrazení“ úvěrů</w:t>
      </w:r>
      <w:r w:rsidR="002717C9" w:rsidRPr="00182A92">
        <w:rPr>
          <w:rFonts w:ascii="Arial" w:hAnsi="Arial" w:cs="Arial"/>
          <w:color w:val="000000"/>
          <w:sz w:val="21"/>
          <w:szCs w:val="21"/>
        </w:rPr>
        <w:t>, a to</w:t>
      </w:r>
      <w:r w:rsidR="00E54A8E" w:rsidRPr="00182A92">
        <w:rPr>
          <w:rFonts w:ascii="Arial" w:hAnsi="Arial" w:cs="Arial"/>
          <w:color w:val="000000"/>
          <w:sz w:val="21"/>
          <w:szCs w:val="21"/>
        </w:rPr>
        <w:t xml:space="preserve"> ve formě </w:t>
      </w:r>
      <w:r w:rsidR="00D53C47" w:rsidRPr="00182A92">
        <w:rPr>
          <w:rFonts w:ascii="Arial" w:hAnsi="Arial" w:cs="Arial"/>
          <w:color w:val="000000"/>
          <w:sz w:val="21"/>
          <w:szCs w:val="21"/>
        </w:rPr>
        <w:t>sedm</w:t>
      </w:r>
      <w:r w:rsidR="002717C9" w:rsidRPr="00182A92">
        <w:rPr>
          <w:rFonts w:ascii="Arial" w:hAnsi="Arial" w:cs="Arial"/>
          <w:color w:val="000000"/>
          <w:sz w:val="21"/>
          <w:szCs w:val="21"/>
        </w:rPr>
        <w:t>i</w:t>
      </w:r>
      <w:r w:rsidR="00D53C47" w:rsidRPr="00182A92">
        <w:rPr>
          <w:rFonts w:ascii="Arial" w:hAnsi="Arial" w:cs="Arial"/>
          <w:color w:val="000000"/>
          <w:sz w:val="21"/>
          <w:szCs w:val="21"/>
        </w:rPr>
        <w:t xml:space="preserve"> nebo osm</w:t>
      </w:r>
      <w:r w:rsidR="002717C9" w:rsidRPr="00182A92">
        <w:rPr>
          <w:rFonts w:ascii="Arial" w:hAnsi="Arial" w:cs="Arial"/>
          <w:color w:val="000000"/>
          <w:sz w:val="21"/>
          <w:szCs w:val="21"/>
        </w:rPr>
        <w:t>iletých fixací</w:t>
      </w:r>
      <w:r w:rsidR="00D53C47" w:rsidRPr="00182A92">
        <w:rPr>
          <w:rFonts w:ascii="Arial" w:hAnsi="Arial" w:cs="Arial"/>
          <w:color w:val="000000"/>
          <w:sz w:val="21"/>
          <w:szCs w:val="21"/>
        </w:rPr>
        <w:t xml:space="preserve">. </w:t>
      </w:r>
      <w:r w:rsidR="002717C9" w:rsidRPr="00182A92">
        <w:rPr>
          <w:rFonts w:ascii="Arial" w:hAnsi="Arial" w:cs="Arial"/>
          <w:color w:val="000000"/>
          <w:sz w:val="21"/>
          <w:szCs w:val="21"/>
        </w:rPr>
        <w:t>Ty</w:t>
      </w:r>
      <w:r w:rsidR="00D53C47" w:rsidRPr="00182A92">
        <w:rPr>
          <w:rFonts w:ascii="Arial" w:hAnsi="Arial" w:cs="Arial"/>
          <w:color w:val="000000"/>
          <w:sz w:val="21"/>
          <w:szCs w:val="21"/>
        </w:rPr>
        <w:t xml:space="preserve"> klienti preferují až ve čtvrtině případů. „</w:t>
      </w:r>
      <w:r w:rsidR="00D53C47" w:rsidRPr="00182A92">
        <w:rPr>
          <w:rFonts w:ascii="Arial" w:hAnsi="Arial" w:cs="Arial"/>
          <w:i/>
          <w:color w:val="000000"/>
          <w:sz w:val="21"/>
          <w:szCs w:val="21"/>
        </w:rPr>
        <w:t xml:space="preserve">13 procent klientů dokonce stále preferuje 10leté fixace </w:t>
      </w:r>
      <w:r w:rsidR="002717C9" w:rsidRPr="00182A92">
        <w:rPr>
          <w:rFonts w:ascii="Arial" w:hAnsi="Arial" w:cs="Arial"/>
          <w:i/>
          <w:color w:val="000000"/>
          <w:sz w:val="21"/>
          <w:szCs w:val="21"/>
        </w:rPr>
        <w:t xml:space="preserve">v rámci </w:t>
      </w:r>
      <w:proofErr w:type="spellStart"/>
      <w:r w:rsidR="002717C9" w:rsidRPr="00182A92">
        <w:rPr>
          <w:rFonts w:ascii="Arial" w:hAnsi="Arial" w:cs="Arial"/>
          <w:i/>
          <w:color w:val="000000"/>
          <w:sz w:val="21"/>
          <w:szCs w:val="21"/>
        </w:rPr>
        <w:t>refixací</w:t>
      </w:r>
      <w:proofErr w:type="spellEnd"/>
      <w:r w:rsidR="002717C9" w:rsidRPr="00182A92">
        <w:rPr>
          <w:rFonts w:ascii="Arial" w:hAnsi="Arial" w:cs="Arial"/>
          <w:i/>
          <w:color w:val="000000"/>
          <w:sz w:val="21"/>
          <w:szCs w:val="21"/>
        </w:rPr>
        <w:t xml:space="preserve"> stávajících</w:t>
      </w:r>
      <w:r w:rsidR="00D53C47" w:rsidRPr="00182A92">
        <w:rPr>
          <w:rFonts w:ascii="Arial" w:hAnsi="Arial" w:cs="Arial"/>
          <w:i/>
          <w:color w:val="000000"/>
          <w:sz w:val="21"/>
          <w:szCs w:val="21"/>
        </w:rPr>
        <w:t xml:space="preserve"> hypoték</w:t>
      </w:r>
      <w:r w:rsidR="009B0CA9">
        <w:rPr>
          <w:rFonts w:ascii="Arial" w:hAnsi="Arial" w:cs="Arial"/>
          <w:color w:val="000000"/>
          <w:sz w:val="21"/>
          <w:szCs w:val="21"/>
        </w:rPr>
        <w:t>,“ uv</w:t>
      </w:r>
      <w:r w:rsidR="00C83132">
        <w:rPr>
          <w:rFonts w:ascii="Arial" w:hAnsi="Arial" w:cs="Arial"/>
          <w:color w:val="000000"/>
          <w:sz w:val="21"/>
          <w:szCs w:val="21"/>
        </w:rPr>
        <w:t>ádí</w:t>
      </w:r>
      <w:r w:rsidR="00D53C47" w:rsidRPr="00182A92">
        <w:rPr>
          <w:rFonts w:ascii="Arial" w:hAnsi="Arial" w:cs="Arial"/>
          <w:color w:val="000000"/>
          <w:sz w:val="21"/>
          <w:szCs w:val="21"/>
        </w:rPr>
        <w:t xml:space="preserve"> </w:t>
      </w:r>
      <w:r w:rsidR="00D53C47" w:rsidRPr="00182A92">
        <w:rPr>
          <w:rFonts w:ascii="Arial" w:hAnsi="Arial" w:cs="Arial"/>
          <w:b/>
          <w:color w:val="000000"/>
          <w:sz w:val="21"/>
          <w:szCs w:val="21"/>
        </w:rPr>
        <w:t>Michaela Pudilová</w:t>
      </w:r>
      <w:r w:rsidR="00D53C47" w:rsidRPr="00182A92">
        <w:rPr>
          <w:rFonts w:ascii="Arial" w:hAnsi="Arial" w:cs="Arial"/>
          <w:color w:val="000000"/>
          <w:sz w:val="21"/>
          <w:szCs w:val="21"/>
        </w:rPr>
        <w:t>.</w:t>
      </w:r>
      <w:r w:rsidR="00E54A8E" w:rsidRPr="00182A92">
        <w:rPr>
          <w:rFonts w:ascii="Arial" w:hAnsi="Arial" w:cs="Arial"/>
          <w:color w:val="000000"/>
          <w:sz w:val="21"/>
          <w:szCs w:val="21"/>
        </w:rPr>
        <w:t xml:space="preserve"> Ta ale druhým dechem dodává, že takové rozhodnutí klientům nedoporučuje</w:t>
      </w:r>
      <w:r w:rsidR="009B0CA9">
        <w:rPr>
          <w:rFonts w:ascii="Arial" w:hAnsi="Arial" w:cs="Arial"/>
          <w:color w:val="000000"/>
          <w:sz w:val="21"/>
          <w:szCs w:val="21"/>
        </w:rPr>
        <w:t>. V</w:t>
      </w:r>
      <w:r w:rsidR="00E54A8E" w:rsidRPr="00182A92">
        <w:rPr>
          <w:rFonts w:ascii="Arial" w:hAnsi="Arial" w:cs="Arial"/>
          <w:color w:val="000000"/>
          <w:sz w:val="21"/>
          <w:szCs w:val="21"/>
        </w:rPr>
        <w:t xml:space="preserve"> horizontu deseti let </w:t>
      </w:r>
      <w:r w:rsidR="00BD4EBD">
        <w:rPr>
          <w:rFonts w:ascii="Arial" w:hAnsi="Arial" w:cs="Arial"/>
          <w:color w:val="000000"/>
          <w:sz w:val="21"/>
          <w:szCs w:val="21"/>
        </w:rPr>
        <w:t>dojde k dalšímu vývoji</w:t>
      </w:r>
      <w:r w:rsidR="002717C9" w:rsidRPr="00182A92">
        <w:rPr>
          <w:rFonts w:ascii="Arial" w:hAnsi="Arial" w:cs="Arial"/>
          <w:color w:val="000000"/>
          <w:sz w:val="21"/>
          <w:szCs w:val="21"/>
        </w:rPr>
        <w:t xml:space="preserve"> </w:t>
      </w:r>
      <w:r w:rsidR="00BD4EBD">
        <w:rPr>
          <w:rFonts w:ascii="Arial" w:hAnsi="Arial" w:cs="Arial"/>
          <w:color w:val="000000"/>
          <w:sz w:val="21"/>
          <w:szCs w:val="21"/>
        </w:rPr>
        <w:t xml:space="preserve">sazeb </w:t>
      </w:r>
      <w:r w:rsidR="002717C9" w:rsidRPr="00182A92">
        <w:rPr>
          <w:rFonts w:ascii="Arial" w:hAnsi="Arial" w:cs="Arial"/>
          <w:color w:val="000000"/>
          <w:sz w:val="21"/>
          <w:szCs w:val="21"/>
        </w:rPr>
        <w:t xml:space="preserve">a </w:t>
      </w:r>
      <w:r w:rsidR="00A87B14" w:rsidRPr="00182A92">
        <w:rPr>
          <w:rFonts w:ascii="Arial" w:hAnsi="Arial" w:cs="Arial"/>
          <w:color w:val="000000"/>
          <w:sz w:val="21"/>
          <w:szCs w:val="21"/>
        </w:rPr>
        <w:t>nabízená</w:t>
      </w:r>
      <w:r w:rsidR="00E54A8E" w:rsidRPr="00182A92">
        <w:rPr>
          <w:rFonts w:ascii="Arial" w:hAnsi="Arial" w:cs="Arial"/>
          <w:color w:val="000000"/>
          <w:sz w:val="21"/>
          <w:szCs w:val="21"/>
        </w:rPr>
        <w:t xml:space="preserve"> výše úroků </w:t>
      </w:r>
      <w:r w:rsidR="002717C9" w:rsidRPr="00182A92">
        <w:rPr>
          <w:rFonts w:ascii="Arial" w:hAnsi="Arial" w:cs="Arial"/>
          <w:color w:val="000000"/>
          <w:sz w:val="21"/>
          <w:szCs w:val="21"/>
        </w:rPr>
        <w:t>se</w:t>
      </w:r>
      <w:r w:rsidR="00BD4EBD">
        <w:rPr>
          <w:rFonts w:ascii="Arial" w:hAnsi="Arial" w:cs="Arial"/>
          <w:color w:val="000000"/>
          <w:sz w:val="21"/>
          <w:szCs w:val="21"/>
        </w:rPr>
        <w:t xml:space="preserve"> velmi pravděpodobně</w:t>
      </w:r>
      <w:r w:rsidR="002717C9" w:rsidRPr="00182A92">
        <w:rPr>
          <w:rFonts w:ascii="Arial" w:hAnsi="Arial" w:cs="Arial"/>
          <w:color w:val="000000"/>
          <w:sz w:val="21"/>
          <w:szCs w:val="21"/>
        </w:rPr>
        <w:t xml:space="preserve"> během této doby </w:t>
      </w:r>
      <w:r w:rsidR="004B6AF3" w:rsidRPr="00182A92">
        <w:rPr>
          <w:rFonts w:ascii="Arial" w:hAnsi="Arial" w:cs="Arial"/>
          <w:color w:val="000000"/>
          <w:sz w:val="21"/>
          <w:szCs w:val="21"/>
        </w:rPr>
        <w:t xml:space="preserve">změní. Hypotéka se tak může klientům s touto preferencí paradoxně v budoucnu výrazně prodražit. </w:t>
      </w:r>
    </w:p>
    <w:p w14:paraId="3C3C3BA6" w14:textId="09861AA1" w:rsidR="00C81DF4" w:rsidRPr="00492941" w:rsidRDefault="00C81DF4" w:rsidP="00C81DF4">
      <w:pPr>
        <w:jc w:val="both"/>
        <w:rPr>
          <w:rStyle w:val="Zdraznn"/>
          <w:rFonts w:ascii="Arial" w:hAnsi="Arial" w:cs="Arial"/>
          <w:i w:val="0"/>
          <w:iCs w:val="0"/>
          <w:sz w:val="20"/>
          <w:szCs w:val="20"/>
          <w:lang w:eastAsia="en-US"/>
        </w:rPr>
      </w:pPr>
    </w:p>
    <w:p w14:paraId="13CE711F" w14:textId="57755CD5" w:rsidR="00A74A1E" w:rsidRPr="00492941" w:rsidRDefault="00A74A1E" w:rsidP="00F22A26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48B4F4DA" w14:textId="63EA691D" w:rsidR="00651B79" w:rsidRDefault="00651B79" w:rsidP="001B7936">
      <w:pPr>
        <w:jc w:val="both"/>
        <w:rPr>
          <w:rFonts w:ascii="Arial" w:hAnsi="Arial" w:cs="Arial"/>
          <w:sz w:val="20"/>
          <w:szCs w:val="20"/>
        </w:rPr>
      </w:pPr>
    </w:p>
    <w:p w14:paraId="32CF5D72" w14:textId="156430E9" w:rsidR="00651B79" w:rsidRDefault="00FE3E09" w:rsidP="00654F8C">
      <w:pPr>
        <w:rPr>
          <w:rFonts w:ascii="Arial" w:hAnsi="Arial" w:cs="Arial"/>
          <w:sz w:val="20"/>
          <w:szCs w:val="20"/>
        </w:rPr>
      </w:pPr>
      <w:r w:rsidRPr="00FE3E09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13E94072" wp14:editId="24ECA191">
            <wp:extent cx="6635750" cy="271018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7F495" w14:textId="77777777" w:rsidR="00C42CA5" w:rsidRPr="00651B79" w:rsidRDefault="00C42CA5" w:rsidP="001B7936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742D8034" w14:textId="3FB5068E" w:rsidR="00AB4842" w:rsidRPr="009345C9" w:rsidRDefault="00654F8C" w:rsidP="00092BB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br/>
      </w:r>
      <w:r w:rsidR="00C42CA5" w:rsidRPr="009345C9">
        <w:rPr>
          <w:rFonts w:ascii="Arial" w:hAnsi="Arial" w:cs="Arial"/>
          <w:sz w:val="20"/>
          <w:szCs w:val="20"/>
        </w:rPr>
        <w:t xml:space="preserve">Broker </w:t>
      </w:r>
      <w:proofErr w:type="spellStart"/>
      <w:r w:rsidR="00C42CA5" w:rsidRPr="009345C9">
        <w:rPr>
          <w:rFonts w:ascii="Arial" w:hAnsi="Arial" w:cs="Arial"/>
          <w:sz w:val="20"/>
          <w:szCs w:val="20"/>
        </w:rPr>
        <w:t>Consulting</w:t>
      </w:r>
      <w:proofErr w:type="spellEnd"/>
      <w:r w:rsidR="00C42CA5" w:rsidRPr="009345C9">
        <w:rPr>
          <w:rFonts w:ascii="Arial" w:hAnsi="Arial" w:cs="Arial"/>
          <w:sz w:val="20"/>
          <w:szCs w:val="20"/>
        </w:rPr>
        <w:t xml:space="preserve"> Index hypotečních úvěrů je analytický nástroj</w:t>
      </w:r>
      <w:r w:rsidR="00113603" w:rsidRPr="009345C9">
        <w:rPr>
          <w:rFonts w:ascii="Arial" w:hAnsi="Arial" w:cs="Arial"/>
          <w:sz w:val="20"/>
          <w:szCs w:val="20"/>
        </w:rPr>
        <w:t xml:space="preserve"> znázorňující</w:t>
      </w:r>
      <w:r w:rsidR="00C42CA5" w:rsidRPr="009345C9">
        <w:rPr>
          <w:rFonts w:ascii="Arial" w:hAnsi="Arial" w:cs="Arial"/>
          <w:sz w:val="20"/>
          <w:szCs w:val="20"/>
        </w:rPr>
        <w:t xml:space="preserve"> průměrnou úrokovou sazbu u hypotečních úvěrů, </w:t>
      </w:r>
      <w:r w:rsidR="00113603" w:rsidRPr="009345C9">
        <w:rPr>
          <w:rFonts w:ascii="Arial" w:hAnsi="Arial" w:cs="Arial"/>
          <w:sz w:val="20"/>
          <w:szCs w:val="20"/>
        </w:rPr>
        <w:t>které</w:t>
      </w:r>
      <w:r w:rsidR="00C42CA5" w:rsidRPr="009345C9">
        <w:rPr>
          <w:rFonts w:ascii="Arial" w:hAnsi="Arial" w:cs="Arial"/>
          <w:sz w:val="20"/>
          <w:szCs w:val="20"/>
        </w:rPr>
        <w:t xml:space="preserve"> zprostředkovali konzultanti Broker </w:t>
      </w:r>
      <w:proofErr w:type="spellStart"/>
      <w:r w:rsidR="00C42CA5" w:rsidRPr="009345C9">
        <w:rPr>
          <w:rFonts w:ascii="Arial" w:hAnsi="Arial" w:cs="Arial"/>
          <w:sz w:val="20"/>
          <w:szCs w:val="20"/>
        </w:rPr>
        <w:t>Consulting</w:t>
      </w:r>
      <w:proofErr w:type="spellEnd"/>
      <w:r w:rsidR="00C42CA5" w:rsidRPr="009345C9">
        <w:rPr>
          <w:rFonts w:ascii="Arial" w:hAnsi="Arial" w:cs="Arial"/>
          <w:sz w:val="20"/>
          <w:szCs w:val="20"/>
        </w:rPr>
        <w:t xml:space="preserve"> a pobočky OK POINT u kteréhokoli poskytovatele hypotečních úvěrů. Jedná se o vážený aritmetický průměr, kdy hlavní vahou je objem úvěru. Tedy čím vyšší úvěr, tím jeho sazba </w:t>
      </w:r>
      <w:r w:rsidR="00113603" w:rsidRPr="009345C9">
        <w:rPr>
          <w:rFonts w:ascii="Arial" w:hAnsi="Arial" w:cs="Arial"/>
          <w:sz w:val="20"/>
          <w:szCs w:val="20"/>
        </w:rPr>
        <w:t xml:space="preserve">vstupuje </w:t>
      </w:r>
      <w:r w:rsidR="00C42CA5" w:rsidRPr="009345C9">
        <w:rPr>
          <w:rFonts w:ascii="Arial" w:hAnsi="Arial" w:cs="Arial"/>
          <w:sz w:val="20"/>
          <w:szCs w:val="20"/>
        </w:rPr>
        <w:t xml:space="preserve">do indexu větší vahou. </w:t>
      </w:r>
      <w:r w:rsidR="00C42CA5" w:rsidRPr="009345C9">
        <w:rPr>
          <w:rFonts w:ascii="Arial" w:hAnsi="Arial" w:cs="Arial"/>
          <w:b/>
          <w:sz w:val="20"/>
          <w:szCs w:val="20"/>
        </w:rPr>
        <w:t xml:space="preserve">Výhodou metody výpočtu </w:t>
      </w:r>
      <w:r w:rsidR="00C7532A" w:rsidRPr="009345C9">
        <w:rPr>
          <w:rFonts w:ascii="Arial" w:hAnsi="Arial" w:cs="Arial"/>
          <w:b/>
          <w:sz w:val="20"/>
          <w:szCs w:val="20"/>
        </w:rPr>
        <w:t xml:space="preserve">indexu </w:t>
      </w:r>
      <w:r w:rsidR="00C42CA5" w:rsidRPr="009345C9">
        <w:rPr>
          <w:rFonts w:ascii="Arial" w:hAnsi="Arial" w:cs="Arial"/>
          <w:b/>
          <w:sz w:val="20"/>
          <w:szCs w:val="20"/>
        </w:rPr>
        <w:t>je skutečnost, že se do statistiky dostávají pouze skutečně schválené úvěry, a to bez výjimky všechny.</w:t>
      </w:r>
      <w:r w:rsidR="00C42CA5" w:rsidRPr="009345C9">
        <w:rPr>
          <w:rFonts w:ascii="Arial" w:hAnsi="Arial" w:cs="Arial"/>
          <w:sz w:val="20"/>
          <w:szCs w:val="20"/>
        </w:rPr>
        <w:t xml:space="preserve"> Nemůže tak dojít ke zkreslení informací </w:t>
      </w:r>
      <w:r w:rsidR="009A544A">
        <w:rPr>
          <w:rFonts w:ascii="Arial" w:hAnsi="Arial" w:cs="Arial"/>
          <w:sz w:val="20"/>
          <w:szCs w:val="20"/>
        </w:rPr>
        <w:br/>
      </w:r>
      <w:r w:rsidR="00C42CA5" w:rsidRPr="009345C9">
        <w:rPr>
          <w:rFonts w:ascii="Arial" w:hAnsi="Arial" w:cs="Arial"/>
          <w:sz w:val="20"/>
          <w:szCs w:val="20"/>
        </w:rPr>
        <w:t xml:space="preserve">a index není závislý na dodávkách třetích stran. </w:t>
      </w:r>
    </w:p>
    <w:p w14:paraId="06153168" w14:textId="741061EE" w:rsidR="00236A37" w:rsidRPr="009345C9" w:rsidRDefault="00236A37" w:rsidP="00B479EB"/>
    <w:p w14:paraId="464B118E" w14:textId="44DD1807" w:rsidR="00C42CA5" w:rsidRDefault="00C42CA5" w:rsidP="009345C9">
      <w:pPr>
        <w:jc w:val="both"/>
        <w:rPr>
          <w:rFonts w:ascii="Arial" w:hAnsi="Arial" w:cs="Arial"/>
          <w:sz w:val="20"/>
          <w:szCs w:val="20"/>
        </w:rPr>
      </w:pPr>
      <w:r w:rsidRPr="009345C9">
        <w:rPr>
          <w:rFonts w:ascii="Arial" w:hAnsi="Arial" w:cs="Arial"/>
          <w:sz w:val="20"/>
          <w:szCs w:val="20"/>
        </w:rPr>
        <w:t xml:space="preserve">V principu se Broker </w:t>
      </w:r>
      <w:proofErr w:type="spellStart"/>
      <w:r w:rsidRPr="009345C9">
        <w:rPr>
          <w:rFonts w:ascii="Arial" w:hAnsi="Arial" w:cs="Arial"/>
          <w:sz w:val="20"/>
          <w:szCs w:val="20"/>
        </w:rPr>
        <w:t>Consulting</w:t>
      </w:r>
      <w:proofErr w:type="spellEnd"/>
      <w:r w:rsidRPr="009345C9">
        <w:rPr>
          <w:rFonts w:ascii="Arial" w:hAnsi="Arial" w:cs="Arial"/>
          <w:sz w:val="20"/>
          <w:szCs w:val="20"/>
        </w:rPr>
        <w:t xml:space="preserve"> Index hypotečních úvěrů počítá ze sazeb, které jsou v danou chvíli pro daného klienta nejnižší na trhu</w:t>
      </w:r>
      <w:r w:rsidR="00FA2D1E" w:rsidRPr="009345C9">
        <w:rPr>
          <w:rFonts w:ascii="Arial" w:hAnsi="Arial" w:cs="Arial"/>
          <w:sz w:val="20"/>
          <w:szCs w:val="20"/>
        </w:rPr>
        <w:t>,</w:t>
      </w:r>
      <w:r w:rsidRPr="009345C9">
        <w:rPr>
          <w:rFonts w:ascii="Arial" w:hAnsi="Arial" w:cs="Arial"/>
          <w:sz w:val="20"/>
          <w:szCs w:val="20"/>
        </w:rPr>
        <w:t xml:space="preserve"> </w:t>
      </w:r>
      <w:r w:rsidR="00FA2D1E" w:rsidRPr="009345C9">
        <w:rPr>
          <w:rFonts w:ascii="Arial" w:hAnsi="Arial" w:cs="Arial"/>
          <w:sz w:val="20"/>
          <w:szCs w:val="20"/>
        </w:rPr>
        <w:t>a</w:t>
      </w:r>
      <w:r w:rsidRPr="009345C9">
        <w:rPr>
          <w:rFonts w:ascii="Arial" w:hAnsi="Arial" w:cs="Arial"/>
          <w:sz w:val="20"/>
          <w:szCs w:val="20"/>
        </w:rPr>
        <w:t xml:space="preserve">nebo se nejnižší hranici přibližují, neboť klient si vybírá z mnoha možností, které mu trh v danou chvíli nabízí. A většinou si vybírá právě nejnižší sazbu úvěru, který i v jiných parametrech splňuje jejich podmínky. Broker </w:t>
      </w:r>
      <w:proofErr w:type="spellStart"/>
      <w:r w:rsidRPr="009345C9">
        <w:rPr>
          <w:rFonts w:ascii="Arial" w:hAnsi="Arial" w:cs="Arial"/>
          <w:sz w:val="20"/>
          <w:szCs w:val="20"/>
        </w:rPr>
        <w:t>Consulting</w:t>
      </w:r>
      <w:proofErr w:type="spellEnd"/>
      <w:r w:rsidRPr="009345C9">
        <w:rPr>
          <w:rFonts w:ascii="Arial" w:hAnsi="Arial" w:cs="Arial"/>
          <w:sz w:val="20"/>
          <w:szCs w:val="20"/>
        </w:rPr>
        <w:t xml:space="preserve"> ročně zprostředkuje úvěry v objemu přesahujícím 13 miliard korun. </w:t>
      </w:r>
    </w:p>
    <w:p w14:paraId="70EFA666" w14:textId="34CF7970" w:rsidR="002E6DB6" w:rsidRDefault="002E6DB6" w:rsidP="009345C9">
      <w:pPr>
        <w:jc w:val="both"/>
        <w:rPr>
          <w:rFonts w:ascii="Arial" w:hAnsi="Arial" w:cs="Arial"/>
          <w:sz w:val="20"/>
          <w:szCs w:val="20"/>
        </w:rPr>
      </w:pPr>
    </w:p>
    <w:p w14:paraId="6B1DF12D" w14:textId="18A0CCB4" w:rsidR="009345C9" w:rsidRPr="009345C9" w:rsidRDefault="002E6DB6" w:rsidP="009345C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Předstihový ukazatel Broker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Consulting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Indexu hypotečních úvěrů a jeho výpočet rea</w:t>
      </w:r>
      <w:r w:rsidR="008C75D3">
        <w:rPr>
          <w:rFonts w:ascii="Arial" w:hAnsi="Arial" w:cs="Arial"/>
          <w:color w:val="000000"/>
          <w:sz w:val="20"/>
          <w:szCs w:val="20"/>
        </w:rPr>
        <w:t>guje na potřebu aktuálního výhledu výše sazeb, ve kterém se budou v daném měsíci poskytovat hypoteční úvěry zprostředkovávané od většiny bankovních institucí v tuzemsku. Ve výpočtu jde o aritmetick</w:t>
      </w:r>
      <w:r w:rsidR="00057F54">
        <w:rPr>
          <w:rFonts w:ascii="Arial" w:hAnsi="Arial" w:cs="Arial"/>
          <w:color w:val="000000"/>
          <w:sz w:val="20"/>
          <w:szCs w:val="20"/>
        </w:rPr>
        <w:t>ý průměr nabízených úrokových sazeb</w:t>
      </w:r>
      <w:r w:rsidR="00807AD4">
        <w:rPr>
          <w:rFonts w:ascii="Arial" w:hAnsi="Arial" w:cs="Arial"/>
          <w:color w:val="000000"/>
          <w:sz w:val="20"/>
          <w:szCs w:val="20"/>
        </w:rPr>
        <w:t xml:space="preserve"> v konkrétním </w:t>
      </w:r>
      <w:r w:rsidR="008C75D3">
        <w:rPr>
          <w:rFonts w:ascii="Arial" w:hAnsi="Arial" w:cs="Arial"/>
          <w:color w:val="000000"/>
          <w:sz w:val="20"/>
          <w:szCs w:val="20"/>
        </w:rPr>
        <w:t xml:space="preserve">měsíci, ve kterém se zveřejňují hodnoty Broker </w:t>
      </w:r>
      <w:proofErr w:type="spellStart"/>
      <w:r w:rsidR="008C75D3">
        <w:rPr>
          <w:rFonts w:ascii="Arial" w:hAnsi="Arial" w:cs="Arial"/>
          <w:color w:val="000000"/>
          <w:sz w:val="20"/>
          <w:szCs w:val="20"/>
        </w:rPr>
        <w:t>Consulting</w:t>
      </w:r>
      <w:proofErr w:type="spellEnd"/>
      <w:r w:rsidR="008C75D3">
        <w:rPr>
          <w:rFonts w:ascii="Arial" w:hAnsi="Arial" w:cs="Arial"/>
          <w:color w:val="000000"/>
          <w:sz w:val="20"/>
          <w:szCs w:val="20"/>
        </w:rPr>
        <w:t xml:space="preserve"> Indexu hypotečních úvěrů.</w:t>
      </w:r>
      <w:r w:rsidR="00CC3D3D">
        <w:rPr>
          <w:rFonts w:ascii="Arial" w:hAnsi="Arial" w:cs="Arial"/>
          <w:color w:val="000000"/>
          <w:sz w:val="20"/>
          <w:szCs w:val="20"/>
        </w:rPr>
        <w:t xml:space="preserve"> Vzhledem ke statisti</w:t>
      </w:r>
      <w:r w:rsidR="004919CC">
        <w:rPr>
          <w:rFonts w:ascii="Arial" w:hAnsi="Arial" w:cs="Arial"/>
          <w:color w:val="000000"/>
          <w:sz w:val="20"/>
          <w:szCs w:val="20"/>
        </w:rPr>
        <w:t>ce preferovaných fixací byla při výpoč</w:t>
      </w:r>
      <w:r w:rsidR="00CC3D3D">
        <w:rPr>
          <w:rFonts w:ascii="Arial" w:hAnsi="Arial" w:cs="Arial"/>
          <w:color w:val="000000"/>
          <w:sz w:val="20"/>
          <w:szCs w:val="20"/>
        </w:rPr>
        <w:t>t</w:t>
      </w:r>
      <w:r w:rsidR="004919CC">
        <w:rPr>
          <w:rFonts w:ascii="Arial" w:hAnsi="Arial" w:cs="Arial"/>
          <w:color w:val="000000"/>
          <w:sz w:val="20"/>
          <w:szCs w:val="20"/>
        </w:rPr>
        <w:t>u zohledněna</w:t>
      </w:r>
      <w:r w:rsidR="00CC3D3D">
        <w:rPr>
          <w:rFonts w:ascii="Arial" w:hAnsi="Arial" w:cs="Arial"/>
          <w:color w:val="000000"/>
          <w:sz w:val="20"/>
          <w:szCs w:val="20"/>
        </w:rPr>
        <w:t xml:space="preserve"> pětiletá fixace úrokových sazeb.</w:t>
      </w:r>
    </w:p>
    <w:p w14:paraId="691D3A33" w14:textId="77777777" w:rsidR="00C42CA5" w:rsidRPr="00C42CA5" w:rsidRDefault="00C42CA5" w:rsidP="00C42CA5">
      <w:pPr>
        <w:pBdr>
          <w:bottom w:val="single" w:sz="4" w:space="1" w:color="auto"/>
        </w:pBdr>
        <w:jc w:val="both"/>
        <w:rPr>
          <w:rFonts w:ascii="Arial" w:hAnsi="Arial" w:cs="Arial"/>
          <w:sz w:val="20"/>
          <w:szCs w:val="20"/>
        </w:rPr>
      </w:pPr>
    </w:p>
    <w:p w14:paraId="4A4E372E" w14:textId="214E9ADC" w:rsidR="00CA1806" w:rsidRDefault="00CA1806" w:rsidP="006529D7">
      <w:pPr>
        <w:rPr>
          <w:rFonts w:ascii="Arial" w:hAnsi="Arial" w:cs="Arial"/>
          <w:b/>
          <w:sz w:val="18"/>
          <w:szCs w:val="16"/>
        </w:rPr>
      </w:pPr>
    </w:p>
    <w:p w14:paraId="5FCF3C96" w14:textId="040F53B7" w:rsidR="00B01F39" w:rsidRPr="006529D7" w:rsidRDefault="00C947C0" w:rsidP="006529D7">
      <w:pPr>
        <w:rPr>
          <w:rFonts w:ascii="Arial" w:hAnsi="Arial" w:cs="Arial"/>
          <w:sz w:val="18"/>
          <w:szCs w:val="16"/>
        </w:rPr>
      </w:pPr>
      <w:r>
        <w:rPr>
          <w:rFonts w:ascii="Arial" w:hAnsi="Arial" w:cs="Arial"/>
          <w:b/>
          <w:sz w:val="18"/>
          <w:szCs w:val="16"/>
        </w:rPr>
        <w:t>P</w:t>
      </w:r>
      <w:r w:rsidR="00B37F41" w:rsidRPr="00B244B9">
        <w:rPr>
          <w:rFonts w:ascii="Arial" w:hAnsi="Arial" w:cs="Arial"/>
          <w:b/>
          <w:sz w:val="18"/>
          <w:szCs w:val="16"/>
        </w:rPr>
        <w:t xml:space="preserve">oznámka </w:t>
      </w:r>
      <w:bookmarkStart w:id="0" w:name="_GoBack"/>
      <w:bookmarkEnd w:id="0"/>
      <w:r w:rsidR="00B37F41" w:rsidRPr="00B244B9">
        <w:rPr>
          <w:rFonts w:ascii="Arial" w:hAnsi="Arial" w:cs="Arial"/>
          <w:b/>
          <w:sz w:val="18"/>
          <w:szCs w:val="16"/>
        </w:rPr>
        <w:t>pro média:</w:t>
      </w:r>
      <w:r w:rsidR="00B37F41" w:rsidRPr="00B244B9">
        <w:rPr>
          <w:rFonts w:ascii="Arial" w:hAnsi="Arial" w:cs="Arial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Broker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proofErr w:type="spellStart"/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Consulting</w:t>
      </w:r>
      <w:proofErr w:type="spellEnd"/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Indexy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je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možné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volně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spacing w:val="2"/>
          <w:w w:val="105"/>
          <w:sz w:val="18"/>
          <w:szCs w:val="16"/>
        </w:rPr>
        <w:t>publikovat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pouze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s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označením</w:t>
      </w:r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„Broker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proofErr w:type="spellStart"/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Consulting</w:t>
      </w:r>
      <w:proofErr w:type="spellEnd"/>
      <w:r w:rsidR="00B37F41" w:rsidRPr="00B244B9">
        <w:rPr>
          <w:rFonts w:ascii="Arial" w:hAnsi="Arial" w:cs="Arial"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w w:val="105"/>
          <w:sz w:val="18"/>
          <w:szCs w:val="16"/>
        </w:rPr>
        <w:t>Index“</w:t>
      </w:r>
      <w:r w:rsidR="00B37F41" w:rsidRPr="00B244B9">
        <w:rPr>
          <w:rFonts w:ascii="Arial" w:hAnsi="Arial" w:cs="Arial"/>
          <w:color w:val="1D1D1B"/>
          <w:spacing w:val="-9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color w:val="1D1D1B"/>
          <w:spacing w:val="-3"/>
          <w:w w:val="105"/>
          <w:sz w:val="18"/>
          <w:szCs w:val="16"/>
        </w:rPr>
        <w:t>(</w:t>
      </w:r>
      <w:r w:rsidR="00B37F41" w:rsidRPr="00B244B9">
        <w:rPr>
          <w:rFonts w:ascii="Arial" w:hAnsi="Arial" w:cs="Arial"/>
          <w:i/>
          <w:color w:val="1D1D1B"/>
          <w:spacing w:val="-3"/>
          <w:w w:val="105"/>
          <w:sz w:val="18"/>
          <w:szCs w:val="16"/>
        </w:rPr>
        <w:t>např.</w:t>
      </w:r>
      <w:r w:rsidR="00B37F41" w:rsidRPr="00B244B9">
        <w:rPr>
          <w:rFonts w:ascii="Arial" w:hAnsi="Arial" w:cs="Arial"/>
          <w:i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Broker</w:t>
      </w:r>
      <w:r w:rsidR="00B37F41" w:rsidRPr="00B244B9">
        <w:rPr>
          <w:rFonts w:ascii="Arial" w:hAnsi="Arial" w:cs="Arial"/>
          <w:i/>
          <w:color w:val="1D1D1B"/>
          <w:spacing w:val="-9"/>
          <w:w w:val="105"/>
          <w:sz w:val="18"/>
          <w:szCs w:val="16"/>
        </w:rPr>
        <w:t xml:space="preserve"> </w:t>
      </w:r>
      <w:proofErr w:type="spellStart"/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Consulting</w:t>
      </w:r>
      <w:proofErr w:type="spellEnd"/>
      <w:r w:rsidR="00B37F41" w:rsidRPr="00B244B9">
        <w:rPr>
          <w:rFonts w:ascii="Arial" w:hAnsi="Arial" w:cs="Arial"/>
          <w:i/>
          <w:color w:val="1D1D1B"/>
          <w:spacing w:val="-8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index</w:t>
      </w:r>
      <w:r w:rsidR="00B37F41" w:rsidRPr="0013512D">
        <w:rPr>
          <w:rFonts w:ascii="Arial" w:hAnsi="Arial" w:cs="Arial"/>
          <w:i/>
          <w:color w:val="1D1D1B"/>
          <w:w w:val="105"/>
          <w:sz w:val="18"/>
          <w:szCs w:val="16"/>
        </w:rPr>
        <w:t xml:space="preserve"> 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hypot</w:t>
      </w:r>
      <w:r w:rsidR="00830CE8">
        <w:rPr>
          <w:rFonts w:ascii="Arial" w:hAnsi="Arial" w:cs="Arial"/>
          <w:i/>
          <w:color w:val="1D1D1B"/>
          <w:w w:val="105"/>
          <w:sz w:val="18"/>
          <w:szCs w:val="16"/>
        </w:rPr>
        <w:t>e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>ční</w:t>
      </w:r>
      <w:r w:rsidR="00B37F41">
        <w:rPr>
          <w:rFonts w:ascii="Arial" w:hAnsi="Arial" w:cs="Arial"/>
          <w:i/>
          <w:color w:val="1D1D1B"/>
          <w:w w:val="105"/>
          <w:sz w:val="18"/>
          <w:szCs w:val="16"/>
        </w:rPr>
        <w:t>ch úvěrů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 xml:space="preserve">). Více informací najdete též na webu </w:t>
      </w:r>
      <w:r w:rsidR="00B37F41" w:rsidRPr="0013512D">
        <w:rPr>
          <w:rStyle w:val="Hypertextovodkaz"/>
          <w:rFonts w:ascii="Arial" w:hAnsi="Arial" w:cs="Arial"/>
          <w:i/>
          <w:w w:val="105"/>
          <w:sz w:val="18"/>
          <w:szCs w:val="16"/>
        </w:rPr>
        <w:t>https://www.bcas.cz/onas/pro-media/</w:t>
      </w:r>
      <w:r w:rsidR="00B37F41" w:rsidRPr="00B244B9">
        <w:rPr>
          <w:rFonts w:ascii="Arial" w:hAnsi="Arial" w:cs="Arial"/>
          <w:i/>
          <w:color w:val="1D1D1B"/>
          <w:w w:val="105"/>
          <w:sz w:val="18"/>
          <w:szCs w:val="16"/>
        </w:rPr>
        <w:t xml:space="preserve">. </w:t>
      </w:r>
    </w:p>
    <w:p w14:paraId="58F041AC" w14:textId="57BD355F" w:rsidR="00692610" w:rsidRDefault="00692610" w:rsidP="00B27178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7DE80F01" w14:textId="77777777" w:rsidR="00CA1806" w:rsidRPr="00D60D98" w:rsidRDefault="00CA1806" w:rsidP="00B27178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7C1907C0" w14:textId="1D2EC938" w:rsidR="00D60D98" w:rsidRPr="0073009C" w:rsidRDefault="00D60D98" w:rsidP="00D60D98">
      <w:pPr>
        <w:rPr>
          <w:rFonts w:ascii="Arial" w:eastAsia="Calibri" w:hAnsi="Arial" w:cs="Arial"/>
          <w:b/>
          <w:bCs/>
          <w:noProof/>
          <w:sz w:val="18"/>
          <w:szCs w:val="18"/>
        </w:rPr>
      </w:pPr>
      <w:r w:rsidRPr="0073009C">
        <w:rPr>
          <w:rFonts w:ascii="Arial" w:eastAsia="Calibri" w:hAnsi="Arial" w:cs="Arial"/>
          <w:b/>
          <w:bCs/>
          <w:noProof/>
          <w:sz w:val="18"/>
          <w:szCs w:val="18"/>
        </w:rPr>
        <w:t>Kontakt pro média:</w:t>
      </w:r>
    </w:p>
    <w:p w14:paraId="090F1F41" w14:textId="2F88DEFA" w:rsidR="00B37F41" w:rsidRPr="0073009C" w:rsidRDefault="00B37F41" w:rsidP="00D60D98">
      <w:pPr>
        <w:rPr>
          <w:rFonts w:ascii="Arial" w:eastAsia="Calibri" w:hAnsi="Arial" w:cs="Arial"/>
          <w:bCs/>
          <w:noProof/>
          <w:sz w:val="18"/>
          <w:szCs w:val="18"/>
        </w:rPr>
      </w:pPr>
    </w:p>
    <w:p w14:paraId="459105C8" w14:textId="3415D3B2" w:rsidR="00692610" w:rsidRPr="0073009C" w:rsidRDefault="003529EF" w:rsidP="007748DA">
      <w:pPr>
        <w:spacing w:after="60"/>
        <w:rPr>
          <w:rFonts w:ascii="Arial" w:eastAsia="Calibri" w:hAnsi="Arial" w:cs="Arial"/>
          <w:bCs/>
          <w:noProof/>
          <w:sz w:val="18"/>
          <w:szCs w:val="18"/>
          <w:lang w:bidi="ar-SA"/>
        </w:rPr>
      </w:pPr>
      <w:r>
        <w:rPr>
          <w:rFonts w:ascii="Arial" w:eastAsia="Calibri" w:hAnsi="Arial" w:cs="Arial"/>
          <w:bCs/>
          <w:noProof/>
          <w:sz w:val="18"/>
          <w:szCs w:val="18"/>
        </w:rPr>
        <w:t>Michaela Sahulová</w:t>
      </w:r>
    </w:p>
    <w:p w14:paraId="3D378A07" w14:textId="7DB23AAC" w:rsidR="00692610" w:rsidRDefault="00692610" w:rsidP="00692610">
      <w:pPr>
        <w:pStyle w:val="Bezmezer"/>
        <w:rPr>
          <w:rFonts w:ascii="Arial" w:eastAsia="Calibri" w:hAnsi="Arial" w:cs="Arial"/>
          <w:noProof/>
          <w:sz w:val="18"/>
          <w:szCs w:val="18"/>
        </w:rPr>
      </w:pPr>
      <w:r w:rsidRPr="0073009C">
        <w:rPr>
          <w:rFonts w:ascii="Arial" w:eastAsia="Calibri" w:hAnsi="Arial" w:cs="Arial"/>
          <w:noProof/>
          <w:sz w:val="18"/>
          <w:szCs w:val="18"/>
        </w:rPr>
        <w:t>Specialistka PR a externí komunikace</w:t>
      </w:r>
    </w:p>
    <w:p w14:paraId="5B3D6899" w14:textId="334A3B70" w:rsidR="004928CB" w:rsidRDefault="004928CB" w:rsidP="004928CB">
      <w:pPr>
        <w:rPr>
          <w:rFonts w:ascii="Arial" w:eastAsiaTheme="minorEastAsia" w:hAnsi="Arial" w:cs="Arial"/>
          <w:noProof/>
          <w:color w:val="000000" w:themeColor="text1"/>
          <w:sz w:val="18"/>
          <w:szCs w:val="18"/>
          <w:lang w:bidi="ar-SA"/>
        </w:rPr>
      </w:pPr>
      <w:r>
        <w:rPr>
          <w:rFonts w:ascii="Arial" w:eastAsiaTheme="minorEastAsia" w:hAnsi="Arial" w:cs="Arial"/>
          <w:noProof/>
          <w:color w:val="000000" w:themeColor="text1"/>
          <w:sz w:val="18"/>
          <w:szCs w:val="18"/>
        </w:rPr>
        <w:t>tel.: +420 731 538 373</w:t>
      </w:r>
    </w:p>
    <w:p w14:paraId="16B705EA" w14:textId="41D7186C" w:rsidR="00692610" w:rsidRPr="0073009C" w:rsidRDefault="00692610" w:rsidP="00692610">
      <w:pPr>
        <w:rPr>
          <w:rFonts w:ascii="Arial" w:eastAsia="Calibri" w:hAnsi="Arial" w:cs="Arial"/>
          <w:noProof/>
          <w:sz w:val="18"/>
          <w:szCs w:val="18"/>
        </w:rPr>
      </w:pPr>
      <w:r w:rsidRPr="0073009C">
        <w:rPr>
          <w:rFonts w:ascii="Arial" w:eastAsia="Calibri" w:hAnsi="Arial" w:cs="Arial"/>
          <w:noProof/>
          <w:sz w:val="18"/>
          <w:szCs w:val="18"/>
        </w:rPr>
        <w:t xml:space="preserve">E-mail: </w:t>
      </w:r>
      <w:hyperlink r:id="rId26" w:history="1">
        <w:r w:rsidR="003529EF" w:rsidRPr="00862049">
          <w:rPr>
            <w:rStyle w:val="Hypertextovodkaz"/>
            <w:rFonts w:ascii="Arial" w:eastAsia="Calibri" w:hAnsi="Arial" w:cs="Arial"/>
            <w:noProof/>
            <w:sz w:val="18"/>
            <w:szCs w:val="18"/>
          </w:rPr>
          <w:t>michaela.sahulova@bcas.cz</w:t>
        </w:r>
      </w:hyperlink>
      <w:r w:rsidRPr="0073009C">
        <w:rPr>
          <w:rFonts w:ascii="Arial" w:eastAsia="Calibri" w:hAnsi="Arial" w:cs="Arial"/>
          <w:noProof/>
          <w:sz w:val="18"/>
          <w:szCs w:val="18"/>
        </w:rPr>
        <w:t xml:space="preserve"> </w:t>
      </w:r>
    </w:p>
    <w:p w14:paraId="066A8D8C" w14:textId="77777777" w:rsidR="00692610" w:rsidRPr="0073009C" w:rsidRDefault="00692610" w:rsidP="00692610">
      <w:pPr>
        <w:rPr>
          <w:rFonts w:ascii="Arial" w:eastAsia="Calibri" w:hAnsi="Arial" w:cs="Arial"/>
          <w:bCs/>
          <w:noProof/>
          <w:sz w:val="18"/>
          <w:szCs w:val="18"/>
        </w:rPr>
      </w:pPr>
    </w:p>
    <w:p w14:paraId="025F1B2F" w14:textId="70837378" w:rsidR="00D60D98" w:rsidRPr="002B2A94" w:rsidRDefault="00D60D98" w:rsidP="002B2A94">
      <w:pPr>
        <w:rPr>
          <w:rFonts w:ascii="Arial" w:eastAsia="Calibri" w:hAnsi="Arial" w:cs="Arial"/>
          <w:b/>
          <w:bCs/>
          <w:noProof/>
          <w:sz w:val="18"/>
          <w:szCs w:val="18"/>
          <w:lang w:bidi="ar-SA"/>
        </w:rPr>
      </w:pPr>
    </w:p>
    <w:sectPr w:rsidR="00D60D98" w:rsidRPr="002B2A94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049118" w14:textId="77777777" w:rsidR="005678E0" w:rsidRDefault="005678E0">
      <w:r>
        <w:separator/>
      </w:r>
    </w:p>
  </w:endnote>
  <w:endnote w:type="continuationSeparator" w:id="0">
    <w:p w14:paraId="003ABEB0" w14:textId="77777777" w:rsidR="005678E0" w:rsidRDefault="00567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5678E0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380E0A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5678E0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380E0A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5678E0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380E0A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7AD078" w14:textId="77777777" w:rsidR="005678E0" w:rsidRDefault="005678E0">
      <w:r>
        <w:separator/>
      </w:r>
    </w:p>
  </w:footnote>
  <w:footnote w:type="continuationSeparator" w:id="0">
    <w:p w14:paraId="52295BD5" w14:textId="77777777" w:rsidR="005678E0" w:rsidRDefault="005678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E95698" w:rsidRDefault="00D80B6D" w:rsidP="00E95698">
    <w:pPr>
      <w:tabs>
        <w:tab w:val="left" w:pos="8633"/>
      </w:tabs>
      <w:spacing w:before="80"/>
      <w:ind w:firstLine="2880"/>
      <w:rPr>
        <w:rFonts w:ascii="Arial" w:hAnsi="Arial" w:cs="Arial"/>
        <w:sz w:val="52"/>
      </w:rPr>
    </w:pPr>
    <w:r w:rsidRPr="00E95698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E95698">
      <w:rPr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95698">
      <w:rPr>
        <w:rFonts w:ascii="Arial" w:hAnsi="Arial" w:cs="Arial"/>
        <w:color w:val="1D1D1B"/>
        <w:sz w:val="48"/>
      </w:rPr>
      <w:t xml:space="preserve">BROKER CONSULTING </w:t>
    </w:r>
    <w:r w:rsidRPr="00E95698">
      <w:rPr>
        <w:rFonts w:ascii="Arial" w:hAnsi="Arial" w:cs="Arial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77777777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43C085E5" w14:textId="62CDD8CE" w:rsidR="000F4B6C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HYPOTEČNÍCH ÚVĚRŮ &amp; FIXINDEX</w:t>
    </w:r>
  </w:p>
  <w:p w14:paraId="0E033147" w14:textId="77777777" w:rsidR="00D40C89" w:rsidRPr="00D40C89" w:rsidRDefault="00D40C89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B65A3B" w:rsidRDefault="009F59EE" w:rsidP="009F59EE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3FF270D6" w14:textId="6799F236" w:rsidR="00D40C89" w:rsidRPr="00D40C89" w:rsidRDefault="009F59EE" w:rsidP="00D40C89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 w:rsidR="002A1185">
      <w:rPr>
        <w:rFonts w:ascii="Arial" w:hAnsi="Arial" w:cs="Arial"/>
        <w:color w:val="E52713"/>
        <w:sz w:val="28"/>
        <w:szCs w:val="28"/>
      </w:rPr>
      <w:t>HYPOTEČNÍCH ÚVĚRŮ</w:t>
    </w:r>
    <w:r w:rsidR="00D40C89">
      <w:rPr>
        <w:rFonts w:ascii="Arial" w:hAnsi="Arial" w:cs="Arial"/>
        <w:color w:val="E52713"/>
        <w:sz w:val="28"/>
        <w:szCs w:val="28"/>
      </w:rPr>
      <w:t xml:space="preserve"> &amp; FIXINDEX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1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04919"/>
    <w:rsid w:val="00005B61"/>
    <w:rsid w:val="00014FB5"/>
    <w:rsid w:val="00020EC7"/>
    <w:rsid w:val="0002230E"/>
    <w:rsid w:val="000226F3"/>
    <w:rsid w:val="00026F23"/>
    <w:rsid w:val="000277AC"/>
    <w:rsid w:val="0003028F"/>
    <w:rsid w:val="00032D94"/>
    <w:rsid w:val="000374D7"/>
    <w:rsid w:val="00037DAF"/>
    <w:rsid w:val="000400E4"/>
    <w:rsid w:val="0004477D"/>
    <w:rsid w:val="00044EC5"/>
    <w:rsid w:val="00045D86"/>
    <w:rsid w:val="0005423A"/>
    <w:rsid w:val="00057F54"/>
    <w:rsid w:val="000611E3"/>
    <w:rsid w:val="000766E7"/>
    <w:rsid w:val="00081616"/>
    <w:rsid w:val="000823D3"/>
    <w:rsid w:val="00082D29"/>
    <w:rsid w:val="0008331F"/>
    <w:rsid w:val="000845CA"/>
    <w:rsid w:val="000851AC"/>
    <w:rsid w:val="000853D4"/>
    <w:rsid w:val="00092BB7"/>
    <w:rsid w:val="00096425"/>
    <w:rsid w:val="0009776B"/>
    <w:rsid w:val="000A080B"/>
    <w:rsid w:val="000B187C"/>
    <w:rsid w:val="000B6DD9"/>
    <w:rsid w:val="000C181E"/>
    <w:rsid w:val="000C2DA6"/>
    <w:rsid w:val="000C5541"/>
    <w:rsid w:val="000D14E2"/>
    <w:rsid w:val="000D2CFC"/>
    <w:rsid w:val="000D4AFB"/>
    <w:rsid w:val="000D7158"/>
    <w:rsid w:val="000E01C2"/>
    <w:rsid w:val="000E19B2"/>
    <w:rsid w:val="000E3D86"/>
    <w:rsid w:val="000E568C"/>
    <w:rsid w:val="000E5D32"/>
    <w:rsid w:val="000E6E14"/>
    <w:rsid w:val="000F4B6C"/>
    <w:rsid w:val="000F50BC"/>
    <w:rsid w:val="000F6249"/>
    <w:rsid w:val="001117DE"/>
    <w:rsid w:val="00111C28"/>
    <w:rsid w:val="00113603"/>
    <w:rsid w:val="00117AE4"/>
    <w:rsid w:val="00120113"/>
    <w:rsid w:val="001214E7"/>
    <w:rsid w:val="00122CEB"/>
    <w:rsid w:val="00126BEC"/>
    <w:rsid w:val="0013044E"/>
    <w:rsid w:val="00131A69"/>
    <w:rsid w:val="00136D8D"/>
    <w:rsid w:val="00137003"/>
    <w:rsid w:val="0013717C"/>
    <w:rsid w:val="00140987"/>
    <w:rsid w:val="001524FB"/>
    <w:rsid w:val="00156082"/>
    <w:rsid w:val="00160686"/>
    <w:rsid w:val="00160E1C"/>
    <w:rsid w:val="00161352"/>
    <w:rsid w:val="00162D8E"/>
    <w:rsid w:val="001675AF"/>
    <w:rsid w:val="0016771F"/>
    <w:rsid w:val="00174317"/>
    <w:rsid w:val="00175545"/>
    <w:rsid w:val="001767A5"/>
    <w:rsid w:val="00182A92"/>
    <w:rsid w:val="00192716"/>
    <w:rsid w:val="00194831"/>
    <w:rsid w:val="00194B5D"/>
    <w:rsid w:val="001A0A5C"/>
    <w:rsid w:val="001A1A56"/>
    <w:rsid w:val="001A2D08"/>
    <w:rsid w:val="001A54DD"/>
    <w:rsid w:val="001A5AC8"/>
    <w:rsid w:val="001A7D2F"/>
    <w:rsid w:val="001B2A07"/>
    <w:rsid w:val="001B3B31"/>
    <w:rsid w:val="001B501B"/>
    <w:rsid w:val="001B7936"/>
    <w:rsid w:val="001D015A"/>
    <w:rsid w:val="001D30C7"/>
    <w:rsid w:val="001D3DFC"/>
    <w:rsid w:val="001D45F5"/>
    <w:rsid w:val="001D5EFC"/>
    <w:rsid w:val="001E02C2"/>
    <w:rsid w:val="001E1597"/>
    <w:rsid w:val="001E4209"/>
    <w:rsid w:val="001F7194"/>
    <w:rsid w:val="001F71BA"/>
    <w:rsid w:val="002019F3"/>
    <w:rsid w:val="0020207A"/>
    <w:rsid w:val="00202F22"/>
    <w:rsid w:val="00203BD4"/>
    <w:rsid w:val="00206E92"/>
    <w:rsid w:val="00212C2E"/>
    <w:rsid w:val="0021395D"/>
    <w:rsid w:val="002141AF"/>
    <w:rsid w:val="00216B81"/>
    <w:rsid w:val="00216F2E"/>
    <w:rsid w:val="00220529"/>
    <w:rsid w:val="00223FFD"/>
    <w:rsid w:val="00224AF1"/>
    <w:rsid w:val="00224E6E"/>
    <w:rsid w:val="00225CEC"/>
    <w:rsid w:val="00225D70"/>
    <w:rsid w:val="00233BF3"/>
    <w:rsid w:val="002368F3"/>
    <w:rsid w:val="00236A37"/>
    <w:rsid w:val="00241313"/>
    <w:rsid w:val="0024212A"/>
    <w:rsid w:val="0025080B"/>
    <w:rsid w:val="0025183C"/>
    <w:rsid w:val="0025264B"/>
    <w:rsid w:val="00253C9E"/>
    <w:rsid w:val="0025428A"/>
    <w:rsid w:val="002555D2"/>
    <w:rsid w:val="00257978"/>
    <w:rsid w:val="002619DC"/>
    <w:rsid w:val="00270B59"/>
    <w:rsid w:val="00270DB3"/>
    <w:rsid w:val="002717C9"/>
    <w:rsid w:val="00277D20"/>
    <w:rsid w:val="00280730"/>
    <w:rsid w:val="00281C61"/>
    <w:rsid w:val="00285767"/>
    <w:rsid w:val="002863CE"/>
    <w:rsid w:val="002961B5"/>
    <w:rsid w:val="002A1185"/>
    <w:rsid w:val="002A498A"/>
    <w:rsid w:val="002B094E"/>
    <w:rsid w:val="002B1E20"/>
    <w:rsid w:val="002B2A94"/>
    <w:rsid w:val="002B3C6D"/>
    <w:rsid w:val="002B4919"/>
    <w:rsid w:val="002B6F4E"/>
    <w:rsid w:val="002C0E94"/>
    <w:rsid w:val="002C6C42"/>
    <w:rsid w:val="002C7D70"/>
    <w:rsid w:val="002D23B9"/>
    <w:rsid w:val="002D3534"/>
    <w:rsid w:val="002D49F7"/>
    <w:rsid w:val="002D64A2"/>
    <w:rsid w:val="002E0400"/>
    <w:rsid w:val="002E1A01"/>
    <w:rsid w:val="002E6173"/>
    <w:rsid w:val="002E6DB6"/>
    <w:rsid w:val="002F002B"/>
    <w:rsid w:val="002F46B0"/>
    <w:rsid w:val="002F485A"/>
    <w:rsid w:val="002F7EC2"/>
    <w:rsid w:val="003015E0"/>
    <w:rsid w:val="0030207B"/>
    <w:rsid w:val="00303778"/>
    <w:rsid w:val="00303A6E"/>
    <w:rsid w:val="0030751A"/>
    <w:rsid w:val="00307E95"/>
    <w:rsid w:val="00307FEB"/>
    <w:rsid w:val="003128F8"/>
    <w:rsid w:val="00322E5E"/>
    <w:rsid w:val="003243A6"/>
    <w:rsid w:val="003247B0"/>
    <w:rsid w:val="00330918"/>
    <w:rsid w:val="0033296E"/>
    <w:rsid w:val="003337A9"/>
    <w:rsid w:val="00340E70"/>
    <w:rsid w:val="00342F85"/>
    <w:rsid w:val="00347557"/>
    <w:rsid w:val="00352435"/>
    <w:rsid w:val="003529EF"/>
    <w:rsid w:val="00355366"/>
    <w:rsid w:val="003555BB"/>
    <w:rsid w:val="003629B6"/>
    <w:rsid w:val="003640C8"/>
    <w:rsid w:val="00371225"/>
    <w:rsid w:val="003721AD"/>
    <w:rsid w:val="003761D9"/>
    <w:rsid w:val="00380608"/>
    <w:rsid w:val="00380E0A"/>
    <w:rsid w:val="00382546"/>
    <w:rsid w:val="00383DC5"/>
    <w:rsid w:val="00385EED"/>
    <w:rsid w:val="00390B58"/>
    <w:rsid w:val="00395F41"/>
    <w:rsid w:val="003967DF"/>
    <w:rsid w:val="003A4D47"/>
    <w:rsid w:val="003A6435"/>
    <w:rsid w:val="003A7D32"/>
    <w:rsid w:val="003B0E4F"/>
    <w:rsid w:val="003B1966"/>
    <w:rsid w:val="003B5B25"/>
    <w:rsid w:val="003C0CBE"/>
    <w:rsid w:val="003C1344"/>
    <w:rsid w:val="003C3421"/>
    <w:rsid w:val="003C5D0A"/>
    <w:rsid w:val="003D1987"/>
    <w:rsid w:val="003D3AE8"/>
    <w:rsid w:val="003D69A7"/>
    <w:rsid w:val="003F07E8"/>
    <w:rsid w:val="003F79EC"/>
    <w:rsid w:val="00400A5A"/>
    <w:rsid w:val="004120C7"/>
    <w:rsid w:val="0042193A"/>
    <w:rsid w:val="00430ABD"/>
    <w:rsid w:val="00431631"/>
    <w:rsid w:val="00432FD5"/>
    <w:rsid w:val="00434C5D"/>
    <w:rsid w:val="00435115"/>
    <w:rsid w:val="00441028"/>
    <w:rsid w:val="00444432"/>
    <w:rsid w:val="00445D0A"/>
    <w:rsid w:val="00450DBC"/>
    <w:rsid w:val="004540ED"/>
    <w:rsid w:val="00454843"/>
    <w:rsid w:val="004564BC"/>
    <w:rsid w:val="004627B9"/>
    <w:rsid w:val="00466329"/>
    <w:rsid w:val="00473219"/>
    <w:rsid w:val="00477FFA"/>
    <w:rsid w:val="00481D66"/>
    <w:rsid w:val="00487B6B"/>
    <w:rsid w:val="004919CC"/>
    <w:rsid w:val="004928CB"/>
    <w:rsid w:val="00492941"/>
    <w:rsid w:val="00495AFF"/>
    <w:rsid w:val="00495E14"/>
    <w:rsid w:val="004B5104"/>
    <w:rsid w:val="004B5797"/>
    <w:rsid w:val="004B64B3"/>
    <w:rsid w:val="004B6AF3"/>
    <w:rsid w:val="004C0179"/>
    <w:rsid w:val="004C0CEF"/>
    <w:rsid w:val="004C3F71"/>
    <w:rsid w:val="004D3578"/>
    <w:rsid w:val="004D4D9F"/>
    <w:rsid w:val="004F1934"/>
    <w:rsid w:val="005042D1"/>
    <w:rsid w:val="00506098"/>
    <w:rsid w:val="00506161"/>
    <w:rsid w:val="0050659B"/>
    <w:rsid w:val="00512D6B"/>
    <w:rsid w:val="005153F7"/>
    <w:rsid w:val="0052216B"/>
    <w:rsid w:val="005224C1"/>
    <w:rsid w:val="0052338B"/>
    <w:rsid w:val="00523D4C"/>
    <w:rsid w:val="005275F9"/>
    <w:rsid w:val="0053153F"/>
    <w:rsid w:val="00534E75"/>
    <w:rsid w:val="00536954"/>
    <w:rsid w:val="005379BC"/>
    <w:rsid w:val="00540606"/>
    <w:rsid w:val="00541870"/>
    <w:rsid w:val="005436EC"/>
    <w:rsid w:val="00544A37"/>
    <w:rsid w:val="005455B0"/>
    <w:rsid w:val="0055263D"/>
    <w:rsid w:val="0055303C"/>
    <w:rsid w:val="00553369"/>
    <w:rsid w:val="00554574"/>
    <w:rsid w:val="0056150F"/>
    <w:rsid w:val="005678E0"/>
    <w:rsid w:val="005729F4"/>
    <w:rsid w:val="00576F58"/>
    <w:rsid w:val="005773B2"/>
    <w:rsid w:val="00577D19"/>
    <w:rsid w:val="0058062A"/>
    <w:rsid w:val="005834AE"/>
    <w:rsid w:val="0058666A"/>
    <w:rsid w:val="005875EC"/>
    <w:rsid w:val="00590434"/>
    <w:rsid w:val="00594050"/>
    <w:rsid w:val="0059432A"/>
    <w:rsid w:val="005956E9"/>
    <w:rsid w:val="005A37E5"/>
    <w:rsid w:val="005A4497"/>
    <w:rsid w:val="005A5BBA"/>
    <w:rsid w:val="005A5F08"/>
    <w:rsid w:val="005B0E8E"/>
    <w:rsid w:val="005B31D7"/>
    <w:rsid w:val="005B5427"/>
    <w:rsid w:val="005D189A"/>
    <w:rsid w:val="005D6963"/>
    <w:rsid w:val="005E45D8"/>
    <w:rsid w:val="005F18D4"/>
    <w:rsid w:val="005F65A1"/>
    <w:rsid w:val="00600788"/>
    <w:rsid w:val="00600BA3"/>
    <w:rsid w:val="00612DC2"/>
    <w:rsid w:val="006135FD"/>
    <w:rsid w:val="006212F9"/>
    <w:rsid w:val="0062747C"/>
    <w:rsid w:val="00633136"/>
    <w:rsid w:val="00636E70"/>
    <w:rsid w:val="0064020E"/>
    <w:rsid w:val="0064160C"/>
    <w:rsid w:val="0064209A"/>
    <w:rsid w:val="00645BA9"/>
    <w:rsid w:val="006501CB"/>
    <w:rsid w:val="00651B79"/>
    <w:rsid w:val="00652695"/>
    <w:rsid w:val="006529D7"/>
    <w:rsid w:val="00652DCE"/>
    <w:rsid w:val="006545F8"/>
    <w:rsid w:val="00654F8C"/>
    <w:rsid w:val="00656312"/>
    <w:rsid w:val="0066135D"/>
    <w:rsid w:val="00663C36"/>
    <w:rsid w:val="00667012"/>
    <w:rsid w:val="00673DDB"/>
    <w:rsid w:val="00675F3B"/>
    <w:rsid w:val="006768F0"/>
    <w:rsid w:val="00677078"/>
    <w:rsid w:val="00677C07"/>
    <w:rsid w:val="0068617E"/>
    <w:rsid w:val="00686E01"/>
    <w:rsid w:val="00687107"/>
    <w:rsid w:val="00692610"/>
    <w:rsid w:val="006939E4"/>
    <w:rsid w:val="00693A07"/>
    <w:rsid w:val="00695DE8"/>
    <w:rsid w:val="00697A40"/>
    <w:rsid w:val="00697F28"/>
    <w:rsid w:val="006A0BD0"/>
    <w:rsid w:val="006A150C"/>
    <w:rsid w:val="006A2F6C"/>
    <w:rsid w:val="006A3BE2"/>
    <w:rsid w:val="006A6601"/>
    <w:rsid w:val="006B2EA9"/>
    <w:rsid w:val="006B3A13"/>
    <w:rsid w:val="006B3CB5"/>
    <w:rsid w:val="006C2696"/>
    <w:rsid w:val="006C4193"/>
    <w:rsid w:val="006C61E8"/>
    <w:rsid w:val="006D1884"/>
    <w:rsid w:val="006D65EC"/>
    <w:rsid w:val="006E26DC"/>
    <w:rsid w:val="006E52B8"/>
    <w:rsid w:val="006F32FB"/>
    <w:rsid w:val="00705D83"/>
    <w:rsid w:val="0072112F"/>
    <w:rsid w:val="007253C3"/>
    <w:rsid w:val="00730047"/>
    <w:rsid w:val="0073009C"/>
    <w:rsid w:val="007316BB"/>
    <w:rsid w:val="00731B6F"/>
    <w:rsid w:val="00731E05"/>
    <w:rsid w:val="00736FB9"/>
    <w:rsid w:val="007424FC"/>
    <w:rsid w:val="00762254"/>
    <w:rsid w:val="00767284"/>
    <w:rsid w:val="00771B91"/>
    <w:rsid w:val="007748DA"/>
    <w:rsid w:val="0077685A"/>
    <w:rsid w:val="007824F4"/>
    <w:rsid w:val="00783AB1"/>
    <w:rsid w:val="00784109"/>
    <w:rsid w:val="00785FC5"/>
    <w:rsid w:val="0078631B"/>
    <w:rsid w:val="00791A2B"/>
    <w:rsid w:val="00792EE9"/>
    <w:rsid w:val="0079572A"/>
    <w:rsid w:val="00795D79"/>
    <w:rsid w:val="0079732B"/>
    <w:rsid w:val="007A1121"/>
    <w:rsid w:val="007A1122"/>
    <w:rsid w:val="007A15A6"/>
    <w:rsid w:val="007A278E"/>
    <w:rsid w:val="007B232E"/>
    <w:rsid w:val="007B358E"/>
    <w:rsid w:val="007C6288"/>
    <w:rsid w:val="007D085C"/>
    <w:rsid w:val="007D2280"/>
    <w:rsid w:val="007D3EF7"/>
    <w:rsid w:val="007E5614"/>
    <w:rsid w:val="007F0754"/>
    <w:rsid w:val="007F3198"/>
    <w:rsid w:val="007F515C"/>
    <w:rsid w:val="00800CEA"/>
    <w:rsid w:val="00807AD4"/>
    <w:rsid w:val="008104E0"/>
    <w:rsid w:val="0081387C"/>
    <w:rsid w:val="008269F5"/>
    <w:rsid w:val="00830105"/>
    <w:rsid w:val="0083053E"/>
    <w:rsid w:val="00830CE8"/>
    <w:rsid w:val="00831B5E"/>
    <w:rsid w:val="00831F36"/>
    <w:rsid w:val="0083338E"/>
    <w:rsid w:val="00833A44"/>
    <w:rsid w:val="0083519D"/>
    <w:rsid w:val="00844420"/>
    <w:rsid w:val="00845A34"/>
    <w:rsid w:val="00850445"/>
    <w:rsid w:val="00866791"/>
    <w:rsid w:val="00874FE0"/>
    <w:rsid w:val="008769D5"/>
    <w:rsid w:val="00883131"/>
    <w:rsid w:val="00883A3E"/>
    <w:rsid w:val="00885B2F"/>
    <w:rsid w:val="008868A5"/>
    <w:rsid w:val="00890A80"/>
    <w:rsid w:val="008926E5"/>
    <w:rsid w:val="008926F3"/>
    <w:rsid w:val="00892DB3"/>
    <w:rsid w:val="008957C5"/>
    <w:rsid w:val="00896014"/>
    <w:rsid w:val="0089614B"/>
    <w:rsid w:val="00896556"/>
    <w:rsid w:val="00896FD6"/>
    <w:rsid w:val="00897BD9"/>
    <w:rsid w:val="008A04D3"/>
    <w:rsid w:val="008A0C76"/>
    <w:rsid w:val="008A663F"/>
    <w:rsid w:val="008B05F2"/>
    <w:rsid w:val="008C1795"/>
    <w:rsid w:val="008C4B0D"/>
    <w:rsid w:val="008C75D3"/>
    <w:rsid w:val="008D1E94"/>
    <w:rsid w:val="008D373A"/>
    <w:rsid w:val="008E19F3"/>
    <w:rsid w:val="008E58ED"/>
    <w:rsid w:val="008F2226"/>
    <w:rsid w:val="008F4980"/>
    <w:rsid w:val="008F6707"/>
    <w:rsid w:val="008F6AAF"/>
    <w:rsid w:val="00901813"/>
    <w:rsid w:val="00903020"/>
    <w:rsid w:val="00906176"/>
    <w:rsid w:val="00906E67"/>
    <w:rsid w:val="00915ADA"/>
    <w:rsid w:val="009161BE"/>
    <w:rsid w:val="00917F21"/>
    <w:rsid w:val="009222C9"/>
    <w:rsid w:val="00926825"/>
    <w:rsid w:val="009268FC"/>
    <w:rsid w:val="00926A98"/>
    <w:rsid w:val="00932625"/>
    <w:rsid w:val="009340FD"/>
    <w:rsid w:val="00934141"/>
    <w:rsid w:val="009344C2"/>
    <w:rsid w:val="009345C9"/>
    <w:rsid w:val="0093538A"/>
    <w:rsid w:val="009434D0"/>
    <w:rsid w:val="0094705C"/>
    <w:rsid w:val="009514FE"/>
    <w:rsid w:val="00957B41"/>
    <w:rsid w:val="009644A2"/>
    <w:rsid w:val="00967162"/>
    <w:rsid w:val="00971DE7"/>
    <w:rsid w:val="00973C62"/>
    <w:rsid w:val="0097419E"/>
    <w:rsid w:val="00974A97"/>
    <w:rsid w:val="00977B41"/>
    <w:rsid w:val="00982987"/>
    <w:rsid w:val="0099489F"/>
    <w:rsid w:val="00994B64"/>
    <w:rsid w:val="00996D72"/>
    <w:rsid w:val="009A53B7"/>
    <w:rsid w:val="009A544A"/>
    <w:rsid w:val="009A69B1"/>
    <w:rsid w:val="009A6CDB"/>
    <w:rsid w:val="009B0CA9"/>
    <w:rsid w:val="009B52C2"/>
    <w:rsid w:val="009C0ECA"/>
    <w:rsid w:val="009C283B"/>
    <w:rsid w:val="009C2B04"/>
    <w:rsid w:val="009C3544"/>
    <w:rsid w:val="009C45BA"/>
    <w:rsid w:val="009D7AFB"/>
    <w:rsid w:val="009E0C76"/>
    <w:rsid w:val="009E2833"/>
    <w:rsid w:val="009E317D"/>
    <w:rsid w:val="009E3B52"/>
    <w:rsid w:val="009E3D89"/>
    <w:rsid w:val="009E5B43"/>
    <w:rsid w:val="009E6B59"/>
    <w:rsid w:val="009F2CB2"/>
    <w:rsid w:val="009F2CEE"/>
    <w:rsid w:val="009F59EE"/>
    <w:rsid w:val="009F5CD5"/>
    <w:rsid w:val="009F66D0"/>
    <w:rsid w:val="00A069E2"/>
    <w:rsid w:val="00A073C7"/>
    <w:rsid w:val="00A07431"/>
    <w:rsid w:val="00A07A9F"/>
    <w:rsid w:val="00A11B93"/>
    <w:rsid w:val="00A11C90"/>
    <w:rsid w:val="00A12821"/>
    <w:rsid w:val="00A23C45"/>
    <w:rsid w:val="00A25B10"/>
    <w:rsid w:val="00A36D79"/>
    <w:rsid w:val="00A37A20"/>
    <w:rsid w:val="00A4618A"/>
    <w:rsid w:val="00A5429B"/>
    <w:rsid w:val="00A553A9"/>
    <w:rsid w:val="00A61F80"/>
    <w:rsid w:val="00A62CCA"/>
    <w:rsid w:val="00A641DB"/>
    <w:rsid w:val="00A65B9D"/>
    <w:rsid w:val="00A70932"/>
    <w:rsid w:val="00A719A5"/>
    <w:rsid w:val="00A72F83"/>
    <w:rsid w:val="00A7372B"/>
    <w:rsid w:val="00A74A1E"/>
    <w:rsid w:val="00A7509B"/>
    <w:rsid w:val="00A7796E"/>
    <w:rsid w:val="00A77F44"/>
    <w:rsid w:val="00A86656"/>
    <w:rsid w:val="00A87B14"/>
    <w:rsid w:val="00A93638"/>
    <w:rsid w:val="00A97D07"/>
    <w:rsid w:val="00AA218A"/>
    <w:rsid w:val="00AB3D30"/>
    <w:rsid w:val="00AB4794"/>
    <w:rsid w:val="00AB4842"/>
    <w:rsid w:val="00AB7CCF"/>
    <w:rsid w:val="00AC614D"/>
    <w:rsid w:val="00AC7F1C"/>
    <w:rsid w:val="00AE05ED"/>
    <w:rsid w:val="00AE44CB"/>
    <w:rsid w:val="00AE55D4"/>
    <w:rsid w:val="00AE72D7"/>
    <w:rsid w:val="00AF1038"/>
    <w:rsid w:val="00B01F39"/>
    <w:rsid w:val="00B05862"/>
    <w:rsid w:val="00B11974"/>
    <w:rsid w:val="00B12CF8"/>
    <w:rsid w:val="00B15519"/>
    <w:rsid w:val="00B15922"/>
    <w:rsid w:val="00B244B9"/>
    <w:rsid w:val="00B27178"/>
    <w:rsid w:val="00B30A9E"/>
    <w:rsid w:val="00B3265A"/>
    <w:rsid w:val="00B36901"/>
    <w:rsid w:val="00B37F41"/>
    <w:rsid w:val="00B4245F"/>
    <w:rsid w:val="00B43ABC"/>
    <w:rsid w:val="00B470FB"/>
    <w:rsid w:val="00B479EB"/>
    <w:rsid w:val="00B51125"/>
    <w:rsid w:val="00B52CDF"/>
    <w:rsid w:val="00B65A3B"/>
    <w:rsid w:val="00B72652"/>
    <w:rsid w:val="00B815A3"/>
    <w:rsid w:val="00B91CEE"/>
    <w:rsid w:val="00B94777"/>
    <w:rsid w:val="00B95BB2"/>
    <w:rsid w:val="00B95EBA"/>
    <w:rsid w:val="00BA0BC1"/>
    <w:rsid w:val="00BA1D82"/>
    <w:rsid w:val="00BA1FA3"/>
    <w:rsid w:val="00BA23D8"/>
    <w:rsid w:val="00BA4230"/>
    <w:rsid w:val="00BA45FD"/>
    <w:rsid w:val="00BA7722"/>
    <w:rsid w:val="00BB4512"/>
    <w:rsid w:val="00BB4D49"/>
    <w:rsid w:val="00BB51F4"/>
    <w:rsid w:val="00BB58F0"/>
    <w:rsid w:val="00BB6439"/>
    <w:rsid w:val="00BB675F"/>
    <w:rsid w:val="00BD0936"/>
    <w:rsid w:val="00BD17B0"/>
    <w:rsid w:val="00BD3715"/>
    <w:rsid w:val="00BD4EBD"/>
    <w:rsid w:val="00BD5A47"/>
    <w:rsid w:val="00BD6E76"/>
    <w:rsid w:val="00BF4092"/>
    <w:rsid w:val="00BF44F1"/>
    <w:rsid w:val="00C02E39"/>
    <w:rsid w:val="00C04F1A"/>
    <w:rsid w:val="00C05CCC"/>
    <w:rsid w:val="00C07F35"/>
    <w:rsid w:val="00C15993"/>
    <w:rsid w:val="00C17C49"/>
    <w:rsid w:val="00C23E32"/>
    <w:rsid w:val="00C2555B"/>
    <w:rsid w:val="00C31E67"/>
    <w:rsid w:val="00C33A4A"/>
    <w:rsid w:val="00C4086A"/>
    <w:rsid w:val="00C42CA5"/>
    <w:rsid w:val="00C42FAF"/>
    <w:rsid w:val="00C47E7D"/>
    <w:rsid w:val="00C52DA0"/>
    <w:rsid w:val="00C60BBC"/>
    <w:rsid w:val="00C6644B"/>
    <w:rsid w:val="00C668FF"/>
    <w:rsid w:val="00C7532A"/>
    <w:rsid w:val="00C7663D"/>
    <w:rsid w:val="00C80ADA"/>
    <w:rsid w:val="00C81DF4"/>
    <w:rsid w:val="00C83132"/>
    <w:rsid w:val="00C864DC"/>
    <w:rsid w:val="00C908E5"/>
    <w:rsid w:val="00C9156E"/>
    <w:rsid w:val="00C947C0"/>
    <w:rsid w:val="00C947CE"/>
    <w:rsid w:val="00CA1722"/>
    <w:rsid w:val="00CA1806"/>
    <w:rsid w:val="00CA5872"/>
    <w:rsid w:val="00CA7CAF"/>
    <w:rsid w:val="00CB06F8"/>
    <w:rsid w:val="00CB18B1"/>
    <w:rsid w:val="00CB38CA"/>
    <w:rsid w:val="00CB6F2B"/>
    <w:rsid w:val="00CB7254"/>
    <w:rsid w:val="00CC0CB0"/>
    <w:rsid w:val="00CC1067"/>
    <w:rsid w:val="00CC3D3D"/>
    <w:rsid w:val="00CC65C5"/>
    <w:rsid w:val="00CC73AB"/>
    <w:rsid w:val="00CD12BC"/>
    <w:rsid w:val="00CD3324"/>
    <w:rsid w:val="00CD46EA"/>
    <w:rsid w:val="00CD4A18"/>
    <w:rsid w:val="00CD575C"/>
    <w:rsid w:val="00CE0770"/>
    <w:rsid w:val="00CE6C6E"/>
    <w:rsid w:val="00CE76FD"/>
    <w:rsid w:val="00CF2033"/>
    <w:rsid w:val="00D0061B"/>
    <w:rsid w:val="00D012CF"/>
    <w:rsid w:val="00D016C3"/>
    <w:rsid w:val="00D01832"/>
    <w:rsid w:val="00D0526B"/>
    <w:rsid w:val="00D07AA2"/>
    <w:rsid w:val="00D1081A"/>
    <w:rsid w:val="00D160DE"/>
    <w:rsid w:val="00D21C96"/>
    <w:rsid w:val="00D30074"/>
    <w:rsid w:val="00D30854"/>
    <w:rsid w:val="00D31127"/>
    <w:rsid w:val="00D320FC"/>
    <w:rsid w:val="00D333B4"/>
    <w:rsid w:val="00D3359F"/>
    <w:rsid w:val="00D40C89"/>
    <w:rsid w:val="00D47B55"/>
    <w:rsid w:val="00D47B8A"/>
    <w:rsid w:val="00D50703"/>
    <w:rsid w:val="00D531E4"/>
    <w:rsid w:val="00D53C47"/>
    <w:rsid w:val="00D53E59"/>
    <w:rsid w:val="00D60444"/>
    <w:rsid w:val="00D605B1"/>
    <w:rsid w:val="00D60D98"/>
    <w:rsid w:val="00D61FAA"/>
    <w:rsid w:val="00D62038"/>
    <w:rsid w:val="00D628D2"/>
    <w:rsid w:val="00D62FEC"/>
    <w:rsid w:val="00D65C4E"/>
    <w:rsid w:val="00D67EA6"/>
    <w:rsid w:val="00D71EA0"/>
    <w:rsid w:val="00D721F1"/>
    <w:rsid w:val="00D73F33"/>
    <w:rsid w:val="00D74A93"/>
    <w:rsid w:val="00D80B6D"/>
    <w:rsid w:val="00D80F78"/>
    <w:rsid w:val="00D84488"/>
    <w:rsid w:val="00D844C8"/>
    <w:rsid w:val="00D84B7D"/>
    <w:rsid w:val="00D8513A"/>
    <w:rsid w:val="00D85BBB"/>
    <w:rsid w:val="00D85FB4"/>
    <w:rsid w:val="00D906BE"/>
    <w:rsid w:val="00D943AD"/>
    <w:rsid w:val="00D9690A"/>
    <w:rsid w:val="00DA2C91"/>
    <w:rsid w:val="00DA5316"/>
    <w:rsid w:val="00DA7B87"/>
    <w:rsid w:val="00DB0343"/>
    <w:rsid w:val="00DB342A"/>
    <w:rsid w:val="00DB63D9"/>
    <w:rsid w:val="00DB7121"/>
    <w:rsid w:val="00DB7E77"/>
    <w:rsid w:val="00DC0BD6"/>
    <w:rsid w:val="00DC0F17"/>
    <w:rsid w:val="00DC30D0"/>
    <w:rsid w:val="00DC37CE"/>
    <w:rsid w:val="00DC422E"/>
    <w:rsid w:val="00DD67DA"/>
    <w:rsid w:val="00DD7940"/>
    <w:rsid w:val="00DE1840"/>
    <w:rsid w:val="00DE1B89"/>
    <w:rsid w:val="00DE59C6"/>
    <w:rsid w:val="00DF2E5A"/>
    <w:rsid w:val="00DF3A69"/>
    <w:rsid w:val="00DF4305"/>
    <w:rsid w:val="00E00DC6"/>
    <w:rsid w:val="00E04B02"/>
    <w:rsid w:val="00E058A3"/>
    <w:rsid w:val="00E10ABF"/>
    <w:rsid w:val="00E130CB"/>
    <w:rsid w:val="00E151F3"/>
    <w:rsid w:val="00E17539"/>
    <w:rsid w:val="00E244E6"/>
    <w:rsid w:val="00E27028"/>
    <w:rsid w:val="00E32C50"/>
    <w:rsid w:val="00E423C3"/>
    <w:rsid w:val="00E4323F"/>
    <w:rsid w:val="00E5280E"/>
    <w:rsid w:val="00E52CEE"/>
    <w:rsid w:val="00E54A8E"/>
    <w:rsid w:val="00E563FC"/>
    <w:rsid w:val="00E57F9B"/>
    <w:rsid w:val="00E60634"/>
    <w:rsid w:val="00E6319B"/>
    <w:rsid w:val="00E6726D"/>
    <w:rsid w:val="00E80764"/>
    <w:rsid w:val="00E80FCB"/>
    <w:rsid w:val="00E81433"/>
    <w:rsid w:val="00E81C95"/>
    <w:rsid w:val="00E845C0"/>
    <w:rsid w:val="00E852A3"/>
    <w:rsid w:val="00E914B7"/>
    <w:rsid w:val="00E93103"/>
    <w:rsid w:val="00EA0295"/>
    <w:rsid w:val="00EA0C1C"/>
    <w:rsid w:val="00EA477A"/>
    <w:rsid w:val="00EA5D92"/>
    <w:rsid w:val="00EB307B"/>
    <w:rsid w:val="00EB5354"/>
    <w:rsid w:val="00EC3779"/>
    <w:rsid w:val="00EC7F0E"/>
    <w:rsid w:val="00ED2D1F"/>
    <w:rsid w:val="00ED58E9"/>
    <w:rsid w:val="00ED79D6"/>
    <w:rsid w:val="00EE1831"/>
    <w:rsid w:val="00EE3DAD"/>
    <w:rsid w:val="00EF2F7C"/>
    <w:rsid w:val="00EF3FC0"/>
    <w:rsid w:val="00EF61B5"/>
    <w:rsid w:val="00F00A40"/>
    <w:rsid w:val="00F05773"/>
    <w:rsid w:val="00F0773E"/>
    <w:rsid w:val="00F14982"/>
    <w:rsid w:val="00F22A26"/>
    <w:rsid w:val="00F23C0F"/>
    <w:rsid w:val="00F2598D"/>
    <w:rsid w:val="00F32739"/>
    <w:rsid w:val="00F336A2"/>
    <w:rsid w:val="00F36BA0"/>
    <w:rsid w:val="00F44AEB"/>
    <w:rsid w:val="00F45620"/>
    <w:rsid w:val="00F5304D"/>
    <w:rsid w:val="00F532E2"/>
    <w:rsid w:val="00F5470D"/>
    <w:rsid w:val="00F5638B"/>
    <w:rsid w:val="00F628BC"/>
    <w:rsid w:val="00F7277F"/>
    <w:rsid w:val="00F72E32"/>
    <w:rsid w:val="00F73B85"/>
    <w:rsid w:val="00F829B7"/>
    <w:rsid w:val="00F84A4F"/>
    <w:rsid w:val="00F8617B"/>
    <w:rsid w:val="00F9173C"/>
    <w:rsid w:val="00F975AD"/>
    <w:rsid w:val="00FA2D1E"/>
    <w:rsid w:val="00FB18D0"/>
    <w:rsid w:val="00FB2241"/>
    <w:rsid w:val="00FB2315"/>
    <w:rsid w:val="00FB2ED6"/>
    <w:rsid w:val="00FB412B"/>
    <w:rsid w:val="00FB59EE"/>
    <w:rsid w:val="00FB6B8F"/>
    <w:rsid w:val="00FC2522"/>
    <w:rsid w:val="00FC5B56"/>
    <w:rsid w:val="00FD4B12"/>
    <w:rsid w:val="00FD5009"/>
    <w:rsid w:val="00FD62DC"/>
    <w:rsid w:val="00FD6A70"/>
    <w:rsid w:val="00FE1EC8"/>
    <w:rsid w:val="00FE3560"/>
    <w:rsid w:val="00FE3E09"/>
    <w:rsid w:val="00FE4FBF"/>
    <w:rsid w:val="00FF1E5A"/>
    <w:rsid w:val="00FF6AA1"/>
    <w:rsid w:val="00FF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  <w:style w:type="character" w:styleId="Zdraznn">
    <w:name w:val="Emphasis"/>
    <w:basedOn w:val="Standardnpsmoodstavce"/>
    <w:uiPriority w:val="20"/>
    <w:qFormat/>
    <w:rsid w:val="00E563FC"/>
    <w:rPr>
      <w:i/>
      <w:iCs/>
    </w:rPr>
  </w:style>
  <w:style w:type="character" w:styleId="Siln">
    <w:name w:val="Strong"/>
    <w:basedOn w:val="Standardnpsmoodstavce"/>
    <w:uiPriority w:val="22"/>
    <w:qFormat/>
    <w:rsid w:val="00A553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hyperlink" Target="mailto:michaela.sahulova@bcas.cz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28" Type="http://schemas.openxmlformats.org/officeDocument/2006/relationships/theme" Target="theme/theme1.xm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91E39E-34A3-49DD-A0C9-F0A145217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935</Words>
  <Characters>5218</Characters>
  <Application>Microsoft Office Word</Application>
  <DocSecurity>0</DocSecurity>
  <Lines>96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Michaela Sahulová</cp:lastModifiedBy>
  <cp:revision>22</cp:revision>
  <dcterms:created xsi:type="dcterms:W3CDTF">2022-09-21T15:57:00Z</dcterms:created>
  <dcterms:modified xsi:type="dcterms:W3CDTF">2022-09-23T08:06:00Z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