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87392F9"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D7707C"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73513135" w:rsidR="004B2FF6" w:rsidRPr="00B03461" w:rsidRDefault="006A5A20" w:rsidP="004B2FF6">
      <w:pPr>
        <w:jc w:val="center"/>
        <w:rPr>
          <w:rFonts w:ascii="Arial" w:hAnsi="Arial" w:cs="Arial"/>
          <w:b/>
          <w:sz w:val="28"/>
          <w:szCs w:val="28"/>
        </w:rPr>
      </w:pPr>
      <w:r>
        <w:rPr>
          <w:rFonts w:ascii="Arial" w:hAnsi="Arial" w:cs="Arial"/>
          <w:b/>
          <w:sz w:val="28"/>
          <w:szCs w:val="28"/>
        </w:rPr>
        <w:t xml:space="preserve"> </w:t>
      </w:r>
      <w:r w:rsidR="00F36EC6">
        <w:rPr>
          <w:rFonts w:ascii="Arial" w:hAnsi="Arial" w:cs="Arial"/>
          <w:b/>
          <w:sz w:val="28"/>
          <w:szCs w:val="28"/>
        </w:rPr>
        <w:t xml:space="preserve">Broker </w:t>
      </w:r>
      <w:proofErr w:type="spellStart"/>
      <w:r w:rsidR="00F36EC6">
        <w:rPr>
          <w:rFonts w:ascii="Arial" w:hAnsi="Arial" w:cs="Arial"/>
          <w:b/>
          <w:sz w:val="28"/>
          <w:szCs w:val="28"/>
        </w:rPr>
        <w:t>Consulting</w:t>
      </w:r>
      <w:proofErr w:type="spellEnd"/>
      <w:r w:rsidR="00F36EC6">
        <w:rPr>
          <w:rFonts w:ascii="Arial" w:hAnsi="Arial" w:cs="Arial"/>
          <w:b/>
          <w:sz w:val="28"/>
          <w:szCs w:val="28"/>
        </w:rPr>
        <w:t xml:space="preserve"> Index spotřebitelských úvěrů hlásí překročení osmiprocentní úrokové sazby</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3F0CAF" w:rsidRDefault="003C7F98" w:rsidP="0076114C">
      <w:pPr>
        <w:jc w:val="both"/>
        <w:rPr>
          <w:rFonts w:ascii="Arial" w:hAnsi="Arial" w:cs="Arial"/>
          <w:bCs/>
          <w:i/>
          <w:sz w:val="21"/>
          <w:szCs w:val="21"/>
        </w:rPr>
      </w:pPr>
    </w:p>
    <w:p w14:paraId="0B842348" w14:textId="36CD5434" w:rsidR="007A74F9" w:rsidRDefault="003C7F98" w:rsidP="00BA3EE0">
      <w:pPr>
        <w:jc w:val="both"/>
        <w:rPr>
          <w:rFonts w:ascii="Arial" w:hAnsi="Arial" w:cs="Arial"/>
          <w:b/>
          <w:bCs/>
          <w:sz w:val="21"/>
          <w:szCs w:val="21"/>
        </w:rPr>
      </w:pPr>
      <w:r w:rsidRPr="003F0CAF">
        <w:rPr>
          <w:rFonts w:ascii="Arial" w:hAnsi="Arial" w:cs="Arial"/>
          <w:bCs/>
          <w:i/>
          <w:sz w:val="21"/>
          <w:szCs w:val="21"/>
        </w:rPr>
        <w:t xml:space="preserve">Praha, </w:t>
      </w:r>
      <w:r w:rsidR="00C73DAB">
        <w:rPr>
          <w:rFonts w:ascii="Arial" w:hAnsi="Arial" w:cs="Arial"/>
          <w:bCs/>
          <w:i/>
          <w:sz w:val="21"/>
          <w:szCs w:val="21"/>
        </w:rPr>
        <w:t>31</w:t>
      </w:r>
      <w:r w:rsidR="00F36EC6">
        <w:rPr>
          <w:rFonts w:ascii="Arial" w:hAnsi="Arial" w:cs="Arial"/>
          <w:bCs/>
          <w:i/>
          <w:sz w:val="21"/>
          <w:szCs w:val="21"/>
        </w:rPr>
        <w:t>. srpna</w:t>
      </w:r>
      <w:r w:rsidR="000618FE">
        <w:rPr>
          <w:rFonts w:ascii="Arial" w:hAnsi="Arial" w:cs="Arial"/>
          <w:bCs/>
          <w:i/>
          <w:sz w:val="21"/>
          <w:szCs w:val="21"/>
        </w:rPr>
        <w:t xml:space="preserve"> </w:t>
      </w:r>
      <w:r w:rsidRPr="003F0CAF">
        <w:rPr>
          <w:rFonts w:ascii="Arial" w:hAnsi="Arial" w:cs="Arial"/>
          <w:bCs/>
          <w:sz w:val="21"/>
          <w:szCs w:val="21"/>
        </w:rPr>
        <w:t xml:space="preserve">– </w:t>
      </w:r>
      <w:r w:rsidR="00C73DAB">
        <w:rPr>
          <w:rFonts w:ascii="Arial" w:hAnsi="Arial" w:cs="Arial"/>
          <w:b/>
          <w:bCs/>
          <w:sz w:val="21"/>
          <w:szCs w:val="21"/>
        </w:rPr>
        <w:t xml:space="preserve">Další růst </w:t>
      </w:r>
      <w:r w:rsidR="007A74F9">
        <w:rPr>
          <w:rFonts w:ascii="Arial" w:hAnsi="Arial" w:cs="Arial"/>
          <w:b/>
          <w:bCs/>
          <w:sz w:val="21"/>
          <w:szCs w:val="21"/>
        </w:rPr>
        <w:t xml:space="preserve">úrokových sazeb u bezúčelových úvěrů zaznamenal </w:t>
      </w:r>
      <w:r w:rsidR="0040257E" w:rsidRPr="006B58D8">
        <w:rPr>
          <w:rFonts w:ascii="Arial" w:hAnsi="Arial" w:cs="Arial"/>
          <w:b/>
          <w:bCs/>
          <w:sz w:val="21"/>
          <w:szCs w:val="21"/>
        </w:rPr>
        <w:t xml:space="preserve">Broker </w:t>
      </w:r>
      <w:proofErr w:type="spellStart"/>
      <w:r w:rsidR="0040257E" w:rsidRPr="006B58D8">
        <w:rPr>
          <w:rFonts w:ascii="Arial" w:hAnsi="Arial" w:cs="Arial"/>
          <w:b/>
          <w:bCs/>
          <w:sz w:val="21"/>
          <w:szCs w:val="21"/>
        </w:rPr>
        <w:t>Consulting</w:t>
      </w:r>
      <w:proofErr w:type="spellEnd"/>
      <w:r w:rsidR="0040257E" w:rsidRPr="006B58D8">
        <w:rPr>
          <w:rFonts w:ascii="Arial" w:hAnsi="Arial" w:cs="Arial"/>
          <w:b/>
          <w:bCs/>
          <w:sz w:val="21"/>
          <w:szCs w:val="21"/>
        </w:rPr>
        <w:t xml:space="preserve"> Index spotřebitelských úvěrů.</w:t>
      </w:r>
      <w:r w:rsidR="007A74F9">
        <w:rPr>
          <w:rFonts w:ascii="Arial" w:hAnsi="Arial" w:cs="Arial"/>
          <w:b/>
          <w:bCs/>
          <w:sz w:val="21"/>
          <w:szCs w:val="21"/>
        </w:rPr>
        <w:t xml:space="preserve"> V červenci podle něj vzrostly úrokové sazby ve srovnání s červnem o 0,32 procentního bodu, na celkovou hodnotu 8,24 %. </w:t>
      </w:r>
      <w:r w:rsidR="00BD56B7">
        <w:rPr>
          <w:rFonts w:ascii="Arial" w:hAnsi="Arial" w:cs="Arial"/>
          <w:b/>
          <w:bCs/>
          <w:sz w:val="21"/>
          <w:szCs w:val="21"/>
        </w:rPr>
        <w:t>Od začátku roku</w:t>
      </w:r>
      <w:r w:rsidR="002F56BD">
        <w:rPr>
          <w:rFonts w:ascii="Arial" w:hAnsi="Arial" w:cs="Arial"/>
          <w:b/>
          <w:bCs/>
          <w:sz w:val="21"/>
          <w:szCs w:val="21"/>
        </w:rPr>
        <w:t xml:space="preserve"> tudíž</w:t>
      </w:r>
      <w:r w:rsidR="009834E2">
        <w:rPr>
          <w:rFonts w:ascii="Arial" w:hAnsi="Arial" w:cs="Arial"/>
          <w:b/>
          <w:bCs/>
          <w:sz w:val="21"/>
          <w:szCs w:val="21"/>
        </w:rPr>
        <w:t xml:space="preserve"> úrokové sazby narostly </w:t>
      </w:r>
      <w:r w:rsidR="00B63CDD">
        <w:rPr>
          <w:rFonts w:ascii="Arial" w:hAnsi="Arial" w:cs="Arial"/>
          <w:b/>
          <w:bCs/>
          <w:sz w:val="21"/>
          <w:szCs w:val="21"/>
        </w:rPr>
        <w:t>o více než dva procentní body</w:t>
      </w:r>
      <w:bookmarkStart w:id="0" w:name="_GoBack"/>
      <w:bookmarkEnd w:id="0"/>
      <w:r w:rsidR="00BD56B7">
        <w:rPr>
          <w:rFonts w:ascii="Arial" w:hAnsi="Arial" w:cs="Arial"/>
          <w:b/>
          <w:bCs/>
          <w:sz w:val="21"/>
          <w:szCs w:val="21"/>
        </w:rPr>
        <w:t xml:space="preserve">. Pokračování dlouhodobého trendu </w:t>
      </w:r>
      <w:r w:rsidR="00762590">
        <w:rPr>
          <w:rFonts w:ascii="Arial" w:hAnsi="Arial" w:cs="Arial"/>
          <w:b/>
          <w:bCs/>
          <w:sz w:val="21"/>
          <w:szCs w:val="21"/>
        </w:rPr>
        <w:t>růstu</w:t>
      </w:r>
      <w:r w:rsidR="002F56BD">
        <w:rPr>
          <w:rFonts w:ascii="Arial" w:hAnsi="Arial" w:cs="Arial"/>
          <w:b/>
          <w:bCs/>
          <w:sz w:val="21"/>
          <w:szCs w:val="21"/>
        </w:rPr>
        <w:t xml:space="preserve"> sazeb</w:t>
      </w:r>
      <w:r w:rsidR="00762590">
        <w:rPr>
          <w:rFonts w:ascii="Arial" w:hAnsi="Arial" w:cs="Arial"/>
          <w:b/>
          <w:bCs/>
          <w:sz w:val="21"/>
          <w:szCs w:val="21"/>
        </w:rPr>
        <w:t xml:space="preserve"> předpokládají</w:t>
      </w:r>
      <w:r w:rsidR="002F56BD">
        <w:rPr>
          <w:rFonts w:ascii="Arial" w:hAnsi="Arial" w:cs="Arial"/>
          <w:b/>
          <w:bCs/>
          <w:sz w:val="21"/>
          <w:szCs w:val="21"/>
        </w:rPr>
        <w:t xml:space="preserve"> </w:t>
      </w:r>
      <w:r w:rsidR="00BD56B7">
        <w:rPr>
          <w:rFonts w:ascii="Arial" w:hAnsi="Arial" w:cs="Arial"/>
          <w:b/>
          <w:bCs/>
          <w:sz w:val="21"/>
          <w:szCs w:val="21"/>
        </w:rPr>
        <w:t>na úvě</w:t>
      </w:r>
      <w:r w:rsidR="00762590">
        <w:rPr>
          <w:rFonts w:ascii="Arial" w:hAnsi="Arial" w:cs="Arial"/>
          <w:b/>
          <w:bCs/>
          <w:sz w:val="21"/>
          <w:szCs w:val="21"/>
        </w:rPr>
        <w:t xml:space="preserve">rovém trhu </w:t>
      </w:r>
      <w:r w:rsidR="00BD56B7">
        <w:rPr>
          <w:rFonts w:ascii="Arial" w:hAnsi="Arial" w:cs="Arial"/>
          <w:b/>
          <w:bCs/>
          <w:sz w:val="21"/>
          <w:szCs w:val="21"/>
        </w:rPr>
        <w:t>odborníci i v dalším období.</w:t>
      </w:r>
    </w:p>
    <w:p w14:paraId="62444E3F" w14:textId="717AC0A4" w:rsidR="00C73DAB" w:rsidRDefault="00C73DAB" w:rsidP="00BA3EE0">
      <w:pPr>
        <w:jc w:val="both"/>
        <w:rPr>
          <w:rFonts w:ascii="Arial" w:hAnsi="Arial" w:cs="Arial"/>
          <w:b/>
          <w:bCs/>
          <w:sz w:val="21"/>
          <w:szCs w:val="21"/>
        </w:rPr>
      </w:pPr>
    </w:p>
    <w:p w14:paraId="292F13BD" w14:textId="514E85DB" w:rsidR="000F29D1" w:rsidRDefault="008875C1" w:rsidP="00CA172B">
      <w:pPr>
        <w:jc w:val="both"/>
        <w:rPr>
          <w:rFonts w:ascii="Arial" w:hAnsi="Arial" w:cs="Arial"/>
          <w:color w:val="000000"/>
          <w:sz w:val="20"/>
          <w:szCs w:val="20"/>
        </w:rPr>
      </w:pPr>
      <w:r>
        <w:rPr>
          <w:rFonts w:ascii="Arial" w:hAnsi="Arial" w:cs="Arial"/>
          <w:color w:val="000000"/>
          <w:sz w:val="20"/>
          <w:szCs w:val="20"/>
        </w:rPr>
        <w:t xml:space="preserve">Ve srovnání s červnem </w:t>
      </w:r>
      <w:r w:rsidR="000F29D1">
        <w:rPr>
          <w:rFonts w:ascii="Arial" w:hAnsi="Arial" w:cs="Arial"/>
          <w:color w:val="000000"/>
          <w:sz w:val="20"/>
          <w:szCs w:val="20"/>
        </w:rPr>
        <w:t xml:space="preserve">došlo </w:t>
      </w:r>
      <w:r>
        <w:rPr>
          <w:rFonts w:ascii="Arial" w:hAnsi="Arial" w:cs="Arial"/>
          <w:color w:val="000000"/>
          <w:sz w:val="20"/>
          <w:szCs w:val="20"/>
        </w:rPr>
        <w:t>meziměsíčně</w:t>
      </w:r>
      <w:r w:rsidR="00F90003">
        <w:rPr>
          <w:rFonts w:ascii="Arial" w:hAnsi="Arial" w:cs="Arial"/>
          <w:color w:val="000000"/>
          <w:sz w:val="20"/>
          <w:szCs w:val="20"/>
        </w:rPr>
        <w:t xml:space="preserve"> </w:t>
      </w:r>
      <w:r w:rsidR="000F29D1">
        <w:rPr>
          <w:rFonts w:ascii="Arial" w:hAnsi="Arial" w:cs="Arial"/>
          <w:color w:val="000000"/>
          <w:sz w:val="20"/>
          <w:szCs w:val="20"/>
        </w:rPr>
        <w:t xml:space="preserve">k opětovnému nárůstu úrokové sazby u spotřebitelských úvěrů. Průměrná sazba tak vzrostla o třetinu procenta, vychází to z měřených dat Broker </w:t>
      </w:r>
      <w:proofErr w:type="spellStart"/>
      <w:r w:rsidR="000F29D1">
        <w:rPr>
          <w:rFonts w:ascii="Arial" w:hAnsi="Arial" w:cs="Arial"/>
          <w:color w:val="000000"/>
          <w:sz w:val="20"/>
          <w:szCs w:val="20"/>
        </w:rPr>
        <w:t>Consulting</w:t>
      </w:r>
      <w:proofErr w:type="spellEnd"/>
      <w:r w:rsidR="000F29D1">
        <w:rPr>
          <w:rFonts w:ascii="Arial" w:hAnsi="Arial" w:cs="Arial"/>
          <w:color w:val="000000"/>
          <w:sz w:val="20"/>
          <w:szCs w:val="20"/>
        </w:rPr>
        <w:t xml:space="preserve"> Indexu spotřebitelských úvěrů, který</w:t>
      </w:r>
      <w:r w:rsidR="00C40D7F">
        <w:rPr>
          <w:rFonts w:ascii="Arial" w:hAnsi="Arial" w:cs="Arial"/>
          <w:color w:val="000000"/>
          <w:sz w:val="20"/>
          <w:szCs w:val="20"/>
        </w:rPr>
        <w:t xml:space="preserve"> vychází z</w:t>
      </w:r>
      <w:r w:rsidR="00BE7068">
        <w:rPr>
          <w:rFonts w:ascii="Arial" w:hAnsi="Arial" w:cs="Arial"/>
          <w:color w:val="000000"/>
          <w:sz w:val="20"/>
          <w:szCs w:val="20"/>
        </w:rPr>
        <w:t xml:space="preserve"> reálné statistiky </w:t>
      </w:r>
      <w:r w:rsidR="00C40D7F">
        <w:rPr>
          <w:rFonts w:ascii="Arial" w:hAnsi="Arial" w:cs="Arial"/>
          <w:color w:val="000000"/>
          <w:sz w:val="20"/>
          <w:szCs w:val="20"/>
        </w:rPr>
        <w:t>poskytnutých</w:t>
      </w:r>
      <w:r w:rsidR="000F29D1">
        <w:rPr>
          <w:rFonts w:ascii="Arial" w:hAnsi="Arial" w:cs="Arial"/>
          <w:color w:val="000000"/>
          <w:sz w:val="20"/>
          <w:szCs w:val="20"/>
        </w:rPr>
        <w:t xml:space="preserve"> úvěrů na cokoliv</w:t>
      </w:r>
      <w:r w:rsidR="00C40D7F">
        <w:rPr>
          <w:rFonts w:ascii="Arial" w:hAnsi="Arial" w:cs="Arial"/>
          <w:color w:val="000000"/>
          <w:sz w:val="20"/>
          <w:szCs w:val="20"/>
        </w:rPr>
        <w:t>. Z</w:t>
      </w:r>
      <w:r w:rsidR="000F29D1">
        <w:rPr>
          <w:rFonts w:ascii="Arial" w:hAnsi="Arial" w:cs="Arial"/>
          <w:color w:val="000000"/>
          <w:sz w:val="20"/>
          <w:szCs w:val="20"/>
        </w:rPr>
        <w:t>a červenec se tak dostal průměrný úrok nad hranici osmi pr</w:t>
      </w:r>
      <w:r w:rsidR="00C40D7F">
        <w:rPr>
          <w:rFonts w:ascii="Arial" w:hAnsi="Arial" w:cs="Arial"/>
          <w:color w:val="000000"/>
          <w:sz w:val="20"/>
          <w:szCs w:val="20"/>
        </w:rPr>
        <w:t xml:space="preserve">ocent, </w:t>
      </w:r>
      <w:r>
        <w:rPr>
          <w:rFonts w:ascii="Arial" w:hAnsi="Arial" w:cs="Arial"/>
          <w:color w:val="000000"/>
          <w:sz w:val="20"/>
          <w:szCs w:val="20"/>
        </w:rPr>
        <w:t xml:space="preserve">jeho </w:t>
      </w:r>
      <w:r w:rsidR="00C40D7F">
        <w:rPr>
          <w:rFonts w:ascii="Arial" w:hAnsi="Arial" w:cs="Arial"/>
          <w:color w:val="000000"/>
          <w:sz w:val="20"/>
          <w:szCs w:val="20"/>
        </w:rPr>
        <w:t>výsled</w:t>
      </w:r>
      <w:r>
        <w:rPr>
          <w:rFonts w:ascii="Arial" w:hAnsi="Arial" w:cs="Arial"/>
          <w:color w:val="000000"/>
          <w:sz w:val="20"/>
          <w:szCs w:val="20"/>
        </w:rPr>
        <w:t xml:space="preserve">ná hodnota se podle grafu zastavila na </w:t>
      </w:r>
      <w:r w:rsidR="00C40D7F">
        <w:rPr>
          <w:rFonts w:ascii="Arial" w:hAnsi="Arial" w:cs="Arial"/>
          <w:color w:val="000000"/>
          <w:sz w:val="20"/>
          <w:szCs w:val="20"/>
        </w:rPr>
        <w:t xml:space="preserve">8,24 %. Naposledy se k podobnému číslu index přiblížil </w:t>
      </w:r>
      <w:r w:rsidR="00F90003">
        <w:rPr>
          <w:rFonts w:ascii="Arial" w:hAnsi="Arial" w:cs="Arial"/>
          <w:color w:val="000000"/>
          <w:sz w:val="20"/>
          <w:szCs w:val="20"/>
        </w:rPr>
        <w:t xml:space="preserve">v období mezi březnem a dubnem roku 2017, tedy v prvních </w:t>
      </w:r>
      <w:r w:rsidR="00467E69">
        <w:rPr>
          <w:rFonts w:ascii="Arial" w:hAnsi="Arial" w:cs="Arial"/>
          <w:color w:val="000000"/>
          <w:sz w:val="20"/>
          <w:szCs w:val="20"/>
        </w:rPr>
        <w:t>měsících analytického</w:t>
      </w:r>
      <w:r w:rsidR="00856806">
        <w:rPr>
          <w:rFonts w:ascii="Arial" w:hAnsi="Arial" w:cs="Arial"/>
          <w:color w:val="000000"/>
          <w:sz w:val="20"/>
          <w:szCs w:val="20"/>
        </w:rPr>
        <w:t xml:space="preserve"> měření.</w:t>
      </w:r>
    </w:p>
    <w:p w14:paraId="5DBA90BD" w14:textId="6D45AF7A" w:rsidR="00650123" w:rsidRDefault="00650123" w:rsidP="00CA172B">
      <w:pPr>
        <w:jc w:val="both"/>
        <w:rPr>
          <w:rFonts w:ascii="Arial" w:hAnsi="Arial" w:cs="Arial"/>
          <w:sz w:val="20"/>
          <w:szCs w:val="20"/>
        </w:rPr>
      </w:pPr>
    </w:p>
    <w:p w14:paraId="0EB162BE" w14:textId="3069D2E3" w:rsidR="00C73DAB" w:rsidRPr="00DD3AB0" w:rsidRDefault="00650123" w:rsidP="00DD3AB0">
      <w:pPr>
        <w:jc w:val="both"/>
        <w:rPr>
          <w:rFonts w:ascii="Arial" w:hAnsi="Arial" w:cs="Arial"/>
          <w:color w:val="000000"/>
        </w:rPr>
      </w:pPr>
      <w:r>
        <w:rPr>
          <w:rFonts w:ascii="Arial" w:hAnsi="Arial" w:cs="Arial"/>
          <w:sz w:val="20"/>
          <w:szCs w:val="20"/>
          <w:lang w:eastAsia="en-US"/>
        </w:rPr>
        <w:t xml:space="preserve">Někteří poskytovatelé bezúčelových úvěrů nabízí </w:t>
      </w:r>
      <w:r w:rsidR="00CA172B">
        <w:rPr>
          <w:rFonts w:ascii="Arial" w:hAnsi="Arial" w:cs="Arial"/>
          <w:sz w:val="20"/>
          <w:szCs w:val="20"/>
          <w:lang w:eastAsia="en-US"/>
        </w:rPr>
        <w:t xml:space="preserve">navíc </w:t>
      </w:r>
      <w:r>
        <w:rPr>
          <w:rFonts w:ascii="Arial" w:hAnsi="Arial" w:cs="Arial"/>
          <w:sz w:val="20"/>
          <w:szCs w:val="20"/>
          <w:lang w:eastAsia="en-US"/>
        </w:rPr>
        <w:t>svým</w:t>
      </w:r>
      <w:r w:rsidRPr="007320FB">
        <w:rPr>
          <w:rFonts w:ascii="Arial" w:hAnsi="Arial" w:cs="Arial"/>
          <w:sz w:val="20"/>
          <w:szCs w:val="20"/>
          <w:lang w:eastAsia="en-US"/>
        </w:rPr>
        <w:t xml:space="preserve"> kli</w:t>
      </w:r>
      <w:r>
        <w:rPr>
          <w:rFonts w:ascii="Arial" w:hAnsi="Arial" w:cs="Arial"/>
          <w:sz w:val="20"/>
          <w:szCs w:val="20"/>
          <w:lang w:eastAsia="en-US"/>
        </w:rPr>
        <w:t>entům možnost</w:t>
      </w:r>
      <w:r w:rsidRPr="007320FB">
        <w:rPr>
          <w:rFonts w:ascii="Arial" w:hAnsi="Arial" w:cs="Arial"/>
          <w:sz w:val="20"/>
          <w:szCs w:val="20"/>
          <w:lang w:eastAsia="en-US"/>
        </w:rPr>
        <w:t xml:space="preserve"> </w:t>
      </w:r>
      <w:proofErr w:type="spellStart"/>
      <w:r>
        <w:rPr>
          <w:rFonts w:ascii="Arial" w:hAnsi="Arial" w:cs="Arial"/>
          <w:sz w:val="20"/>
          <w:szCs w:val="20"/>
          <w:lang w:eastAsia="en-US"/>
        </w:rPr>
        <w:t>předschváleného</w:t>
      </w:r>
      <w:proofErr w:type="spellEnd"/>
      <w:r>
        <w:rPr>
          <w:rFonts w:ascii="Arial" w:hAnsi="Arial" w:cs="Arial"/>
          <w:sz w:val="20"/>
          <w:szCs w:val="20"/>
          <w:lang w:eastAsia="en-US"/>
        </w:rPr>
        <w:t xml:space="preserve"> limitu pro čerpání úvěrů. V rámci individuální nabídky, která spočívá zejména v kladné historii klienta v příslušné bance (vedení běžného účtu nebo jiného úvěrového produktu</w:t>
      </w:r>
      <w:r w:rsidR="00CA172B">
        <w:rPr>
          <w:rFonts w:ascii="Arial" w:hAnsi="Arial" w:cs="Arial"/>
          <w:sz w:val="20"/>
          <w:szCs w:val="20"/>
          <w:lang w:eastAsia="en-US"/>
        </w:rPr>
        <w:t>), může klient získat bezúčelový úvěr jednodušší cestou a bez dalšího dokládání příjmu. Nabízené limity se totiž odvíjí od pravidelných příjmů, které klientovi přicházejí na účet</w:t>
      </w:r>
      <w:r w:rsidR="00FB3309">
        <w:rPr>
          <w:rFonts w:ascii="Arial" w:hAnsi="Arial" w:cs="Arial"/>
          <w:sz w:val="20"/>
          <w:szCs w:val="20"/>
          <w:lang w:eastAsia="en-US"/>
        </w:rPr>
        <w:t xml:space="preserve"> u dané banky</w:t>
      </w:r>
      <w:r w:rsidR="00CA172B">
        <w:rPr>
          <w:rFonts w:ascii="Arial" w:hAnsi="Arial" w:cs="Arial"/>
          <w:sz w:val="20"/>
          <w:szCs w:val="20"/>
          <w:lang w:eastAsia="en-US"/>
        </w:rPr>
        <w:t xml:space="preserve">, a jsou měsíčně aktualizovány. </w:t>
      </w:r>
      <w:r w:rsidR="00DD3AB0">
        <w:rPr>
          <w:rFonts w:ascii="Arial" w:hAnsi="Arial" w:cs="Arial"/>
          <w:sz w:val="20"/>
          <w:szCs w:val="20"/>
          <w:lang w:eastAsia="en-US"/>
        </w:rPr>
        <w:t xml:space="preserve">Nabídku zvýhodněných limitů najdou klienti ve svém internetovém bankovnictví nebo jí získají prostřednictvím bankovního poradce, který je osloví. Nad rámec celkové nabídky může klient požádat o vyšší limit, a to prostřednictvím standardního procesu uvnitř banky. Ten může být kladně vyrozuměn za podmínky pozitivního záznamů </w:t>
      </w:r>
      <w:r w:rsidR="002B7F6D">
        <w:rPr>
          <w:rFonts w:ascii="Arial" w:hAnsi="Arial" w:cs="Arial"/>
          <w:sz w:val="20"/>
          <w:szCs w:val="20"/>
          <w:lang w:eastAsia="en-US"/>
        </w:rPr>
        <w:t xml:space="preserve">o klientovi </w:t>
      </w:r>
      <w:r w:rsidR="00DD3AB0">
        <w:rPr>
          <w:rFonts w:ascii="Arial" w:hAnsi="Arial" w:cs="Arial"/>
          <w:sz w:val="20"/>
          <w:szCs w:val="20"/>
          <w:lang w:eastAsia="en-US"/>
        </w:rPr>
        <w:t>v externích registrech.</w:t>
      </w:r>
    </w:p>
    <w:p w14:paraId="4625C3CD" w14:textId="21908280" w:rsidR="00C73DAB" w:rsidRDefault="00C73DAB" w:rsidP="00C73DAB">
      <w:pPr>
        <w:rPr>
          <w:rFonts w:ascii="Arial" w:hAnsi="Arial" w:cs="Arial"/>
          <w:color w:val="000000"/>
          <w:sz w:val="20"/>
          <w:szCs w:val="20"/>
        </w:rPr>
      </w:pPr>
    </w:p>
    <w:p w14:paraId="36D1D9FB" w14:textId="7B8952DC" w:rsidR="00AA7977" w:rsidRPr="004E1737" w:rsidRDefault="00DD3AB0" w:rsidP="006548C4">
      <w:pPr>
        <w:jc w:val="both"/>
        <w:rPr>
          <w:rFonts w:ascii="Arial" w:hAnsi="Arial" w:cs="Arial"/>
          <w:i/>
          <w:color w:val="000000"/>
          <w:sz w:val="20"/>
          <w:szCs w:val="20"/>
          <w:shd w:val="clear" w:color="auto" w:fill="FFFFFF"/>
        </w:rPr>
      </w:pPr>
      <w:r>
        <w:rPr>
          <w:rFonts w:ascii="Arial" w:hAnsi="Arial" w:cs="Arial"/>
          <w:color w:val="000000"/>
          <w:sz w:val="20"/>
          <w:szCs w:val="20"/>
        </w:rPr>
        <w:t xml:space="preserve">Experti na úvěry nabádají k obezřetnosti a racionálnímu zhodnocení potřeby čerpání tohoto typu úvěru. </w:t>
      </w:r>
      <w:r w:rsidR="00F90003" w:rsidRPr="00681F49">
        <w:rPr>
          <w:rFonts w:ascii="Arial" w:hAnsi="Arial" w:cs="Arial"/>
          <w:color w:val="000000"/>
          <w:sz w:val="20"/>
          <w:szCs w:val="20"/>
        </w:rPr>
        <w:t>„</w:t>
      </w:r>
      <w:r w:rsidR="00C73DAB" w:rsidRPr="00681F49">
        <w:rPr>
          <w:rFonts w:ascii="Arial" w:hAnsi="Arial" w:cs="Arial"/>
          <w:i/>
          <w:color w:val="000000"/>
          <w:sz w:val="20"/>
          <w:szCs w:val="20"/>
        </w:rPr>
        <w:t xml:space="preserve">V době stoupajících cen energií, potravin i </w:t>
      </w:r>
      <w:r w:rsidR="00F90003" w:rsidRPr="00681F49">
        <w:rPr>
          <w:rFonts w:ascii="Arial" w:hAnsi="Arial" w:cs="Arial"/>
          <w:i/>
          <w:color w:val="000000"/>
          <w:sz w:val="20"/>
          <w:szCs w:val="20"/>
        </w:rPr>
        <w:t xml:space="preserve">ostatního </w:t>
      </w:r>
      <w:r w:rsidR="00C73DAB" w:rsidRPr="00681F49">
        <w:rPr>
          <w:rFonts w:ascii="Arial" w:hAnsi="Arial" w:cs="Arial"/>
          <w:i/>
          <w:color w:val="000000"/>
          <w:sz w:val="20"/>
          <w:szCs w:val="20"/>
        </w:rPr>
        <w:t>spotřebního zboží je pro určitou skupinu klie</w:t>
      </w:r>
      <w:r w:rsidR="00F90003" w:rsidRPr="00681F49">
        <w:rPr>
          <w:rFonts w:ascii="Arial" w:hAnsi="Arial" w:cs="Arial"/>
          <w:i/>
          <w:color w:val="000000"/>
          <w:sz w:val="20"/>
          <w:szCs w:val="20"/>
        </w:rPr>
        <w:t>ntů těžké odolat nabídkám rychle získané</w:t>
      </w:r>
      <w:r w:rsidR="00C73DAB" w:rsidRPr="00681F49">
        <w:rPr>
          <w:rFonts w:ascii="Arial" w:hAnsi="Arial" w:cs="Arial"/>
          <w:i/>
          <w:color w:val="000000"/>
          <w:sz w:val="20"/>
          <w:szCs w:val="20"/>
        </w:rPr>
        <w:t xml:space="preserve"> hotovosti</w:t>
      </w:r>
      <w:r w:rsidR="00F90003" w:rsidRPr="00681F49">
        <w:rPr>
          <w:rFonts w:ascii="Arial" w:hAnsi="Arial" w:cs="Arial"/>
          <w:color w:val="000000"/>
          <w:sz w:val="20"/>
          <w:szCs w:val="20"/>
        </w:rPr>
        <w:t xml:space="preserve">,“ sděluje k aktuální situaci </w:t>
      </w:r>
      <w:r w:rsidR="00F90003" w:rsidRPr="00681F49">
        <w:rPr>
          <w:rFonts w:ascii="Arial" w:hAnsi="Arial" w:cs="Arial"/>
          <w:b/>
          <w:sz w:val="20"/>
          <w:szCs w:val="20"/>
        </w:rPr>
        <w:t>Michaela Pudilová</w:t>
      </w:r>
      <w:r w:rsidR="00F90003" w:rsidRPr="00681F49">
        <w:rPr>
          <w:rFonts w:ascii="Arial" w:hAnsi="Arial" w:cs="Arial"/>
          <w:sz w:val="20"/>
          <w:szCs w:val="20"/>
        </w:rPr>
        <w:t xml:space="preserve">, </w:t>
      </w:r>
      <w:r w:rsidR="00F90003" w:rsidRPr="00681F49">
        <w:rPr>
          <w:rFonts w:ascii="Arial" w:hAnsi="Arial" w:cs="Arial"/>
          <w:b/>
          <w:sz w:val="20"/>
          <w:szCs w:val="20"/>
        </w:rPr>
        <w:t xml:space="preserve">analytička hypotečních a spotřebitelských úvěrů ze společnosti Broker </w:t>
      </w:r>
      <w:proofErr w:type="spellStart"/>
      <w:r w:rsidR="00F90003" w:rsidRPr="00681F49">
        <w:rPr>
          <w:rFonts w:ascii="Arial" w:hAnsi="Arial" w:cs="Arial"/>
          <w:b/>
          <w:sz w:val="20"/>
          <w:szCs w:val="20"/>
        </w:rPr>
        <w:t>Consulting</w:t>
      </w:r>
      <w:proofErr w:type="spellEnd"/>
      <w:r w:rsidR="00F90003" w:rsidRPr="00681F49">
        <w:rPr>
          <w:rFonts w:ascii="Arial" w:hAnsi="Arial" w:cs="Arial"/>
          <w:b/>
          <w:sz w:val="20"/>
          <w:szCs w:val="20"/>
        </w:rPr>
        <w:t>.</w:t>
      </w:r>
      <w:r w:rsidR="00AA7977" w:rsidRPr="00681F49">
        <w:rPr>
          <w:rFonts w:ascii="Arial" w:hAnsi="Arial" w:cs="Arial"/>
          <w:b/>
          <w:sz w:val="20"/>
          <w:szCs w:val="20"/>
        </w:rPr>
        <w:t xml:space="preserve"> </w:t>
      </w:r>
      <w:r w:rsidR="00AA7977" w:rsidRPr="00681F49">
        <w:rPr>
          <w:rFonts w:ascii="Arial" w:hAnsi="Arial" w:cs="Arial"/>
          <w:sz w:val="20"/>
          <w:szCs w:val="20"/>
        </w:rPr>
        <w:t>Ta zároveň dodává že: „</w:t>
      </w:r>
      <w:r w:rsidR="00AA7977" w:rsidRPr="00681F49">
        <w:rPr>
          <w:rFonts w:ascii="Arial" w:hAnsi="Arial" w:cs="Arial"/>
          <w:i/>
          <w:color w:val="000000"/>
          <w:sz w:val="20"/>
          <w:szCs w:val="20"/>
        </w:rPr>
        <w:t>Spotřebitelský úvěr je</w:t>
      </w:r>
      <w:r w:rsidR="005E1193" w:rsidRPr="00681F49">
        <w:rPr>
          <w:rFonts w:ascii="Arial" w:hAnsi="Arial" w:cs="Arial"/>
          <w:i/>
          <w:color w:val="000000"/>
          <w:sz w:val="20"/>
          <w:szCs w:val="20"/>
        </w:rPr>
        <w:t xml:space="preserve"> sice</w:t>
      </w:r>
      <w:r w:rsidR="00AA7977" w:rsidRPr="00681F49">
        <w:rPr>
          <w:rFonts w:ascii="Arial" w:hAnsi="Arial" w:cs="Arial"/>
          <w:i/>
          <w:color w:val="000000"/>
          <w:sz w:val="20"/>
          <w:szCs w:val="20"/>
        </w:rPr>
        <w:t xml:space="preserve"> dobrý sluha, ale špatný pán. Vždy je nutné si uvědomit, zda pravidelná splátka úvěru příliš nezatíží rodinný rozpočet. </w:t>
      </w:r>
      <w:r w:rsidR="00AA7977" w:rsidRPr="00681F49">
        <w:rPr>
          <w:rFonts w:ascii="Arial" w:hAnsi="Arial" w:cs="Arial"/>
          <w:i/>
          <w:color w:val="000000"/>
          <w:sz w:val="20"/>
          <w:szCs w:val="20"/>
          <w:shd w:val="clear" w:color="auto" w:fill="FFFFFF"/>
        </w:rPr>
        <w:t>Banky totiž takto svým klientům nabízí i stovky tisíc korun, které</w:t>
      </w:r>
      <w:r w:rsidR="005E1193" w:rsidRPr="00681F49">
        <w:rPr>
          <w:rFonts w:ascii="Arial" w:hAnsi="Arial" w:cs="Arial"/>
          <w:i/>
          <w:color w:val="000000"/>
          <w:sz w:val="20"/>
          <w:szCs w:val="20"/>
          <w:shd w:val="clear" w:color="auto" w:fill="FFFFFF"/>
        </w:rPr>
        <w:t xml:space="preserve"> </w:t>
      </w:r>
      <w:r w:rsidR="002B7F6D">
        <w:rPr>
          <w:rFonts w:ascii="Arial" w:hAnsi="Arial" w:cs="Arial"/>
          <w:i/>
          <w:color w:val="000000"/>
          <w:sz w:val="20"/>
          <w:szCs w:val="20"/>
          <w:shd w:val="clear" w:color="auto" w:fill="FFFFFF"/>
        </w:rPr>
        <w:t>mnohdy nemusí být</w:t>
      </w:r>
      <w:r w:rsidR="004E1737">
        <w:rPr>
          <w:rFonts w:ascii="Arial" w:hAnsi="Arial" w:cs="Arial"/>
          <w:i/>
          <w:color w:val="000000"/>
          <w:sz w:val="20"/>
          <w:szCs w:val="20"/>
          <w:shd w:val="clear" w:color="auto" w:fill="FFFFFF"/>
        </w:rPr>
        <w:t xml:space="preserve"> nezbytně </w:t>
      </w:r>
      <w:r w:rsidR="005E1193" w:rsidRPr="00681F49">
        <w:rPr>
          <w:rFonts w:ascii="Arial" w:hAnsi="Arial" w:cs="Arial"/>
          <w:i/>
          <w:color w:val="000000"/>
          <w:sz w:val="20"/>
          <w:szCs w:val="20"/>
          <w:shd w:val="clear" w:color="auto" w:fill="FFFFFF"/>
        </w:rPr>
        <w:t>potřeba.</w:t>
      </w:r>
      <w:r w:rsidR="00AA7977" w:rsidRPr="00681F49">
        <w:rPr>
          <w:rFonts w:ascii="Arial" w:hAnsi="Arial" w:cs="Arial"/>
          <w:color w:val="000000"/>
          <w:sz w:val="20"/>
          <w:szCs w:val="20"/>
          <w:shd w:val="clear" w:color="auto" w:fill="FFFFFF"/>
        </w:rPr>
        <w:t>“</w:t>
      </w:r>
    </w:p>
    <w:p w14:paraId="5148662F" w14:textId="05E988E6" w:rsidR="00EB48E6" w:rsidRPr="00EB48E6" w:rsidRDefault="00EB48E6" w:rsidP="003F0CAF">
      <w:pPr>
        <w:jc w:val="both"/>
        <w:rPr>
          <w:rFonts w:ascii="Arial" w:hAnsi="Arial" w:cs="Arial"/>
          <w:iCs/>
          <w:sz w:val="20"/>
          <w:szCs w:val="20"/>
        </w:rPr>
      </w:pPr>
    </w:p>
    <w:p w14:paraId="7D9E8769" w14:textId="0A9BE758" w:rsidR="00EC3BED" w:rsidRPr="009D01A2" w:rsidRDefault="00EC3BED" w:rsidP="009D01A2">
      <w:pPr>
        <w:jc w:val="both"/>
        <w:rPr>
          <w:rFonts w:ascii="Arial" w:hAnsi="Arial" w:cs="Arial"/>
          <w:sz w:val="20"/>
          <w:szCs w:val="20"/>
        </w:rPr>
      </w:pPr>
    </w:p>
    <w:p w14:paraId="645DDC81" w14:textId="5F65CB5E" w:rsidR="008F3C6D" w:rsidRDefault="00ED1BBB" w:rsidP="00D6265B">
      <w:pPr>
        <w:jc w:val="center"/>
        <w:rPr>
          <w:rFonts w:ascii="Arial" w:eastAsia="Times New Roman" w:hAnsi="Arial" w:cs="Arial"/>
          <w:b/>
          <w:color w:val="FF0000"/>
          <w:sz w:val="20"/>
          <w:szCs w:val="20"/>
        </w:rPr>
      </w:pPr>
      <w:r w:rsidRPr="00ED1BBB">
        <w:rPr>
          <w:rFonts w:ascii="Arial" w:eastAsia="Times New Roman" w:hAnsi="Arial" w:cs="Arial"/>
          <w:b/>
          <w:noProof/>
          <w:color w:val="FF0000"/>
          <w:sz w:val="20"/>
          <w:szCs w:val="20"/>
          <w:bdr w:val="single" w:sz="4" w:space="0" w:color="auto"/>
          <w:lang w:bidi="ar-SA"/>
        </w:rPr>
        <w:drawing>
          <wp:inline distT="0" distB="0" distL="0" distR="0" wp14:anchorId="531F2966" wp14:editId="7D79E136">
            <wp:extent cx="6635750" cy="2834476"/>
            <wp:effectExtent l="0" t="0" r="0" b="4445"/>
            <wp:docPr id="2" name="Obrázek 2" descr="C:\Users\msahulova\Desktop\INDEX SÚ\Graf BC Index spotřebitelských úvěrů - červenec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INDEX SÚ\Graf BC Index spotřebitelských úvěrů - červenec 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750" cy="2834476"/>
                    </a:xfrm>
                    <a:prstGeom prst="rect">
                      <a:avLst/>
                    </a:prstGeom>
                    <a:noFill/>
                    <a:ln>
                      <a:noFill/>
                    </a:ln>
                  </pic:spPr>
                </pic:pic>
              </a:graphicData>
            </a:graphic>
          </wp:inline>
        </w:drawing>
      </w:r>
    </w:p>
    <w:p w14:paraId="1FE6FB25" w14:textId="77777777" w:rsidR="00C42C49" w:rsidRDefault="00C42C49" w:rsidP="004B2FF6">
      <w:pPr>
        <w:jc w:val="both"/>
        <w:rPr>
          <w:rFonts w:ascii="Arial" w:hAnsi="Arial" w:cs="Arial"/>
          <w:sz w:val="20"/>
          <w:szCs w:val="20"/>
        </w:rPr>
      </w:pPr>
    </w:p>
    <w:p w14:paraId="4269CE9A" w14:textId="2304D419" w:rsidR="008F3C6D" w:rsidRDefault="008F3C6D" w:rsidP="004B2FF6">
      <w:pPr>
        <w:jc w:val="both"/>
        <w:rPr>
          <w:rFonts w:ascii="Arial" w:hAnsi="Arial" w:cs="Arial"/>
          <w:sz w:val="20"/>
          <w:szCs w:val="20"/>
        </w:rPr>
      </w:pPr>
      <w:r w:rsidRPr="00F51B95">
        <w:rPr>
          <w:rFonts w:ascii="Arial" w:hAnsi="Arial" w:cs="Arial"/>
          <w:sz w:val="20"/>
          <w:szCs w:val="20"/>
        </w:rPr>
        <w:t xml:space="preserve">Broker </w:t>
      </w:r>
      <w:proofErr w:type="spellStart"/>
      <w:r w:rsidRPr="00F51B95">
        <w:rPr>
          <w:rFonts w:ascii="Arial" w:hAnsi="Arial" w:cs="Arial"/>
          <w:sz w:val="20"/>
          <w:szCs w:val="20"/>
        </w:rPr>
        <w:t>Consulting</w:t>
      </w:r>
      <w:proofErr w:type="spellEnd"/>
      <w:r w:rsidRPr="00F51B95">
        <w:rPr>
          <w:rFonts w:ascii="Arial" w:hAnsi="Arial" w:cs="Arial"/>
          <w:sz w:val="20"/>
          <w:szCs w:val="20"/>
        </w:rPr>
        <w:t xml:space="preserve"> Index spotřebitelských úvěrů je analytický nástroj, který ukazuje průměrnou úrokovou sazbu </w:t>
      </w:r>
      <w:r w:rsidR="00BE768F">
        <w:rPr>
          <w:rFonts w:ascii="Arial" w:hAnsi="Arial" w:cs="Arial"/>
          <w:sz w:val="20"/>
          <w:szCs w:val="20"/>
        </w:rPr>
        <w:br/>
      </w:r>
      <w:r w:rsidRPr="00F51B95">
        <w:rPr>
          <w:rFonts w:ascii="Arial" w:hAnsi="Arial" w:cs="Arial"/>
          <w:sz w:val="20"/>
          <w:szCs w:val="20"/>
        </w:rPr>
        <w:t xml:space="preserve">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w:t>
      </w:r>
      <w:r w:rsidRPr="00F51B95">
        <w:rPr>
          <w:rFonts w:ascii="Arial" w:hAnsi="Arial" w:cs="Arial"/>
          <w:sz w:val="20"/>
          <w:szCs w:val="20"/>
        </w:rPr>
        <w:lastRenderedPageBreak/>
        <w:t>závislý na datech dodávaných třetími stranami.</w:t>
      </w:r>
    </w:p>
    <w:p w14:paraId="0B4992BC" w14:textId="77777777" w:rsidR="00BE768F" w:rsidRPr="00F51B95" w:rsidRDefault="00BE768F"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208EECFF" w:rsidR="008F3C6D" w:rsidRDefault="008F3C6D" w:rsidP="008F3C6D">
      <w:pPr>
        <w:rPr>
          <w:rFonts w:ascii="Arial" w:eastAsia="Calibri" w:hAnsi="Arial" w:cs="Arial"/>
          <w:noProof/>
          <w:sz w:val="18"/>
          <w:szCs w:val="18"/>
        </w:rPr>
      </w:pPr>
      <w:r w:rsidRPr="00FA6B22">
        <w:rPr>
          <w:rFonts w:ascii="Arial" w:eastAsia="Calibri" w:hAnsi="Arial" w:cs="Arial"/>
          <w:noProof/>
          <w:sz w:val="18"/>
          <w:szCs w:val="18"/>
        </w:rPr>
        <w:t>Office Park Nové Butovice (Budova B)</w:t>
      </w:r>
      <w:r w:rsidRPr="00FA6B22">
        <w:rPr>
          <w:rFonts w:ascii="Arial" w:eastAsia="Calibri" w:hAnsi="Arial" w:cs="Arial"/>
          <w:noProof/>
          <w:sz w:val="18"/>
          <w:szCs w:val="18"/>
        </w:rPr>
        <w:br/>
        <w:t>Bucharova 1423/6, 158 00 Praha 5</w:t>
      </w:r>
    </w:p>
    <w:p w14:paraId="1B4DF70A" w14:textId="24F83474" w:rsidR="005F7E72" w:rsidRPr="00E05804" w:rsidRDefault="005F7E72" w:rsidP="005F7E72">
      <w:pPr>
        <w:pStyle w:val="Bezmezer"/>
        <w:rPr>
          <w:rFonts w:ascii="Arial" w:eastAsia="Calibri" w:hAnsi="Arial" w:cs="Arial"/>
          <w:bCs/>
          <w:noProof/>
          <w:sz w:val="20"/>
          <w:szCs w:val="20"/>
        </w:rPr>
      </w:pPr>
      <w:r>
        <w:rPr>
          <w:rFonts w:ascii="Arial" w:eastAsia="Calibri" w:hAnsi="Arial" w:cs="Arial"/>
          <w:bCs/>
          <w:noProof/>
          <w:sz w:val="20"/>
          <w:szCs w:val="20"/>
        </w:rPr>
        <w:t>m</w:t>
      </w:r>
      <w:r w:rsidRPr="00E32181">
        <w:rPr>
          <w:rFonts w:ascii="Arial" w:eastAsia="Calibri" w:hAnsi="Arial" w:cs="Arial"/>
          <w:bCs/>
          <w:noProof/>
          <w:sz w:val="20"/>
          <w:szCs w:val="20"/>
        </w:rPr>
        <w:t>obil: +420</w:t>
      </w:r>
      <w:r>
        <w:rPr>
          <w:rFonts w:ascii="Arial" w:eastAsia="Calibri" w:hAnsi="Arial" w:cs="Arial"/>
          <w:noProof/>
          <w:sz w:val="20"/>
          <w:szCs w:val="20"/>
        </w:rPr>
        <w:t> 731 538 373</w:t>
      </w:r>
    </w:p>
    <w:p w14:paraId="45D37221" w14:textId="01E5AB91" w:rsidR="008F3C6D" w:rsidRDefault="008F3C6D" w:rsidP="008F3C6D">
      <w:pPr>
        <w:rPr>
          <w:rFonts w:ascii="Arial" w:hAnsi="Arial" w:cs="Arial"/>
          <w:sz w:val="18"/>
          <w:szCs w:val="18"/>
        </w:rPr>
      </w:pPr>
      <w:r w:rsidRPr="00FA6B22">
        <w:rPr>
          <w:rFonts w:ascii="Arial" w:eastAsia="Calibri" w:hAnsi="Arial" w:cs="Arial"/>
          <w:noProof/>
          <w:sz w:val="18"/>
          <w:szCs w:val="18"/>
        </w:rPr>
        <w:t xml:space="preserve">e-mail: </w:t>
      </w:r>
      <w:hyperlink r:id="rId25" w:history="1">
        <w:r w:rsidR="00FA6B22" w:rsidRPr="008F2BCF">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4D428" w14:textId="77777777" w:rsidR="00D7707C" w:rsidRDefault="00D7707C">
      <w:r>
        <w:separator/>
      </w:r>
    </w:p>
  </w:endnote>
  <w:endnote w:type="continuationSeparator" w:id="0">
    <w:p w14:paraId="4D777375" w14:textId="77777777" w:rsidR="00D7707C" w:rsidRDefault="00D77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D7707C"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D7707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D7707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A997B" w14:textId="77777777" w:rsidR="00D7707C" w:rsidRDefault="00D7707C">
      <w:r>
        <w:separator/>
      </w:r>
    </w:p>
  </w:footnote>
  <w:footnote w:type="continuationSeparator" w:id="0">
    <w:p w14:paraId="2AE773A3" w14:textId="77777777" w:rsidR="00D7707C" w:rsidRDefault="00D77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8FE"/>
    <w:rsid w:val="00061ABB"/>
    <w:rsid w:val="00070675"/>
    <w:rsid w:val="000766E7"/>
    <w:rsid w:val="00080552"/>
    <w:rsid w:val="00081616"/>
    <w:rsid w:val="000853D4"/>
    <w:rsid w:val="00087263"/>
    <w:rsid w:val="0009776B"/>
    <w:rsid w:val="000B0D84"/>
    <w:rsid w:val="000B2F39"/>
    <w:rsid w:val="000B5339"/>
    <w:rsid w:val="000C1853"/>
    <w:rsid w:val="000C4C77"/>
    <w:rsid w:val="000D14E2"/>
    <w:rsid w:val="000D5F5D"/>
    <w:rsid w:val="000D7A4D"/>
    <w:rsid w:val="000E0EEC"/>
    <w:rsid w:val="000E168E"/>
    <w:rsid w:val="000E3D86"/>
    <w:rsid w:val="000F1EC4"/>
    <w:rsid w:val="000F29D1"/>
    <w:rsid w:val="000F6249"/>
    <w:rsid w:val="00103543"/>
    <w:rsid w:val="001069A1"/>
    <w:rsid w:val="0010739A"/>
    <w:rsid w:val="00111C28"/>
    <w:rsid w:val="00112079"/>
    <w:rsid w:val="00112D65"/>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460D"/>
    <w:rsid w:val="001901D0"/>
    <w:rsid w:val="00191B34"/>
    <w:rsid w:val="00192716"/>
    <w:rsid w:val="00192C2A"/>
    <w:rsid w:val="00193550"/>
    <w:rsid w:val="00194C95"/>
    <w:rsid w:val="001A54DD"/>
    <w:rsid w:val="001B296D"/>
    <w:rsid w:val="001B29C7"/>
    <w:rsid w:val="001B501B"/>
    <w:rsid w:val="001D015A"/>
    <w:rsid w:val="001D3DFC"/>
    <w:rsid w:val="001D4EA8"/>
    <w:rsid w:val="001D6965"/>
    <w:rsid w:val="001E22F1"/>
    <w:rsid w:val="001E3FBF"/>
    <w:rsid w:val="001E4209"/>
    <w:rsid w:val="001F045E"/>
    <w:rsid w:val="001F25C4"/>
    <w:rsid w:val="001F2BE0"/>
    <w:rsid w:val="001F3CF1"/>
    <w:rsid w:val="001F7194"/>
    <w:rsid w:val="001F71BA"/>
    <w:rsid w:val="00200B65"/>
    <w:rsid w:val="002141AF"/>
    <w:rsid w:val="00220944"/>
    <w:rsid w:val="0023042D"/>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70DB3"/>
    <w:rsid w:val="0028590C"/>
    <w:rsid w:val="002A0285"/>
    <w:rsid w:val="002A3F19"/>
    <w:rsid w:val="002A6FA3"/>
    <w:rsid w:val="002A7325"/>
    <w:rsid w:val="002B0728"/>
    <w:rsid w:val="002B1317"/>
    <w:rsid w:val="002B7DA9"/>
    <w:rsid w:val="002B7F6D"/>
    <w:rsid w:val="002C0240"/>
    <w:rsid w:val="002C4A25"/>
    <w:rsid w:val="002D1619"/>
    <w:rsid w:val="002E633F"/>
    <w:rsid w:val="002F002B"/>
    <w:rsid w:val="002F05B2"/>
    <w:rsid w:val="002F485A"/>
    <w:rsid w:val="002F56BD"/>
    <w:rsid w:val="002F7EC2"/>
    <w:rsid w:val="003001F4"/>
    <w:rsid w:val="003028DB"/>
    <w:rsid w:val="003055CB"/>
    <w:rsid w:val="00306FE1"/>
    <w:rsid w:val="00307E95"/>
    <w:rsid w:val="00310BEB"/>
    <w:rsid w:val="0031287A"/>
    <w:rsid w:val="003128F8"/>
    <w:rsid w:val="00316FA6"/>
    <w:rsid w:val="0031712D"/>
    <w:rsid w:val="00320455"/>
    <w:rsid w:val="00321E19"/>
    <w:rsid w:val="003247B0"/>
    <w:rsid w:val="00330918"/>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EED"/>
    <w:rsid w:val="00390B58"/>
    <w:rsid w:val="00392024"/>
    <w:rsid w:val="003948A1"/>
    <w:rsid w:val="003A1549"/>
    <w:rsid w:val="003A2887"/>
    <w:rsid w:val="003A375A"/>
    <w:rsid w:val="003A43AB"/>
    <w:rsid w:val="003A6435"/>
    <w:rsid w:val="003B0E4E"/>
    <w:rsid w:val="003B0E4F"/>
    <w:rsid w:val="003C0CBE"/>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75C9"/>
    <w:rsid w:val="004116FD"/>
    <w:rsid w:val="0042193A"/>
    <w:rsid w:val="00433F20"/>
    <w:rsid w:val="00435342"/>
    <w:rsid w:val="00445D0A"/>
    <w:rsid w:val="00454843"/>
    <w:rsid w:val="004556BB"/>
    <w:rsid w:val="00457FFE"/>
    <w:rsid w:val="00460FA7"/>
    <w:rsid w:val="00461BF2"/>
    <w:rsid w:val="004627B9"/>
    <w:rsid w:val="004678E9"/>
    <w:rsid w:val="00467E69"/>
    <w:rsid w:val="00471166"/>
    <w:rsid w:val="00473E24"/>
    <w:rsid w:val="00480982"/>
    <w:rsid w:val="00486655"/>
    <w:rsid w:val="004B2DF6"/>
    <w:rsid w:val="004B2FF6"/>
    <w:rsid w:val="004B4E91"/>
    <w:rsid w:val="004B5797"/>
    <w:rsid w:val="004C222D"/>
    <w:rsid w:val="004C3DD1"/>
    <w:rsid w:val="004C3F71"/>
    <w:rsid w:val="004D5CC6"/>
    <w:rsid w:val="004E1737"/>
    <w:rsid w:val="004F5D36"/>
    <w:rsid w:val="004F6195"/>
    <w:rsid w:val="0050659B"/>
    <w:rsid w:val="005130A9"/>
    <w:rsid w:val="005153F7"/>
    <w:rsid w:val="00515952"/>
    <w:rsid w:val="005224C1"/>
    <w:rsid w:val="005231DA"/>
    <w:rsid w:val="0053153F"/>
    <w:rsid w:val="00531C9F"/>
    <w:rsid w:val="005361AF"/>
    <w:rsid w:val="00536954"/>
    <w:rsid w:val="00540606"/>
    <w:rsid w:val="00541870"/>
    <w:rsid w:val="005436EC"/>
    <w:rsid w:val="00544A37"/>
    <w:rsid w:val="00545971"/>
    <w:rsid w:val="00551FDB"/>
    <w:rsid w:val="00554D18"/>
    <w:rsid w:val="0056501A"/>
    <w:rsid w:val="00573886"/>
    <w:rsid w:val="00577D19"/>
    <w:rsid w:val="005907CD"/>
    <w:rsid w:val="005A2139"/>
    <w:rsid w:val="005A37E5"/>
    <w:rsid w:val="005A4EB8"/>
    <w:rsid w:val="005A5BBA"/>
    <w:rsid w:val="005A5F08"/>
    <w:rsid w:val="005B3143"/>
    <w:rsid w:val="005B31D7"/>
    <w:rsid w:val="005C150C"/>
    <w:rsid w:val="005C318A"/>
    <w:rsid w:val="005D52F3"/>
    <w:rsid w:val="005E1193"/>
    <w:rsid w:val="005F2D95"/>
    <w:rsid w:val="005F6BD8"/>
    <w:rsid w:val="005F7E72"/>
    <w:rsid w:val="005F7EAE"/>
    <w:rsid w:val="006135FD"/>
    <w:rsid w:val="006166CE"/>
    <w:rsid w:val="006218E4"/>
    <w:rsid w:val="00623C47"/>
    <w:rsid w:val="0062747C"/>
    <w:rsid w:val="0064160C"/>
    <w:rsid w:val="00650123"/>
    <w:rsid w:val="006509E8"/>
    <w:rsid w:val="006542CA"/>
    <w:rsid w:val="006548C4"/>
    <w:rsid w:val="0066135D"/>
    <w:rsid w:val="00664259"/>
    <w:rsid w:val="00664867"/>
    <w:rsid w:val="00667012"/>
    <w:rsid w:val="006768F0"/>
    <w:rsid w:val="00677078"/>
    <w:rsid w:val="00681F49"/>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4027"/>
    <w:rsid w:val="006B58D8"/>
    <w:rsid w:val="006B7185"/>
    <w:rsid w:val="006C5ED3"/>
    <w:rsid w:val="006C61E8"/>
    <w:rsid w:val="006D2B43"/>
    <w:rsid w:val="006D65EC"/>
    <w:rsid w:val="006E26DC"/>
    <w:rsid w:val="006E6A2F"/>
    <w:rsid w:val="006E70A0"/>
    <w:rsid w:val="006F32FB"/>
    <w:rsid w:val="007046C5"/>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667F"/>
    <w:rsid w:val="00771B91"/>
    <w:rsid w:val="00772415"/>
    <w:rsid w:val="007725B8"/>
    <w:rsid w:val="00772FF0"/>
    <w:rsid w:val="007748AF"/>
    <w:rsid w:val="007753A0"/>
    <w:rsid w:val="00776CDE"/>
    <w:rsid w:val="007815BB"/>
    <w:rsid w:val="007824F4"/>
    <w:rsid w:val="00782848"/>
    <w:rsid w:val="00784109"/>
    <w:rsid w:val="0078525A"/>
    <w:rsid w:val="00785FC5"/>
    <w:rsid w:val="0078631B"/>
    <w:rsid w:val="0078653C"/>
    <w:rsid w:val="00791A2B"/>
    <w:rsid w:val="00792EE9"/>
    <w:rsid w:val="0079572A"/>
    <w:rsid w:val="007969EF"/>
    <w:rsid w:val="007A1121"/>
    <w:rsid w:val="007A1122"/>
    <w:rsid w:val="007A15A6"/>
    <w:rsid w:val="007A6A4D"/>
    <w:rsid w:val="007A74F9"/>
    <w:rsid w:val="007A7C7B"/>
    <w:rsid w:val="007B152D"/>
    <w:rsid w:val="007B358E"/>
    <w:rsid w:val="007C0F6D"/>
    <w:rsid w:val="007D14AE"/>
    <w:rsid w:val="007E38CD"/>
    <w:rsid w:val="007E5614"/>
    <w:rsid w:val="007E768B"/>
    <w:rsid w:val="007F2DE8"/>
    <w:rsid w:val="007F4493"/>
    <w:rsid w:val="007F71F9"/>
    <w:rsid w:val="0080323F"/>
    <w:rsid w:val="008063BB"/>
    <w:rsid w:val="008123FF"/>
    <w:rsid w:val="0081387C"/>
    <w:rsid w:val="0083053E"/>
    <w:rsid w:val="00831B5E"/>
    <w:rsid w:val="00832F5B"/>
    <w:rsid w:val="00841AC4"/>
    <w:rsid w:val="00845A34"/>
    <w:rsid w:val="00852BBB"/>
    <w:rsid w:val="00856806"/>
    <w:rsid w:val="00856D3C"/>
    <w:rsid w:val="00860609"/>
    <w:rsid w:val="00863FC3"/>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44B1"/>
    <w:rsid w:val="00915ADA"/>
    <w:rsid w:val="0092097A"/>
    <w:rsid w:val="009222C9"/>
    <w:rsid w:val="009228CF"/>
    <w:rsid w:val="00925499"/>
    <w:rsid w:val="00930569"/>
    <w:rsid w:val="00932625"/>
    <w:rsid w:val="009344C2"/>
    <w:rsid w:val="0094705C"/>
    <w:rsid w:val="00957739"/>
    <w:rsid w:val="00957B41"/>
    <w:rsid w:val="009631E0"/>
    <w:rsid w:val="009674F1"/>
    <w:rsid w:val="009834E2"/>
    <w:rsid w:val="009A52BA"/>
    <w:rsid w:val="009A69B1"/>
    <w:rsid w:val="009A700C"/>
    <w:rsid w:val="009C0ECA"/>
    <w:rsid w:val="009C45BA"/>
    <w:rsid w:val="009C79BD"/>
    <w:rsid w:val="009D01A2"/>
    <w:rsid w:val="009D24BB"/>
    <w:rsid w:val="009D44DD"/>
    <w:rsid w:val="009D7493"/>
    <w:rsid w:val="009E317D"/>
    <w:rsid w:val="009E31C0"/>
    <w:rsid w:val="009E3B52"/>
    <w:rsid w:val="009F2CB2"/>
    <w:rsid w:val="009F342D"/>
    <w:rsid w:val="009F3DA2"/>
    <w:rsid w:val="009F59EE"/>
    <w:rsid w:val="009F6CFC"/>
    <w:rsid w:val="00A069E2"/>
    <w:rsid w:val="00A07639"/>
    <w:rsid w:val="00A10289"/>
    <w:rsid w:val="00A11C90"/>
    <w:rsid w:val="00A1395B"/>
    <w:rsid w:val="00A13D4D"/>
    <w:rsid w:val="00A16A29"/>
    <w:rsid w:val="00A16E82"/>
    <w:rsid w:val="00A252BA"/>
    <w:rsid w:val="00A26285"/>
    <w:rsid w:val="00A27A7B"/>
    <w:rsid w:val="00A36CBA"/>
    <w:rsid w:val="00A36D79"/>
    <w:rsid w:val="00A41EA4"/>
    <w:rsid w:val="00A44FE0"/>
    <w:rsid w:val="00A4618A"/>
    <w:rsid w:val="00A50D03"/>
    <w:rsid w:val="00A712B2"/>
    <w:rsid w:val="00A7796E"/>
    <w:rsid w:val="00A9085F"/>
    <w:rsid w:val="00A93A25"/>
    <w:rsid w:val="00AA0920"/>
    <w:rsid w:val="00AA469A"/>
    <w:rsid w:val="00AA6E6D"/>
    <w:rsid w:val="00AA7977"/>
    <w:rsid w:val="00AA79D9"/>
    <w:rsid w:val="00AB50FF"/>
    <w:rsid w:val="00AC4BEC"/>
    <w:rsid w:val="00AC614D"/>
    <w:rsid w:val="00AD1F39"/>
    <w:rsid w:val="00AD4BC3"/>
    <w:rsid w:val="00AE313F"/>
    <w:rsid w:val="00AE34F4"/>
    <w:rsid w:val="00AF042F"/>
    <w:rsid w:val="00B00C49"/>
    <w:rsid w:val="00B03105"/>
    <w:rsid w:val="00B03461"/>
    <w:rsid w:val="00B07F42"/>
    <w:rsid w:val="00B11974"/>
    <w:rsid w:val="00B12CF8"/>
    <w:rsid w:val="00B244B9"/>
    <w:rsid w:val="00B24559"/>
    <w:rsid w:val="00B27020"/>
    <w:rsid w:val="00B27178"/>
    <w:rsid w:val="00B310C3"/>
    <w:rsid w:val="00B42229"/>
    <w:rsid w:val="00B43ABC"/>
    <w:rsid w:val="00B44FA9"/>
    <w:rsid w:val="00B51125"/>
    <w:rsid w:val="00B52CDF"/>
    <w:rsid w:val="00B60D60"/>
    <w:rsid w:val="00B63CDD"/>
    <w:rsid w:val="00B65687"/>
    <w:rsid w:val="00B65A3B"/>
    <w:rsid w:val="00B67AF0"/>
    <w:rsid w:val="00B72C6B"/>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56B7"/>
    <w:rsid w:val="00BD5A47"/>
    <w:rsid w:val="00BD5FB6"/>
    <w:rsid w:val="00BE2BCC"/>
    <w:rsid w:val="00BE3896"/>
    <w:rsid w:val="00BE7068"/>
    <w:rsid w:val="00BE768F"/>
    <w:rsid w:val="00C03192"/>
    <w:rsid w:val="00C23E32"/>
    <w:rsid w:val="00C251C4"/>
    <w:rsid w:val="00C314C1"/>
    <w:rsid w:val="00C31917"/>
    <w:rsid w:val="00C40571"/>
    <w:rsid w:val="00C40D7F"/>
    <w:rsid w:val="00C41DD9"/>
    <w:rsid w:val="00C427DA"/>
    <w:rsid w:val="00C42C49"/>
    <w:rsid w:val="00C42FAF"/>
    <w:rsid w:val="00C56D0A"/>
    <w:rsid w:val="00C73DAB"/>
    <w:rsid w:val="00C863A3"/>
    <w:rsid w:val="00C864DC"/>
    <w:rsid w:val="00C90075"/>
    <w:rsid w:val="00C915B4"/>
    <w:rsid w:val="00C94EEA"/>
    <w:rsid w:val="00CA1722"/>
    <w:rsid w:val="00CA172B"/>
    <w:rsid w:val="00CA7673"/>
    <w:rsid w:val="00CB1227"/>
    <w:rsid w:val="00CB1255"/>
    <w:rsid w:val="00CB18B1"/>
    <w:rsid w:val="00CB38CA"/>
    <w:rsid w:val="00CB66A2"/>
    <w:rsid w:val="00CB6F2B"/>
    <w:rsid w:val="00CC1067"/>
    <w:rsid w:val="00CC2EC2"/>
    <w:rsid w:val="00CD3324"/>
    <w:rsid w:val="00CD6162"/>
    <w:rsid w:val="00CE4309"/>
    <w:rsid w:val="00CE6C6E"/>
    <w:rsid w:val="00D01832"/>
    <w:rsid w:val="00D04527"/>
    <w:rsid w:val="00D21C96"/>
    <w:rsid w:val="00D30854"/>
    <w:rsid w:val="00D31127"/>
    <w:rsid w:val="00D33134"/>
    <w:rsid w:val="00D366B5"/>
    <w:rsid w:val="00D4052C"/>
    <w:rsid w:val="00D447AC"/>
    <w:rsid w:val="00D4538C"/>
    <w:rsid w:val="00D4539F"/>
    <w:rsid w:val="00D472C6"/>
    <w:rsid w:val="00D5079D"/>
    <w:rsid w:val="00D54957"/>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8E6"/>
    <w:rsid w:val="00DA50BA"/>
    <w:rsid w:val="00DA55A8"/>
    <w:rsid w:val="00DA7B87"/>
    <w:rsid w:val="00DB0266"/>
    <w:rsid w:val="00DB63D9"/>
    <w:rsid w:val="00DB7E77"/>
    <w:rsid w:val="00DC0B27"/>
    <w:rsid w:val="00DC30D0"/>
    <w:rsid w:val="00DC7E88"/>
    <w:rsid w:val="00DD3AB0"/>
    <w:rsid w:val="00DD7FC1"/>
    <w:rsid w:val="00DF0000"/>
    <w:rsid w:val="00DF020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A4F68"/>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BFC"/>
    <w:rsid w:val="00F101B3"/>
    <w:rsid w:val="00F13FDA"/>
    <w:rsid w:val="00F14982"/>
    <w:rsid w:val="00F20D55"/>
    <w:rsid w:val="00F250B8"/>
    <w:rsid w:val="00F2598D"/>
    <w:rsid w:val="00F31B7E"/>
    <w:rsid w:val="00F336A2"/>
    <w:rsid w:val="00F34E7C"/>
    <w:rsid w:val="00F3561E"/>
    <w:rsid w:val="00F36EC6"/>
    <w:rsid w:val="00F4229F"/>
    <w:rsid w:val="00F44AEB"/>
    <w:rsid w:val="00F45620"/>
    <w:rsid w:val="00F46BBD"/>
    <w:rsid w:val="00F51B95"/>
    <w:rsid w:val="00F5432C"/>
    <w:rsid w:val="00F5470D"/>
    <w:rsid w:val="00F5611C"/>
    <w:rsid w:val="00F66B41"/>
    <w:rsid w:val="00F712AB"/>
    <w:rsid w:val="00F77D7D"/>
    <w:rsid w:val="00F82DDB"/>
    <w:rsid w:val="00F838FF"/>
    <w:rsid w:val="00F83CDB"/>
    <w:rsid w:val="00F8771B"/>
    <w:rsid w:val="00F90003"/>
    <w:rsid w:val="00F9173C"/>
    <w:rsid w:val="00FA1C73"/>
    <w:rsid w:val="00FA6B22"/>
    <w:rsid w:val="00FA73E5"/>
    <w:rsid w:val="00FB18D0"/>
    <w:rsid w:val="00FB2ED6"/>
    <w:rsid w:val="00FB3309"/>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20066-AA2D-4E0F-859B-383DF46C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Pages>
  <Words>916</Words>
  <Characters>5405</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19</cp:revision>
  <dcterms:created xsi:type="dcterms:W3CDTF">2022-08-30T07:54:00Z</dcterms:created>
  <dcterms:modified xsi:type="dcterms:W3CDTF">2022-08-31T12:24:00Z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