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21992" w14:textId="77777777" w:rsidR="00CC04E3" w:rsidRDefault="00CC04E3"/>
    <w:p w14:paraId="1317C3B6" w14:textId="77777777" w:rsidR="00CC04E3" w:rsidRDefault="00CC04E3"/>
    <w:sdt>
      <w:sdtPr>
        <w:id w:val="120037484"/>
        <w:docPartObj>
          <w:docPartGallery w:val="Cover Pages"/>
          <w:docPartUnique/>
        </w:docPartObj>
      </w:sdtPr>
      <w:sdtEndPr>
        <w:rPr>
          <w:rFonts w:ascii="Arial" w:hAnsi="Arial" w:cs="Arial"/>
          <w:b/>
          <w:sz w:val="20"/>
          <w:szCs w:val="20"/>
        </w:rPr>
      </w:sdtEndPr>
      <w:sdtContent>
        <w:p w14:paraId="26C12475" w14:textId="67CBDE30" w:rsidR="00D80B6D" w:rsidRPr="005D11F0" w:rsidRDefault="00D80B6D"/>
        <w:p w14:paraId="5AA0512D" w14:textId="77777777" w:rsidR="00D80B6D" w:rsidRPr="005D11F0" w:rsidRDefault="00D80B6D" w:rsidP="00D80B6D">
          <w:pPr>
            <w:pStyle w:val="Nadpis3"/>
            <w:spacing w:before="10"/>
            <w:rPr>
              <w:rFonts w:ascii="Arial" w:hAnsi="Arial" w:cs="Arial"/>
            </w:rPr>
          </w:pPr>
        </w:p>
        <w:p w14:paraId="53571FC9" w14:textId="77777777" w:rsidR="00D80B6D" w:rsidRPr="005D11F0" w:rsidRDefault="00D80B6D" w:rsidP="00D80B6D">
          <w:pPr>
            <w:spacing w:before="230"/>
            <w:ind w:left="165"/>
            <w:jc w:val="center"/>
            <w:rPr>
              <w:rFonts w:ascii="Arial" w:hAnsi="Arial" w:cs="Arial"/>
              <w:sz w:val="24"/>
            </w:rPr>
          </w:pPr>
          <w:r w:rsidRPr="005D11F0">
            <w:rPr>
              <w:rFonts w:ascii="Arial" w:hAnsi="Arial" w:cs="Arial"/>
              <w:sz w:val="24"/>
            </w:rPr>
            <w:t xml:space="preserve">INDEX HYPOTEČNÍCH ÚVĚRŮ | FIXINDEX </w:t>
          </w:r>
        </w:p>
        <w:p w14:paraId="67DAC181" w14:textId="69F4B24D" w:rsidR="00F040CA" w:rsidRPr="005D11F0" w:rsidRDefault="00D80B6D" w:rsidP="004B4992">
          <w:pPr>
            <w:spacing w:before="230"/>
            <w:ind w:left="165"/>
            <w:jc w:val="center"/>
            <w:rPr>
              <w:rFonts w:ascii="Arial" w:hAnsi="Arial" w:cs="Arial"/>
              <w:sz w:val="24"/>
            </w:rPr>
          </w:pPr>
          <w:r w:rsidRPr="005D11F0">
            <w:rPr>
              <w:rFonts w:ascii="Arial" w:hAnsi="Arial" w:cs="Arial"/>
              <w:sz w:val="24"/>
            </w:rPr>
            <w:t xml:space="preserve">INDEX PODÍLOVÝCH </w:t>
          </w:r>
        </w:p>
        <w:p w14:paraId="3E70E6BF" w14:textId="5B58B527" w:rsidR="00D80B6D" w:rsidRPr="005D11F0" w:rsidRDefault="00B52B36" w:rsidP="00D80B6D">
          <w:pPr>
            <w:spacing w:before="230"/>
            <w:ind w:left="165"/>
            <w:jc w:val="center"/>
            <w:rPr>
              <w:rFonts w:ascii="Arial" w:hAnsi="Arial" w:cs="Arial"/>
              <w:b/>
              <w:sz w:val="24"/>
            </w:rPr>
          </w:pPr>
          <w:r w:rsidRPr="005D11F0">
            <w:rPr>
              <w:rFonts w:ascii="Arial" w:hAnsi="Arial" w:cs="Arial"/>
              <w:b/>
              <w:sz w:val="24"/>
            </w:rPr>
            <w:t>POV</w:t>
          </w:r>
          <w:r w:rsidR="00D80B6D" w:rsidRPr="005D11F0">
            <w:rPr>
              <w:rFonts w:ascii="Arial" w:hAnsi="Arial" w:cs="Arial"/>
              <w:b/>
              <w:sz w:val="24"/>
            </w:rPr>
            <w:t xml:space="preserve">INDEX </w:t>
          </w:r>
        </w:p>
        <w:p w14:paraId="0C510D86" w14:textId="77777777" w:rsidR="00D80B6D" w:rsidRPr="005D11F0" w:rsidRDefault="00D80B6D" w:rsidP="00D80B6D">
          <w:pPr>
            <w:spacing w:before="230"/>
            <w:ind w:left="165"/>
            <w:jc w:val="center"/>
            <w:rPr>
              <w:rFonts w:ascii="Arial" w:hAnsi="Arial" w:cs="Arial"/>
              <w:sz w:val="24"/>
            </w:rPr>
          </w:pPr>
          <w:r w:rsidRPr="005D11F0">
            <w:rPr>
              <w:rFonts w:ascii="Arial" w:hAnsi="Arial" w:cs="Arial"/>
              <w:sz w:val="24"/>
            </w:rPr>
            <w:t xml:space="preserve">INDEX SPOTŘEBITELSKÝCH ÚVĚRŮ  </w:t>
          </w:r>
        </w:p>
        <w:p w14:paraId="2AA831D8" w14:textId="77777777" w:rsidR="00D80B6D" w:rsidRPr="005D11F0" w:rsidRDefault="00D80B6D" w:rsidP="00D80B6D">
          <w:pPr>
            <w:pStyle w:val="Zkladntext"/>
            <w:rPr>
              <w:sz w:val="20"/>
            </w:rPr>
          </w:pPr>
        </w:p>
        <w:p w14:paraId="118CE9E3" w14:textId="77777777" w:rsidR="00D80B6D" w:rsidRPr="005D11F0" w:rsidRDefault="00D80B6D" w:rsidP="00D80B6D">
          <w:pPr>
            <w:pStyle w:val="Zkladntext"/>
            <w:rPr>
              <w:sz w:val="20"/>
            </w:rPr>
          </w:pPr>
          <w:r w:rsidRPr="005D11F0">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Pr="005D11F0" w:rsidRDefault="00D80B6D" w:rsidP="00D80B6D">
          <w:pPr>
            <w:pStyle w:val="Zkladntext"/>
            <w:rPr>
              <w:sz w:val="20"/>
            </w:rPr>
          </w:pPr>
        </w:p>
        <w:p w14:paraId="12BEA6EC" w14:textId="77777777" w:rsidR="00D80B6D" w:rsidRPr="005D11F0" w:rsidRDefault="00D80B6D" w:rsidP="00D80B6D">
          <w:pPr>
            <w:pStyle w:val="Zkladntext"/>
            <w:rPr>
              <w:sz w:val="20"/>
            </w:rPr>
          </w:pPr>
        </w:p>
        <w:p w14:paraId="371663EE" w14:textId="77777777" w:rsidR="00D80B6D" w:rsidRPr="005D11F0" w:rsidRDefault="00D80B6D" w:rsidP="00D80B6D">
          <w:pPr>
            <w:pStyle w:val="Zkladntext"/>
            <w:rPr>
              <w:sz w:val="20"/>
            </w:rPr>
          </w:pPr>
        </w:p>
        <w:p w14:paraId="71048424" w14:textId="77777777" w:rsidR="00D80B6D" w:rsidRPr="005D11F0" w:rsidRDefault="00D80B6D" w:rsidP="00D80B6D">
          <w:pPr>
            <w:pStyle w:val="Zkladntext"/>
            <w:rPr>
              <w:sz w:val="20"/>
            </w:rPr>
          </w:pPr>
        </w:p>
        <w:p w14:paraId="554E3B62" w14:textId="77777777" w:rsidR="00D80B6D" w:rsidRPr="005D11F0" w:rsidRDefault="00D80B6D" w:rsidP="00D80B6D">
          <w:pPr>
            <w:pStyle w:val="Zkladntext"/>
            <w:rPr>
              <w:sz w:val="20"/>
            </w:rPr>
          </w:pPr>
        </w:p>
        <w:p w14:paraId="3549046E" w14:textId="77777777" w:rsidR="00D80B6D" w:rsidRPr="005D11F0" w:rsidRDefault="00D80B6D" w:rsidP="00D80B6D">
          <w:pPr>
            <w:pStyle w:val="Zkladntext"/>
            <w:rPr>
              <w:sz w:val="20"/>
            </w:rPr>
          </w:pPr>
        </w:p>
        <w:p w14:paraId="4D3BC408" w14:textId="77777777" w:rsidR="00D80B6D" w:rsidRPr="005D11F0" w:rsidRDefault="00D80B6D" w:rsidP="00D80B6D">
          <w:pPr>
            <w:pStyle w:val="Zkladntext"/>
            <w:rPr>
              <w:sz w:val="20"/>
            </w:rPr>
          </w:pPr>
        </w:p>
        <w:p w14:paraId="08DC391B" w14:textId="77777777" w:rsidR="00D80B6D" w:rsidRPr="005D11F0" w:rsidRDefault="00D80B6D" w:rsidP="00D80B6D">
          <w:pPr>
            <w:pStyle w:val="Zkladntext"/>
            <w:jc w:val="both"/>
            <w:rPr>
              <w:rFonts w:ascii="Arial" w:hAnsi="Arial" w:cs="Arial"/>
              <w:sz w:val="20"/>
            </w:rPr>
          </w:pPr>
        </w:p>
        <w:p w14:paraId="03877E41" w14:textId="77777777" w:rsidR="00D80B6D" w:rsidRPr="005D11F0" w:rsidRDefault="00D80B6D" w:rsidP="00D80B6D">
          <w:pPr>
            <w:pStyle w:val="Zkladntext"/>
            <w:jc w:val="both"/>
            <w:rPr>
              <w:rFonts w:ascii="Arial" w:hAnsi="Arial" w:cs="Arial"/>
              <w:b/>
              <w:sz w:val="20"/>
            </w:rPr>
          </w:pPr>
        </w:p>
        <w:p w14:paraId="000334FF" w14:textId="77777777" w:rsidR="00D80B6D" w:rsidRPr="005D11F0" w:rsidRDefault="00D80B6D" w:rsidP="00D80B6D">
          <w:pPr>
            <w:pStyle w:val="Zkladntext"/>
            <w:jc w:val="both"/>
            <w:rPr>
              <w:rFonts w:ascii="Arial" w:hAnsi="Arial" w:cs="Arial"/>
              <w:b/>
              <w:sz w:val="20"/>
            </w:rPr>
          </w:pPr>
        </w:p>
        <w:p w14:paraId="1614C2A7" w14:textId="77777777" w:rsidR="00D80B6D" w:rsidRPr="005D11F0" w:rsidRDefault="00D80B6D" w:rsidP="00D80B6D">
          <w:pPr>
            <w:pStyle w:val="Zkladntext"/>
            <w:jc w:val="both"/>
            <w:rPr>
              <w:rFonts w:ascii="Arial" w:hAnsi="Arial" w:cs="Arial"/>
              <w:b/>
              <w:sz w:val="20"/>
            </w:rPr>
          </w:pPr>
        </w:p>
        <w:p w14:paraId="357C33FF" w14:textId="77777777" w:rsidR="00D80B6D" w:rsidRPr="005D11F0" w:rsidRDefault="00D80B6D" w:rsidP="00D80B6D">
          <w:pPr>
            <w:pStyle w:val="Zkladntext"/>
            <w:jc w:val="both"/>
            <w:rPr>
              <w:rFonts w:ascii="Arial" w:hAnsi="Arial" w:cs="Arial"/>
              <w:b/>
              <w:sz w:val="20"/>
            </w:rPr>
          </w:pPr>
        </w:p>
        <w:p w14:paraId="78E38F31" w14:textId="77777777" w:rsidR="00D80B6D" w:rsidRPr="005D11F0" w:rsidRDefault="00D80B6D" w:rsidP="00D80B6D">
          <w:pPr>
            <w:pStyle w:val="Zkladntext"/>
            <w:jc w:val="both"/>
            <w:rPr>
              <w:rFonts w:ascii="Arial" w:hAnsi="Arial" w:cs="Arial"/>
              <w:b/>
              <w:sz w:val="20"/>
            </w:rPr>
          </w:pPr>
        </w:p>
        <w:p w14:paraId="4CF95352" w14:textId="77777777" w:rsidR="00D80B6D" w:rsidRPr="005D11F0" w:rsidRDefault="00D80B6D" w:rsidP="00D80B6D">
          <w:pPr>
            <w:pStyle w:val="Zkladntext"/>
            <w:jc w:val="both"/>
            <w:rPr>
              <w:rFonts w:ascii="Arial" w:hAnsi="Arial" w:cs="Arial"/>
              <w:b/>
              <w:sz w:val="20"/>
            </w:rPr>
          </w:pPr>
        </w:p>
        <w:p w14:paraId="13FE48D5" w14:textId="77777777" w:rsidR="00D80B6D" w:rsidRPr="005D11F0" w:rsidRDefault="00D80B6D" w:rsidP="00D80B6D">
          <w:pPr>
            <w:pStyle w:val="Zkladntext"/>
            <w:jc w:val="both"/>
            <w:rPr>
              <w:rFonts w:ascii="Arial" w:hAnsi="Arial" w:cs="Arial"/>
              <w:b/>
              <w:sz w:val="20"/>
            </w:rPr>
          </w:pPr>
        </w:p>
        <w:p w14:paraId="1D3CD744" w14:textId="77777777" w:rsidR="00D80B6D" w:rsidRPr="005D11F0" w:rsidRDefault="00D80B6D" w:rsidP="00D80B6D">
          <w:pPr>
            <w:pStyle w:val="Zkladntext"/>
            <w:jc w:val="both"/>
            <w:rPr>
              <w:rFonts w:ascii="Arial" w:hAnsi="Arial" w:cs="Arial"/>
              <w:b/>
              <w:sz w:val="20"/>
            </w:rPr>
          </w:pPr>
        </w:p>
        <w:p w14:paraId="421B14E9" w14:textId="77777777" w:rsidR="00D80B6D" w:rsidRPr="005D11F0" w:rsidRDefault="00D80B6D" w:rsidP="00D80B6D">
          <w:pPr>
            <w:pStyle w:val="Zkladntext"/>
            <w:jc w:val="both"/>
            <w:rPr>
              <w:rFonts w:ascii="Arial" w:hAnsi="Arial" w:cs="Arial"/>
              <w:b/>
              <w:sz w:val="20"/>
            </w:rPr>
          </w:pPr>
        </w:p>
        <w:p w14:paraId="23FDF3E1" w14:textId="77777777" w:rsidR="00D80B6D" w:rsidRPr="005D11F0" w:rsidRDefault="00D80B6D" w:rsidP="00D80B6D">
          <w:pPr>
            <w:pStyle w:val="Zkladntext"/>
            <w:jc w:val="both"/>
            <w:rPr>
              <w:rFonts w:ascii="Arial" w:hAnsi="Arial" w:cs="Arial"/>
              <w:b/>
              <w:sz w:val="20"/>
            </w:rPr>
          </w:pPr>
        </w:p>
        <w:p w14:paraId="6081D248" w14:textId="77777777" w:rsidR="00D80B6D" w:rsidRPr="005D11F0" w:rsidRDefault="00D80B6D" w:rsidP="00D80B6D">
          <w:pPr>
            <w:pStyle w:val="Zkladntext"/>
            <w:jc w:val="both"/>
            <w:rPr>
              <w:rFonts w:ascii="Arial" w:hAnsi="Arial" w:cs="Arial"/>
              <w:b/>
              <w:sz w:val="20"/>
            </w:rPr>
          </w:pPr>
        </w:p>
        <w:p w14:paraId="6F6D024C" w14:textId="77777777" w:rsidR="00D80B6D" w:rsidRPr="005D11F0" w:rsidRDefault="00D80B6D" w:rsidP="00D80B6D">
          <w:pPr>
            <w:pStyle w:val="Zkladntext"/>
            <w:jc w:val="both"/>
            <w:rPr>
              <w:rFonts w:ascii="Arial" w:hAnsi="Arial" w:cs="Arial"/>
              <w:b/>
              <w:sz w:val="20"/>
            </w:rPr>
          </w:pPr>
        </w:p>
        <w:p w14:paraId="43FE1E43" w14:textId="77777777" w:rsidR="00D80B6D" w:rsidRPr="005D11F0" w:rsidRDefault="00D80B6D" w:rsidP="00D80B6D">
          <w:pPr>
            <w:pStyle w:val="Zkladntext"/>
            <w:jc w:val="both"/>
            <w:rPr>
              <w:rFonts w:ascii="Arial" w:hAnsi="Arial" w:cs="Arial"/>
              <w:b/>
              <w:sz w:val="20"/>
            </w:rPr>
          </w:pPr>
        </w:p>
        <w:p w14:paraId="06DBC58A" w14:textId="77777777" w:rsidR="00D80B6D" w:rsidRPr="005D11F0" w:rsidRDefault="00D80B6D" w:rsidP="00D80B6D">
          <w:pPr>
            <w:pStyle w:val="Zkladntext"/>
            <w:jc w:val="both"/>
            <w:rPr>
              <w:rFonts w:ascii="Arial" w:hAnsi="Arial" w:cs="Arial"/>
              <w:b/>
              <w:sz w:val="20"/>
            </w:rPr>
          </w:pPr>
        </w:p>
        <w:p w14:paraId="3835E067" w14:textId="77777777" w:rsidR="00D80B6D" w:rsidRPr="005D11F0" w:rsidRDefault="00D80B6D" w:rsidP="00D80B6D">
          <w:pPr>
            <w:pStyle w:val="Zkladntext"/>
            <w:jc w:val="both"/>
            <w:rPr>
              <w:rFonts w:ascii="Arial" w:hAnsi="Arial" w:cs="Arial"/>
              <w:b/>
              <w:sz w:val="20"/>
            </w:rPr>
          </w:pPr>
        </w:p>
        <w:p w14:paraId="4AF2F008" w14:textId="77777777" w:rsidR="00C64B40" w:rsidRPr="005D11F0" w:rsidRDefault="00C64B40" w:rsidP="00D80B6D">
          <w:pPr>
            <w:pStyle w:val="Zkladntext"/>
            <w:jc w:val="both"/>
            <w:rPr>
              <w:rFonts w:ascii="Arial" w:hAnsi="Arial" w:cs="Arial"/>
              <w:b/>
              <w:sz w:val="20"/>
            </w:rPr>
          </w:pPr>
        </w:p>
        <w:p w14:paraId="06AA8F00" w14:textId="77777777" w:rsidR="00C64B40" w:rsidRPr="005D11F0" w:rsidRDefault="00C64B40" w:rsidP="00D80B6D">
          <w:pPr>
            <w:pStyle w:val="Zkladntext"/>
            <w:jc w:val="both"/>
            <w:rPr>
              <w:rFonts w:ascii="Arial" w:hAnsi="Arial" w:cs="Arial"/>
              <w:b/>
              <w:sz w:val="20"/>
            </w:rPr>
          </w:pPr>
        </w:p>
        <w:p w14:paraId="2B7A9498" w14:textId="6B692D21" w:rsidR="00C64B40" w:rsidRPr="005D11F0" w:rsidRDefault="00C64B40" w:rsidP="00D80B6D">
          <w:pPr>
            <w:pStyle w:val="Zkladntext"/>
            <w:jc w:val="both"/>
            <w:rPr>
              <w:rFonts w:ascii="Arial" w:hAnsi="Arial" w:cs="Arial"/>
              <w:b/>
              <w:sz w:val="20"/>
            </w:rPr>
          </w:pPr>
        </w:p>
        <w:p w14:paraId="3CF5402D" w14:textId="27ABDB7C" w:rsidR="004B4992" w:rsidRPr="005D11F0" w:rsidRDefault="004B4992" w:rsidP="00D80B6D">
          <w:pPr>
            <w:pStyle w:val="Zkladntext"/>
            <w:jc w:val="both"/>
            <w:rPr>
              <w:rFonts w:ascii="Arial" w:hAnsi="Arial" w:cs="Arial"/>
              <w:b/>
              <w:sz w:val="20"/>
            </w:rPr>
          </w:pPr>
        </w:p>
        <w:p w14:paraId="070FF56C" w14:textId="0A46EDC1" w:rsidR="004B4992" w:rsidRPr="005D11F0" w:rsidRDefault="004B4992" w:rsidP="00D80B6D">
          <w:pPr>
            <w:pStyle w:val="Zkladntext"/>
            <w:jc w:val="both"/>
            <w:rPr>
              <w:rFonts w:ascii="Arial" w:hAnsi="Arial" w:cs="Arial"/>
              <w:b/>
              <w:sz w:val="20"/>
            </w:rPr>
          </w:pPr>
        </w:p>
        <w:p w14:paraId="5E1BBD75" w14:textId="6940221E" w:rsidR="004B4992" w:rsidRPr="005D11F0" w:rsidRDefault="004B4992" w:rsidP="00D80B6D">
          <w:pPr>
            <w:pStyle w:val="Zkladntext"/>
            <w:jc w:val="both"/>
            <w:rPr>
              <w:rFonts w:ascii="Arial" w:hAnsi="Arial" w:cs="Arial"/>
              <w:b/>
              <w:sz w:val="20"/>
            </w:rPr>
          </w:pPr>
        </w:p>
        <w:p w14:paraId="5C69D953" w14:textId="63C32BBA" w:rsidR="004B4992" w:rsidRPr="005D11F0" w:rsidRDefault="004B4992" w:rsidP="00D80B6D">
          <w:pPr>
            <w:pStyle w:val="Zkladntext"/>
            <w:jc w:val="both"/>
            <w:rPr>
              <w:rFonts w:ascii="Arial" w:hAnsi="Arial" w:cs="Arial"/>
              <w:b/>
              <w:sz w:val="20"/>
            </w:rPr>
          </w:pPr>
        </w:p>
        <w:p w14:paraId="517171F6" w14:textId="082DB9B8" w:rsidR="004B4992" w:rsidRPr="005D11F0" w:rsidRDefault="004B4992" w:rsidP="00D80B6D">
          <w:pPr>
            <w:pStyle w:val="Zkladntext"/>
            <w:jc w:val="both"/>
            <w:rPr>
              <w:rFonts w:ascii="Arial" w:hAnsi="Arial" w:cs="Arial"/>
              <w:b/>
              <w:sz w:val="20"/>
            </w:rPr>
          </w:pPr>
        </w:p>
        <w:p w14:paraId="5D3A8908" w14:textId="29A7D2CC" w:rsidR="004B4992" w:rsidRPr="005D11F0" w:rsidRDefault="004B4992" w:rsidP="00D80B6D">
          <w:pPr>
            <w:pStyle w:val="Zkladntext"/>
            <w:jc w:val="both"/>
            <w:rPr>
              <w:rFonts w:ascii="Arial" w:hAnsi="Arial" w:cs="Arial"/>
              <w:b/>
              <w:sz w:val="20"/>
            </w:rPr>
          </w:pPr>
        </w:p>
        <w:p w14:paraId="264E9C40" w14:textId="30CD094F" w:rsidR="004B4992" w:rsidRPr="005D11F0" w:rsidRDefault="004B4992" w:rsidP="00D80B6D">
          <w:pPr>
            <w:pStyle w:val="Zkladntext"/>
            <w:jc w:val="both"/>
            <w:rPr>
              <w:rFonts w:ascii="Arial" w:hAnsi="Arial" w:cs="Arial"/>
              <w:b/>
              <w:sz w:val="20"/>
            </w:rPr>
          </w:pPr>
        </w:p>
        <w:p w14:paraId="44EAEF2B" w14:textId="77777777" w:rsidR="004B4992" w:rsidRPr="005D11F0" w:rsidRDefault="004B4992" w:rsidP="00D80B6D">
          <w:pPr>
            <w:pStyle w:val="Zkladntext"/>
            <w:jc w:val="both"/>
            <w:rPr>
              <w:rFonts w:ascii="Arial" w:hAnsi="Arial" w:cs="Arial"/>
              <w:b/>
              <w:sz w:val="20"/>
            </w:rPr>
          </w:pPr>
        </w:p>
        <w:p w14:paraId="05EE9BC6" w14:textId="6F517FA5" w:rsidR="00D80B6D" w:rsidRPr="005D11F0" w:rsidRDefault="00D80B6D" w:rsidP="00D80B6D">
          <w:pPr>
            <w:pStyle w:val="Zkladntext"/>
            <w:jc w:val="both"/>
            <w:rPr>
              <w:rFonts w:ascii="Arial" w:hAnsi="Arial" w:cs="Arial"/>
              <w:b/>
              <w:sz w:val="20"/>
            </w:rPr>
          </w:pPr>
          <w:r w:rsidRPr="005D11F0">
            <w:rPr>
              <w:rFonts w:ascii="Arial" w:hAnsi="Arial" w:cs="Arial"/>
              <w:b/>
              <w:sz w:val="20"/>
            </w:rPr>
            <w:t xml:space="preserve">O společnosti Broker </w:t>
          </w:r>
          <w:proofErr w:type="spellStart"/>
          <w:r w:rsidRPr="005D11F0">
            <w:rPr>
              <w:rFonts w:ascii="Arial" w:hAnsi="Arial" w:cs="Arial"/>
              <w:b/>
              <w:sz w:val="20"/>
            </w:rPr>
            <w:t>Consulting</w:t>
          </w:r>
          <w:proofErr w:type="spellEnd"/>
        </w:p>
        <w:p w14:paraId="2DDAB1EE" w14:textId="77777777" w:rsidR="00D80B6D" w:rsidRPr="005D11F0" w:rsidRDefault="00D80B6D" w:rsidP="00D80B6D">
          <w:pPr>
            <w:jc w:val="both"/>
            <w:rPr>
              <w:rFonts w:ascii="Arial" w:hAnsi="Arial" w:cs="Arial"/>
              <w:sz w:val="20"/>
            </w:rPr>
          </w:pPr>
        </w:p>
        <w:p w14:paraId="2FCFB564" w14:textId="10255C90" w:rsidR="00D80B6D" w:rsidRPr="005D11F0" w:rsidRDefault="009362DC" w:rsidP="009362DC">
          <w:pPr>
            <w:jc w:val="both"/>
            <w:rPr>
              <w:rFonts w:ascii="Arial" w:hAnsi="Arial" w:cs="Arial"/>
              <w:sz w:val="18"/>
              <w:szCs w:val="18"/>
              <w:lang w:val="de-DE"/>
            </w:rPr>
          </w:pPr>
          <w:r w:rsidRPr="005D11F0">
            <w:rPr>
              <w:rFonts w:ascii="Arial" w:hAnsi="Arial" w:cs="Arial"/>
              <w:sz w:val="18"/>
            </w:rPr>
            <w:t xml:space="preserve">Broker </w:t>
          </w:r>
          <w:proofErr w:type="spellStart"/>
          <w:r w:rsidRPr="005D11F0">
            <w:rPr>
              <w:rFonts w:ascii="Arial" w:hAnsi="Arial" w:cs="Arial"/>
              <w:sz w:val="18"/>
            </w:rPr>
            <w:t>Consulting</w:t>
          </w:r>
          <w:proofErr w:type="spellEnd"/>
          <w:r w:rsidRPr="005D11F0">
            <w:rPr>
              <w:rFonts w:ascii="Arial" w:hAnsi="Arial" w:cs="Arial"/>
              <w:sz w:val="18"/>
            </w:rPr>
            <w:t xml:space="preserve">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téměř 50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w:t>
          </w:r>
          <w:proofErr w:type="spellStart"/>
          <w:r w:rsidRPr="005D11F0">
            <w:rPr>
              <w:rFonts w:ascii="Arial" w:hAnsi="Arial" w:cs="Arial"/>
              <w:sz w:val="18"/>
            </w:rPr>
            <w:t>Consulting</w:t>
          </w:r>
          <w:proofErr w:type="spellEnd"/>
          <w:r w:rsidRPr="005D11F0">
            <w:rPr>
              <w:rFonts w:ascii="Arial" w:hAnsi="Arial" w:cs="Arial"/>
              <w:sz w:val="18"/>
            </w:rPr>
            <w:t xml:space="preserve">. </w:t>
          </w:r>
          <w:proofErr w:type="spellStart"/>
          <w:r w:rsidRPr="005D11F0">
            <w:rPr>
              <w:rStyle w:val="dn"/>
              <w:rFonts w:ascii="Arial" w:hAnsi="Arial" w:cs="Arial"/>
              <w:sz w:val="18"/>
              <w:szCs w:val="18"/>
            </w:rPr>
            <w:t>Více</w:t>
          </w:r>
          <w:proofErr w:type="spellEnd"/>
          <w:r w:rsidRPr="005D11F0">
            <w:rPr>
              <w:rStyle w:val="dn"/>
              <w:rFonts w:ascii="Arial" w:hAnsi="Arial" w:cs="Arial"/>
              <w:sz w:val="18"/>
              <w:szCs w:val="18"/>
            </w:rPr>
            <w:t xml:space="preserve"> na </w:t>
          </w:r>
          <w:hyperlink r:id="rId9" w:history="1">
            <w:r w:rsidRPr="005D11F0">
              <w:rPr>
                <w:rStyle w:val="Hypertextovodkaz"/>
                <w:rFonts w:ascii="Arial" w:hAnsi="Arial" w:cs="Arial"/>
                <w:color w:val="auto"/>
                <w:sz w:val="18"/>
                <w:szCs w:val="18"/>
              </w:rPr>
              <w:t>www.bcas.cz</w:t>
            </w:r>
          </w:hyperlink>
          <w:r w:rsidRPr="005D11F0">
            <w:rPr>
              <w:rStyle w:val="Hypertextovodkaz"/>
              <w:rFonts w:ascii="Arial" w:hAnsi="Arial" w:cs="Arial"/>
              <w:color w:val="auto"/>
              <w:sz w:val="18"/>
              <w:szCs w:val="18"/>
            </w:rPr>
            <w:t xml:space="preserve">, </w:t>
          </w:r>
          <w:hyperlink r:id="rId10" w:history="1">
            <w:r w:rsidRPr="005D11F0">
              <w:rPr>
                <w:rStyle w:val="Hypertextovodkaz"/>
                <w:rFonts w:ascii="Arial" w:hAnsi="Arial" w:cs="Arial"/>
                <w:color w:val="auto"/>
                <w:sz w:val="18"/>
                <w:szCs w:val="18"/>
              </w:rPr>
              <w:t>www.okpointy.cz</w:t>
            </w:r>
          </w:hyperlink>
          <w:r w:rsidR="00AA1EF9" w:rsidRPr="005D11F0">
            <w:rPr>
              <w:rStyle w:val="Hypertextovodkaz"/>
              <w:rFonts w:ascii="Arial" w:hAnsi="Arial" w:cs="Arial"/>
              <w:color w:val="auto"/>
              <w:sz w:val="18"/>
              <w:szCs w:val="18"/>
            </w:rPr>
            <w:t>, www.okpoint.tv</w:t>
          </w:r>
          <w:r w:rsidRPr="005D11F0">
            <w:rPr>
              <w:rStyle w:val="dn"/>
              <w:rFonts w:ascii="Arial" w:hAnsi="Arial" w:cs="Arial"/>
              <w:sz w:val="18"/>
              <w:szCs w:val="18"/>
            </w:rPr>
            <w:t xml:space="preserve"> a na </w:t>
          </w:r>
          <w:hyperlink r:id="rId11" w:history="1">
            <w:r w:rsidRPr="005D11F0">
              <w:rPr>
                <w:rStyle w:val="Hypertextovodkaz"/>
                <w:rFonts w:ascii="Arial" w:hAnsi="Arial" w:cs="Arial"/>
                <w:color w:val="auto"/>
                <w:sz w:val="18"/>
                <w:szCs w:val="18"/>
              </w:rPr>
              <w:t>www.realityspolu.cz</w:t>
            </w:r>
          </w:hyperlink>
          <w:r w:rsidRPr="005D11F0">
            <w:rPr>
              <w:rStyle w:val="dn"/>
              <w:rFonts w:ascii="Arial" w:hAnsi="Arial" w:cs="Arial"/>
              <w:sz w:val="18"/>
              <w:szCs w:val="18"/>
            </w:rPr>
            <w:t xml:space="preserve">. </w:t>
          </w:r>
          <w:r w:rsidRPr="005D11F0">
            <w:rPr>
              <w:rStyle w:val="dn"/>
              <w:rFonts w:ascii="Arial" w:hAnsi="Arial" w:cs="Arial"/>
              <w:sz w:val="18"/>
              <w:szCs w:val="18"/>
              <w:lang w:val="cs-CZ"/>
            </w:rPr>
            <w:t>Navštivte také náš</w:t>
          </w:r>
          <w:r w:rsidRPr="005D11F0">
            <w:rPr>
              <w:rStyle w:val="dn"/>
              <w:rFonts w:ascii="Arial" w:hAnsi="Arial" w:cs="Arial"/>
              <w:sz w:val="18"/>
              <w:szCs w:val="18"/>
            </w:rPr>
            <w:t xml:space="preserve"> </w:t>
          </w:r>
          <w:hyperlink r:id="rId12" w:history="1">
            <w:proofErr w:type="spellStart"/>
            <w:r w:rsidRPr="005D11F0">
              <w:rPr>
                <w:rStyle w:val="Hypertextovodkaz"/>
                <w:rFonts w:ascii="Arial" w:hAnsi="Arial" w:cs="Arial"/>
                <w:color w:val="auto"/>
                <w:sz w:val="18"/>
                <w:szCs w:val="18"/>
              </w:rPr>
              <w:t>Facebook</w:t>
            </w:r>
            <w:proofErr w:type="spellEnd"/>
          </w:hyperlink>
          <w:r w:rsidRPr="005D11F0">
            <w:rPr>
              <w:rStyle w:val="dn"/>
              <w:rFonts w:ascii="Arial" w:hAnsi="Arial" w:cs="Arial"/>
              <w:sz w:val="18"/>
              <w:szCs w:val="18"/>
            </w:rPr>
            <w:t xml:space="preserve"> a </w:t>
          </w:r>
          <w:hyperlink r:id="rId13" w:history="1">
            <w:proofErr w:type="spellStart"/>
            <w:r w:rsidRPr="005D11F0">
              <w:rPr>
                <w:rStyle w:val="Hypertextovodkaz"/>
                <w:rFonts w:ascii="Arial" w:hAnsi="Arial" w:cs="Arial"/>
                <w:color w:val="auto"/>
                <w:sz w:val="18"/>
                <w:szCs w:val="18"/>
              </w:rPr>
              <w:t>LinkedIN</w:t>
            </w:r>
            <w:proofErr w:type="spellEnd"/>
          </w:hyperlink>
          <w:r w:rsidRPr="005D11F0">
            <w:rPr>
              <w:rStyle w:val="dn"/>
              <w:rFonts w:ascii="Arial" w:hAnsi="Arial" w:cs="Arial"/>
              <w:sz w:val="18"/>
              <w:szCs w:val="18"/>
            </w:rPr>
            <w:t xml:space="preserve"> Broker Consulting a </w:t>
          </w:r>
          <w:hyperlink r:id="rId14" w:history="1">
            <w:proofErr w:type="spellStart"/>
            <w:r w:rsidRPr="005D11F0">
              <w:rPr>
                <w:rStyle w:val="Hypertextovodkaz"/>
                <w:rFonts w:ascii="Arial" w:hAnsi="Arial" w:cs="Arial"/>
                <w:color w:val="auto"/>
                <w:sz w:val="18"/>
                <w:szCs w:val="18"/>
              </w:rPr>
              <w:t>Facebook</w:t>
            </w:r>
            <w:proofErr w:type="spellEnd"/>
          </w:hyperlink>
          <w:r w:rsidRPr="005D11F0">
            <w:rPr>
              <w:rStyle w:val="dn"/>
              <w:rFonts w:ascii="Arial" w:hAnsi="Arial" w:cs="Arial"/>
              <w:sz w:val="18"/>
              <w:szCs w:val="18"/>
            </w:rPr>
            <w:t xml:space="preserve"> a </w:t>
          </w:r>
          <w:hyperlink r:id="rId15" w:history="1">
            <w:proofErr w:type="spellStart"/>
            <w:r w:rsidRPr="005D11F0">
              <w:rPr>
                <w:rStyle w:val="Hypertextovodkaz"/>
                <w:rFonts w:ascii="Arial" w:hAnsi="Arial" w:cs="Arial"/>
                <w:color w:val="auto"/>
                <w:sz w:val="18"/>
                <w:szCs w:val="18"/>
              </w:rPr>
              <w:t>LinkedI</w:t>
            </w:r>
          </w:hyperlink>
          <w:r w:rsidRPr="005D11F0">
            <w:rPr>
              <w:rStyle w:val="Hypertextovodkaz"/>
              <w:rFonts w:ascii="Arial" w:hAnsi="Arial" w:cs="Arial"/>
              <w:color w:val="auto"/>
              <w:sz w:val="18"/>
              <w:szCs w:val="18"/>
            </w:rPr>
            <w:t>N</w:t>
          </w:r>
          <w:proofErr w:type="spellEnd"/>
          <w:r w:rsidRPr="005D11F0">
            <w:rPr>
              <w:rStyle w:val="dn"/>
              <w:rFonts w:ascii="Arial" w:hAnsi="Arial" w:cs="Arial"/>
              <w:sz w:val="18"/>
              <w:szCs w:val="18"/>
            </w:rPr>
            <w:t xml:space="preserve"> OK </w:t>
          </w:r>
          <w:proofErr w:type="spellStart"/>
          <w:r w:rsidRPr="005D11F0">
            <w:rPr>
              <w:rStyle w:val="dn"/>
              <w:rFonts w:ascii="Arial" w:hAnsi="Arial" w:cs="Arial"/>
              <w:sz w:val="18"/>
              <w:szCs w:val="18"/>
            </w:rPr>
            <w:t>POINTů</w:t>
          </w:r>
          <w:proofErr w:type="spellEnd"/>
          <w:r w:rsidRPr="005D11F0">
            <w:rPr>
              <w:rStyle w:val="dn"/>
              <w:rFonts w:ascii="Arial" w:hAnsi="Arial" w:cs="Arial"/>
              <w:sz w:val="18"/>
              <w:szCs w:val="18"/>
            </w:rPr>
            <w:t xml:space="preserve">. </w:t>
          </w:r>
          <w:r w:rsidR="00D80B6D" w:rsidRPr="005D11F0">
            <w:rPr>
              <w:rFonts w:ascii="Arial" w:hAnsi="Arial" w:cs="Arial"/>
              <w:sz w:val="20"/>
            </w:rPr>
            <w:t xml:space="preserve"> </w:t>
          </w:r>
        </w:p>
        <w:p w14:paraId="4E6E9D29" w14:textId="77777777" w:rsidR="00D80B6D" w:rsidRPr="005D11F0" w:rsidRDefault="00D80B6D" w:rsidP="00D80B6D">
          <w:pPr>
            <w:rPr>
              <w:rFonts w:ascii="F015TEE"/>
            </w:rPr>
            <w:sectPr w:rsidR="00D80B6D" w:rsidRPr="005D11F0" w:rsidSect="00C85AB7">
              <w:headerReference w:type="default" r:id="rId16"/>
              <w:footerReference w:type="default" r:id="rId17"/>
              <w:pgSz w:w="11910" w:h="16840"/>
              <w:pgMar w:top="960" w:right="711" w:bottom="0" w:left="720" w:header="708" w:footer="708" w:gutter="0"/>
              <w:cols w:space="708"/>
            </w:sectPr>
          </w:pPr>
        </w:p>
        <w:p w14:paraId="049013F3" w14:textId="77777777" w:rsidR="00D31127" w:rsidRPr="005D11F0" w:rsidRDefault="00605FAF" w:rsidP="0025264B">
          <w:pPr>
            <w:rPr>
              <w:rFonts w:ascii="Arial" w:hAnsi="Arial" w:cs="Arial"/>
              <w:b/>
              <w:sz w:val="20"/>
              <w:szCs w:val="20"/>
            </w:rPr>
            <w:sectPr w:rsidR="00D31127" w:rsidRPr="005D11F0"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419AA771" w14:textId="38696D8F" w:rsidR="00562DBA" w:rsidRDefault="0041452A" w:rsidP="00737A54">
      <w:pPr>
        <w:jc w:val="center"/>
        <w:rPr>
          <w:rFonts w:ascii="Arial" w:hAnsi="Arial" w:cs="Arial"/>
          <w:b/>
          <w:sz w:val="30"/>
          <w:szCs w:val="30"/>
        </w:rPr>
      </w:pPr>
      <w:r>
        <w:rPr>
          <w:rFonts w:ascii="Arial" w:hAnsi="Arial" w:cs="Arial"/>
          <w:b/>
          <w:sz w:val="30"/>
          <w:szCs w:val="30"/>
        </w:rPr>
        <w:t xml:space="preserve">Zdražuje i povinné ručení, Broker </w:t>
      </w:r>
      <w:proofErr w:type="spellStart"/>
      <w:r>
        <w:rPr>
          <w:rFonts w:ascii="Arial" w:hAnsi="Arial" w:cs="Arial"/>
          <w:b/>
          <w:sz w:val="30"/>
          <w:szCs w:val="30"/>
        </w:rPr>
        <w:t>Consulting</w:t>
      </w:r>
      <w:proofErr w:type="spellEnd"/>
      <w:r>
        <w:rPr>
          <w:rFonts w:ascii="Arial" w:hAnsi="Arial" w:cs="Arial"/>
          <w:b/>
          <w:sz w:val="30"/>
          <w:szCs w:val="30"/>
        </w:rPr>
        <w:t xml:space="preserve"> </w:t>
      </w:r>
      <w:proofErr w:type="spellStart"/>
      <w:r>
        <w:rPr>
          <w:rFonts w:ascii="Arial" w:hAnsi="Arial" w:cs="Arial"/>
          <w:b/>
          <w:sz w:val="30"/>
          <w:szCs w:val="30"/>
        </w:rPr>
        <w:t>POVIndex</w:t>
      </w:r>
      <w:proofErr w:type="spellEnd"/>
      <w:r>
        <w:rPr>
          <w:rFonts w:ascii="Arial" w:hAnsi="Arial" w:cs="Arial"/>
          <w:b/>
          <w:sz w:val="30"/>
          <w:szCs w:val="30"/>
        </w:rPr>
        <w:t xml:space="preserve"> se za červen vyšplhal na 6 758 korun</w:t>
      </w:r>
      <w:bookmarkStart w:id="0" w:name="_GoBack"/>
      <w:bookmarkEnd w:id="0"/>
    </w:p>
    <w:p w14:paraId="51B6F0DF" w14:textId="53BAD56D" w:rsidR="00AC1E03" w:rsidRPr="00A3163A" w:rsidRDefault="00AC1E03" w:rsidP="00562DBA">
      <w:pPr>
        <w:jc w:val="center"/>
        <w:rPr>
          <w:rFonts w:ascii="Arial" w:hAnsi="Arial" w:cs="Arial"/>
          <w:i/>
          <w:sz w:val="20"/>
          <w:szCs w:val="20"/>
        </w:rPr>
      </w:pPr>
    </w:p>
    <w:p w14:paraId="0EF14F18" w14:textId="2D07D4EE" w:rsidR="00724536" w:rsidRPr="005D74FB" w:rsidRDefault="00DA6D6A" w:rsidP="00437639">
      <w:pPr>
        <w:jc w:val="both"/>
        <w:rPr>
          <w:rFonts w:ascii="Arial" w:hAnsi="Arial" w:cs="Arial"/>
          <w:b/>
          <w:color w:val="000000" w:themeColor="text1"/>
        </w:rPr>
      </w:pPr>
      <w:r w:rsidRPr="005D74FB">
        <w:rPr>
          <w:rFonts w:ascii="Arial" w:hAnsi="Arial" w:cs="Arial"/>
          <w:i/>
        </w:rPr>
        <w:t xml:space="preserve">Praha, </w:t>
      </w:r>
      <w:r w:rsidR="007136E6">
        <w:rPr>
          <w:rFonts w:ascii="Arial" w:hAnsi="Arial" w:cs="Arial"/>
          <w:i/>
        </w:rPr>
        <w:t>22</w:t>
      </w:r>
      <w:r w:rsidR="00B07063" w:rsidRPr="005D74FB">
        <w:rPr>
          <w:rFonts w:ascii="Arial" w:hAnsi="Arial" w:cs="Arial"/>
          <w:i/>
        </w:rPr>
        <w:t>. července</w:t>
      </w:r>
      <w:r w:rsidR="0076526B" w:rsidRPr="005D74FB">
        <w:rPr>
          <w:rFonts w:ascii="Arial" w:hAnsi="Arial" w:cs="Arial"/>
          <w:i/>
        </w:rPr>
        <w:t xml:space="preserve"> </w:t>
      </w:r>
      <w:r w:rsidRPr="005D74FB">
        <w:rPr>
          <w:rFonts w:ascii="Arial" w:hAnsi="Arial" w:cs="Arial"/>
          <w:i/>
        </w:rPr>
        <w:t>2022</w:t>
      </w:r>
      <w:r w:rsidR="0004010D" w:rsidRPr="005D74FB">
        <w:rPr>
          <w:rFonts w:ascii="Arial" w:hAnsi="Arial" w:cs="Arial"/>
          <w:color w:val="000000" w:themeColor="text1"/>
        </w:rPr>
        <w:t xml:space="preserve"> –</w:t>
      </w:r>
      <w:r w:rsidR="0076526B" w:rsidRPr="005D74FB">
        <w:rPr>
          <w:rFonts w:ascii="Arial" w:hAnsi="Arial" w:cs="Arial"/>
          <w:b/>
          <w:color w:val="000000" w:themeColor="text1"/>
        </w:rPr>
        <w:t xml:space="preserve"> </w:t>
      </w:r>
      <w:r w:rsidR="00C55E4E" w:rsidRPr="005D74FB">
        <w:rPr>
          <w:rFonts w:ascii="Arial" w:hAnsi="Arial" w:cs="Arial"/>
          <w:b/>
          <w:color w:val="000000" w:themeColor="text1"/>
        </w:rPr>
        <w:t xml:space="preserve">Podle Broker </w:t>
      </w:r>
      <w:proofErr w:type="spellStart"/>
      <w:r w:rsidR="00C55E4E" w:rsidRPr="005D74FB">
        <w:rPr>
          <w:rFonts w:ascii="Arial" w:hAnsi="Arial" w:cs="Arial"/>
          <w:b/>
          <w:color w:val="000000" w:themeColor="text1"/>
        </w:rPr>
        <w:t>Consulting</w:t>
      </w:r>
      <w:proofErr w:type="spellEnd"/>
      <w:r w:rsidR="00C55E4E" w:rsidRPr="005D74FB">
        <w:rPr>
          <w:rFonts w:ascii="Arial" w:hAnsi="Arial" w:cs="Arial"/>
          <w:b/>
          <w:color w:val="000000" w:themeColor="text1"/>
        </w:rPr>
        <w:t xml:space="preserve"> </w:t>
      </w:r>
      <w:proofErr w:type="spellStart"/>
      <w:r w:rsidR="00C55E4E" w:rsidRPr="005D74FB">
        <w:rPr>
          <w:rFonts w:ascii="Arial" w:hAnsi="Arial" w:cs="Arial"/>
          <w:b/>
          <w:color w:val="000000" w:themeColor="text1"/>
        </w:rPr>
        <w:t>POVIndexu</w:t>
      </w:r>
      <w:proofErr w:type="spellEnd"/>
      <w:r w:rsidR="00C55E4E" w:rsidRPr="005D74FB">
        <w:rPr>
          <w:rFonts w:ascii="Arial" w:hAnsi="Arial" w:cs="Arial"/>
          <w:b/>
          <w:color w:val="000000" w:themeColor="text1"/>
        </w:rPr>
        <w:t xml:space="preserve"> zaznamenalo povinné ručení v červnu opět z</w:t>
      </w:r>
      <w:r w:rsidR="00A07B57" w:rsidRPr="005D74FB">
        <w:rPr>
          <w:rFonts w:ascii="Arial" w:hAnsi="Arial" w:cs="Arial"/>
          <w:b/>
          <w:color w:val="000000" w:themeColor="text1"/>
        </w:rPr>
        <w:t>dražení</w:t>
      </w:r>
      <w:r w:rsidR="001844F8" w:rsidRPr="005D74FB">
        <w:rPr>
          <w:rFonts w:ascii="Arial" w:hAnsi="Arial" w:cs="Arial"/>
          <w:b/>
          <w:color w:val="000000" w:themeColor="text1"/>
        </w:rPr>
        <w:t xml:space="preserve">, </w:t>
      </w:r>
      <w:r w:rsidR="00186E95" w:rsidRPr="005D74FB">
        <w:rPr>
          <w:rFonts w:ascii="Arial" w:hAnsi="Arial" w:cs="Arial"/>
          <w:b/>
          <w:color w:val="000000" w:themeColor="text1"/>
        </w:rPr>
        <w:t xml:space="preserve">celkově </w:t>
      </w:r>
      <w:r w:rsidR="005546DD" w:rsidRPr="005D74FB">
        <w:rPr>
          <w:rFonts w:ascii="Arial" w:hAnsi="Arial" w:cs="Arial"/>
          <w:b/>
          <w:color w:val="000000" w:themeColor="text1"/>
        </w:rPr>
        <w:t>šlo</w:t>
      </w:r>
      <w:r w:rsidR="00186E95" w:rsidRPr="005D74FB">
        <w:rPr>
          <w:rFonts w:ascii="Arial" w:hAnsi="Arial" w:cs="Arial"/>
          <w:b/>
          <w:color w:val="000000" w:themeColor="text1"/>
        </w:rPr>
        <w:t xml:space="preserve"> o jeho nejvyšší hodnotu od počátku období měření</w:t>
      </w:r>
      <w:r w:rsidR="00737A54">
        <w:rPr>
          <w:rFonts w:ascii="Arial" w:hAnsi="Arial" w:cs="Arial"/>
          <w:b/>
          <w:color w:val="000000" w:themeColor="text1"/>
        </w:rPr>
        <w:t>, tedy od srpna 2019</w:t>
      </w:r>
      <w:r w:rsidR="00186E95" w:rsidRPr="005D74FB">
        <w:rPr>
          <w:rFonts w:ascii="Arial" w:hAnsi="Arial" w:cs="Arial"/>
          <w:b/>
          <w:color w:val="000000" w:themeColor="text1"/>
        </w:rPr>
        <w:t>. Trend mírného růstu cen</w:t>
      </w:r>
      <w:r w:rsidR="001844F8" w:rsidRPr="005D74FB">
        <w:rPr>
          <w:rFonts w:ascii="Arial" w:hAnsi="Arial" w:cs="Arial"/>
          <w:b/>
          <w:color w:val="000000" w:themeColor="text1"/>
        </w:rPr>
        <w:t xml:space="preserve"> nadále </w:t>
      </w:r>
      <w:r w:rsidR="00A07B57" w:rsidRPr="005D74FB">
        <w:rPr>
          <w:rFonts w:ascii="Arial" w:hAnsi="Arial" w:cs="Arial"/>
          <w:b/>
          <w:color w:val="000000" w:themeColor="text1"/>
        </w:rPr>
        <w:t>pokrač</w:t>
      </w:r>
      <w:r w:rsidR="001844F8" w:rsidRPr="005D74FB">
        <w:rPr>
          <w:rFonts w:ascii="Arial" w:hAnsi="Arial" w:cs="Arial"/>
          <w:b/>
          <w:color w:val="000000" w:themeColor="text1"/>
        </w:rPr>
        <w:t>uje</w:t>
      </w:r>
      <w:r w:rsidR="00EA64D4" w:rsidRPr="005D74FB">
        <w:rPr>
          <w:rFonts w:ascii="Arial" w:hAnsi="Arial" w:cs="Arial"/>
          <w:b/>
          <w:color w:val="000000" w:themeColor="text1"/>
        </w:rPr>
        <w:t xml:space="preserve">, </w:t>
      </w:r>
      <w:r w:rsidR="003D2CAC" w:rsidRPr="005D74FB">
        <w:rPr>
          <w:rFonts w:ascii="Arial" w:hAnsi="Arial" w:cs="Arial"/>
          <w:b/>
          <w:color w:val="000000" w:themeColor="text1"/>
        </w:rPr>
        <w:t>meziměsíčně</w:t>
      </w:r>
      <w:r w:rsidR="003830B5" w:rsidRPr="005D74FB">
        <w:rPr>
          <w:rFonts w:ascii="Arial" w:hAnsi="Arial" w:cs="Arial"/>
          <w:b/>
          <w:color w:val="000000" w:themeColor="text1"/>
        </w:rPr>
        <w:t xml:space="preserve"> </w:t>
      </w:r>
      <w:r w:rsidR="00EA64D4" w:rsidRPr="005D74FB">
        <w:rPr>
          <w:rFonts w:ascii="Arial" w:hAnsi="Arial" w:cs="Arial"/>
          <w:b/>
          <w:color w:val="000000" w:themeColor="text1"/>
        </w:rPr>
        <w:t xml:space="preserve">cena za POV </w:t>
      </w:r>
      <w:r w:rsidR="003830B5" w:rsidRPr="005D74FB">
        <w:rPr>
          <w:rFonts w:ascii="Arial" w:hAnsi="Arial" w:cs="Arial"/>
          <w:b/>
          <w:color w:val="000000" w:themeColor="text1"/>
        </w:rPr>
        <w:t xml:space="preserve">povyskočila </w:t>
      </w:r>
      <w:r w:rsidR="00EA64D4" w:rsidRPr="005D74FB">
        <w:rPr>
          <w:rFonts w:ascii="Arial" w:hAnsi="Arial" w:cs="Arial"/>
          <w:b/>
          <w:color w:val="000000" w:themeColor="text1"/>
        </w:rPr>
        <w:t>o 95 korun.</w:t>
      </w:r>
      <w:r w:rsidR="001844F8" w:rsidRPr="005D74FB">
        <w:rPr>
          <w:rFonts w:ascii="Arial" w:hAnsi="Arial" w:cs="Arial"/>
          <w:b/>
          <w:color w:val="000000" w:themeColor="text1"/>
        </w:rPr>
        <w:t xml:space="preserve"> </w:t>
      </w:r>
      <w:r w:rsidR="003830B5" w:rsidRPr="005D74FB">
        <w:rPr>
          <w:rFonts w:ascii="Arial" w:hAnsi="Arial" w:cs="Arial"/>
          <w:b/>
          <w:color w:val="000000" w:themeColor="text1"/>
        </w:rPr>
        <w:t>V průměru</w:t>
      </w:r>
      <w:r w:rsidR="00724536" w:rsidRPr="005D74FB">
        <w:rPr>
          <w:rFonts w:ascii="Arial" w:hAnsi="Arial" w:cs="Arial"/>
          <w:b/>
          <w:color w:val="000000" w:themeColor="text1"/>
        </w:rPr>
        <w:t xml:space="preserve"> bylo možné si zákonné pojištění vozidel </w:t>
      </w:r>
      <w:r w:rsidR="00EA64D4" w:rsidRPr="005D74FB">
        <w:rPr>
          <w:rFonts w:ascii="Arial" w:hAnsi="Arial" w:cs="Arial"/>
          <w:b/>
          <w:color w:val="000000" w:themeColor="text1"/>
        </w:rPr>
        <w:t>pořídit</w:t>
      </w:r>
      <w:r w:rsidR="00DA1662" w:rsidRPr="005D74FB">
        <w:rPr>
          <w:rFonts w:ascii="Arial" w:hAnsi="Arial" w:cs="Arial"/>
          <w:b/>
          <w:color w:val="000000" w:themeColor="text1"/>
        </w:rPr>
        <w:t xml:space="preserve"> v předchozím měsíci</w:t>
      </w:r>
      <w:r w:rsidR="00EA64D4" w:rsidRPr="005D74FB">
        <w:rPr>
          <w:rFonts w:ascii="Arial" w:hAnsi="Arial" w:cs="Arial"/>
          <w:b/>
          <w:color w:val="000000" w:themeColor="text1"/>
        </w:rPr>
        <w:t xml:space="preserve"> za 6</w:t>
      </w:r>
      <w:r w:rsidR="00E42149" w:rsidRPr="005D74FB">
        <w:rPr>
          <w:rFonts w:ascii="Arial" w:hAnsi="Arial" w:cs="Arial"/>
          <w:b/>
          <w:color w:val="000000" w:themeColor="text1"/>
        </w:rPr>
        <w:t xml:space="preserve"> </w:t>
      </w:r>
      <w:r w:rsidR="00DA1662" w:rsidRPr="005D74FB">
        <w:rPr>
          <w:rFonts w:ascii="Arial" w:hAnsi="Arial" w:cs="Arial"/>
          <w:b/>
          <w:color w:val="000000" w:themeColor="text1"/>
        </w:rPr>
        <w:t>758 korun českých</w:t>
      </w:r>
      <w:r w:rsidR="00EA64D4" w:rsidRPr="005D74FB">
        <w:rPr>
          <w:rFonts w:ascii="Arial" w:hAnsi="Arial" w:cs="Arial"/>
          <w:b/>
          <w:color w:val="000000" w:themeColor="text1"/>
        </w:rPr>
        <w:t>.</w:t>
      </w:r>
      <w:r w:rsidR="00F16128" w:rsidRPr="005D74FB">
        <w:rPr>
          <w:rFonts w:ascii="Arial" w:hAnsi="Arial" w:cs="Arial"/>
          <w:b/>
          <w:color w:val="000000" w:themeColor="text1"/>
        </w:rPr>
        <w:t xml:space="preserve"> Při regionálním </w:t>
      </w:r>
      <w:r w:rsidR="005546DD" w:rsidRPr="005D74FB">
        <w:rPr>
          <w:rFonts w:ascii="Arial" w:hAnsi="Arial" w:cs="Arial"/>
          <w:b/>
          <w:color w:val="000000" w:themeColor="text1"/>
        </w:rPr>
        <w:t xml:space="preserve">srovnání </w:t>
      </w:r>
      <w:r w:rsidR="00B475E1" w:rsidRPr="005D74FB">
        <w:rPr>
          <w:rFonts w:ascii="Arial" w:hAnsi="Arial" w:cs="Arial"/>
          <w:b/>
          <w:color w:val="000000" w:themeColor="text1"/>
        </w:rPr>
        <w:t>registrovali</w:t>
      </w:r>
      <w:r w:rsidR="00186E95" w:rsidRPr="005D74FB">
        <w:rPr>
          <w:rFonts w:ascii="Arial" w:hAnsi="Arial" w:cs="Arial"/>
          <w:b/>
          <w:color w:val="000000" w:themeColor="text1"/>
        </w:rPr>
        <w:t xml:space="preserve"> </w:t>
      </w:r>
      <w:r w:rsidR="003830B5" w:rsidRPr="005D74FB">
        <w:rPr>
          <w:rFonts w:ascii="Arial" w:hAnsi="Arial" w:cs="Arial"/>
          <w:b/>
          <w:color w:val="000000" w:themeColor="text1"/>
        </w:rPr>
        <w:t xml:space="preserve">nově </w:t>
      </w:r>
      <w:r w:rsidR="00F16128" w:rsidRPr="005D74FB">
        <w:rPr>
          <w:rFonts w:ascii="Arial" w:hAnsi="Arial" w:cs="Arial"/>
          <w:b/>
          <w:color w:val="000000" w:themeColor="text1"/>
        </w:rPr>
        <w:t xml:space="preserve">experti </w:t>
      </w:r>
      <w:r w:rsidR="00E42149" w:rsidRPr="005D74FB">
        <w:rPr>
          <w:rFonts w:ascii="Arial" w:hAnsi="Arial" w:cs="Arial"/>
          <w:b/>
          <w:color w:val="000000" w:themeColor="text1"/>
        </w:rPr>
        <w:t>zřetelný</w:t>
      </w:r>
      <w:r w:rsidR="00EF1568" w:rsidRPr="005D74FB">
        <w:rPr>
          <w:rFonts w:ascii="Arial" w:hAnsi="Arial" w:cs="Arial"/>
          <w:b/>
          <w:color w:val="000000" w:themeColor="text1"/>
        </w:rPr>
        <w:t xml:space="preserve"> posun </w:t>
      </w:r>
      <w:r w:rsidR="00DA1662" w:rsidRPr="005D74FB">
        <w:rPr>
          <w:rFonts w:ascii="Arial" w:hAnsi="Arial" w:cs="Arial"/>
          <w:b/>
          <w:color w:val="000000" w:themeColor="text1"/>
        </w:rPr>
        <w:t xml:space="preserve">v menším městě, kde nastal </w:t>
      </w:r>
      <w:r w:rsidR="00E42149" w:rsidRPr="005D74FB">
        <w:rPr>
          <w:rFonts w:ascii="Arial" w:hAnsi="Arial" w:cs="Arial"/>
          <w:b/>
          <w:color w:val="000000" w:themeColor="text1"/>
        </w:rPr>
        <w:t xml:space="preserve">výraznější </w:t>
      </w:r>
      <w:r w:rsidR="000A170E" w:rsidRPr="005D74FB">
        <w:rPr>
          <w:rFonts w:ascii="Arial" w:hAnsi="Arial" w:cs="Arial"/>
          <w:b/>
          <w:color w:val="000000" w:themeColor="text1"/>
        </w:rPr>
        <w:t>pohyb ceny</w:t>
      </w:r>
      <w:r w:rsidR="00E42149" w:rsidRPr="005D74FB">
        <w:rPr>
          <w:rFonts w:ascii="Arial" w:hAnsi="Arial" w:cs="Arial"/>
          <w:b/>
          <w:color w:val="000000" w:themeColor="text1"/>
        </w:rPr>
        <w:t xml:space="preserve"> směrem</w:t>
      </w:r>
      <w:r w:rsidR="000A170E" w:rsidRPr="005D74FB">
        <w:rPr>
          <w:rFonts w:ascii="Arial" w:hAnsi="Arial" w:cs="Arial"/>
          <w:b/>
          <w:color w:val="000000" w:themeColor="text1"/>
        </w:rPr>
        <w:t xml:space="preserve"> nahoru</w:t>
      </w:r>
      <w:r w:rsidR="00A12D97" w:rsidRPr="005D74FB">
        <w:rPr>
          <w:rFonts w:ascii="Arial" w:hAnsi="Arial" w:cs="Arial"/>
          <w:b/>
          <w:color w:val="000000" w:themeColor="text1"/>
        </w:rPr>
        <w:t>.</w:t>
      </w:r>
    </w:p>
    <w:p w14:paraId="0520068C" w14:textId="77777777" w:rsidR="00A12D97" w:rsidRPr="005D74FB" w:rsidRDefault="00A12D97" w:rsidP="00437639">
      <w:pPr>
        <w:jc w:val="both"/>
        <w:rPr>
          <w:rFonts w:ascii="Arial" w:hAnsi="Arial" w:cs="Arial"/>
          <w:b/>
          <w:color w:val="000000" w:themeColor="text1"/>
        </w:rPr>
      </w:pPr>
    </w:p>
    <w:p w14:paraId="2ED8756C" w14:textId="3AF9E421" w:rsidR="00724536" w:rsidRPr="00746E66" w:rsidRDefault="003830B5" w:rsidP="00437639">
      <w:pPr>
        <w:jc w:val="both"/>
        <w:rPr>
          <w:rFonts w:ascii="Arial" w:hAnsi="Arial" w:cs="Arial"/>
          <w:color w:val="000000" w:themeColor="text1"/>
        </w:rPr>
      </w:pPr>
      <w:r w:rsidRPr="00746E66">
        <w:rPr>
          <w:rFonts w:ascii="Arial" w:hAnsi="Arial" w:cs="Arial"/>
          <w:color w:val="000000" w:themeColor="text1"/>
        </w:rPr>
        <w:t>H</w:t>
      </w:r>
      <w:r w:rsidR="00724536" w:rsidRPr="00746E66">
        <w:rPr>
          <w:rFonts w:ascii="Arial" w:hAnsi="Arial" w:cs="Arial"/>
          <w:color w:val="000000" w:themeColor="text1"/>
        </w:rPr>
        <w:t xml:space="preserve">odnoty </w:t>
      </w:r>
      <w:r w:rsidRPr="00746E66">
        <w:rPr>
          <w:rFonts w:ascii="Arial" w:hAnsi="Arial" w:cs="Arial"/>
          <w:color w:val="000000" w:themeColor="text1"/>
        </w:rPr>
        <w:t xml:space="preserve">měřené </w:t>
      </w:r>
      <w:r w:rsidR="00724536" w:rsidRPr="00746E66">
        <w:rPr>
          <w:rFonts w:ascii="Arial" w:hAnsi="Arial" w:cs="Arial"/>
          <w:color w:val="000000" w:themeColor="text1"/>
        </w:rPr>
        <w:t xml:space="preserve">v rámci Broker </w:t>
      </w:r>
      <w:proofErr w:type="spellStart"/>
      <w:r w:rsidR="00724536" w:rsidRPr="00746E66">
        <w:rPr>
          <w:rFonts w:ascii="Arial" w:hAnsi="Arial" w:cs="Arial"/>
          <w:color w:val="000000" w:themeColor="text1"/>
        </w:rPr>
        <w:t>Consulting</w:t>
      </w:r>
      <w:proofErr w:type="spellEnd"/>
      <w:r w:rsidR="00724536" w:rsidRPr="00746E66">
        <w:rPr>
          <w:rFonts w:ascii="Arial" w:hAnsi="Arial" w:cs="Arial"/>
          <w:color w:val="000000" w:themeColor="text1"/>
        </w:rPr>
        <w:t xml:space="preserve"> </w:t>
      </w:r>
      <w:proofErr w:type="spellStart"/>
      <w:r w:rsidR="00724536" w:rsidRPr="00746E66">
        <w:rPr>
          <w:rFonts w:ascii="Arial" w:hAnsi="Arial" w:cs="Arial"/>
          <w:color w:val="000000" w:themeColor="text1"/>
        </w:rPr>
        <w:t>POVIndexu</w:t>
      </w:r>
      <w:proofErr w:type="spellEnd"/>
      <w:r w:rsidR="00724536" w:rsidRPr="00746E66">
        <w:rPr>
          <w:rFonts w:ascii="Arial" w:hAnsi="Arial" w:cs="Arial"/>
          <w:color w:val="000000" w:themeColor="text1"/>
        </w:rPr>
        <w:t xml:space="preserve"> </w:t>
      </w:r>
      <w:r w:rsidRPr="00746E66">
        <w:rPr>
          <w:rFonts w:ascii="Arial" w:hAnsi="Arial" w:cs="Arial"/>
          <w:color w:val="000000" w:themeColor="text1"/>
        </w:rPr>
        <w:t>mají</w:t>
      </w:r>
      <w:r w:rsidR="00E42149" w:rsidRPr="00746E66">
        <w:rPr>
          <w:rFonts w:ascii="Arial" w:hAnsi="Arial" w:cs="Arial"/>
          <w:color w:val="000000" w:themeColor="text1"/>
        </w:rPr>
        <w:t xml:space="preserve"> dlouhodobě rostoucí tendenci. S</w:t>
      </w:r>
      <w:r w:rsidRPr="00746E66">
        <w:rPr>
          <w:rFonts w:ascii="Arial" w:hAnsi="Arial" w:cs="Arial"/>
          <w:color w:val="000000" w:themeColor="text1"/>
        </w:rPr>
        <w:t xml:space="preserve"> výjimkou krátkého zakolísání cen </w:t>
      </w:r>
      <w:r w:rsidR="005613E9" w:rsidRPr="00746E66">
        <w:rPr>
          <w:rFonts w:ascii="Arial" w:hAnsi="Arial" w:cs="Arial"/>
          <w:color w:val="000000" w:themeColor="text1"/>
        </w:rPr>
        <w:t>v prvních měsících</w:t>
      </w:r>
      <w:r w:rsidRPr="00746E66">
        <w:rPr>
          <w:rFonts w:ascii="Arial" w:hAnsi="Arial" w:cs="Arial"/>
          <w:color w:val="000000" w:themeColor="text1"/>
        </w:rPr>
        <w:t xml:space="preserve"> roku 2021</w:t>
      </w:r>
      <w:r w:rsidR="00E42149" w:rsidRPr="00746E66">
        <w:rPr>
          <w:rFonts w:ascii="Arial" w:hAnsi="Arial" w:cs="Arial"/>
          <w:color w:val="000000" w:themeColor="text1"/>
        </w:rPr>
        <w:t xml:space="preserve"> </w:t>
      </w:r>
      <w:r w:rsidR="005613E9" w:rsidRPr="00746E66">
        <w:rPr>
          <w:rFonts w:ascii="Arial" w:hAnsi="Arial" w:cs="Arial"/>
          <w:color w:val="000000" w:themeColor="text1"/>
        </w:rPr>
        <w:t xml:space="preserve">se postupně zvyšuje průměrná </w:t>
      </w:r>
      <w:r w:rsidR="00A145E2" w:rsidRPr="00746E66">
        <w:rPr>
          <w:rFonts w:ascii="Arial" w:hAnsi="Arial" w:cs="Arial"/>
          <w:color w:val="000000" w:themeColor="text1"/>
        </w:rPr>
        <w:t xml:space="preserve">cena </w:t>
      </w:r>
      <w:r w:rsidR="005613E9" w:rsidRPr="00746E66">
        <w:rPr>
          <w:rFonts w:ascii="Arial" w:hAnsi="Arial" w:cs="Arial"/>
          <w:color w:val="000000" w:themeColor="text1"/>
        </w:rPr>
        <w:t>povinné</w:t>
      </w:r>
      <w:r w:rsidR="00A145E2" w:rsidRPr="00746E66">
        <w:rPr>
          <w:rFonts w:ascii="Arial" w:hAnsi="Arial" w:cs="Arial"/>
          <w:color w:val="000000" w:themeColor="text1"/>
        </w:rPr>
        <w:t>ho</w:t>
      </w:r>
      <w:r w:rsidR="005613E9" w:rsidRPr="00746E66">
        <w:rPr>
          <w:rFonts w:ascii="Arial" w:hAnsi="Arial" w:cs="Arial"/>
          <w:color w:val="000000" w:themeColor="text1"/>
        </w:rPr>
        <w:t xml:space="preserve"> ručení.</w:t>
      </w:r>
      <w:r w:rsidR="00A145E2" w:rsidRPr="00746E66">
        <w:rPr>
          <w:rFonts w:ascii="Arial" w:hAnsi="Arial" w:cs="Arial"/>
          <w:color w:val="000000" w:themeColor="text1"/>
        </w:rPr>
        <w:t xml:space="preserve"> Při srovnání s červnovými hodn</w:t>
      </w:r>
      <w:r w:rsidR="007136E6">
        <w:rPr>
          <w:rFonts w:ascii="Arial" w:hAnsi="Arial" w:cs="Arial"/>
          <w:color w:val="000000" w:themeColor="text1"/>
        </w:rPr>
        <w:t>otami v posledních dvou letech je z grafu patrné</w:t>
      </w:r>
      <w:r w:rsidR="00A145E2" w:rsidRPr="00746E66">
        <w:rPr>
          <w:rFonts w:ascii="Arial" w:hAnsi="Arial" w:cs="Arial"/>
          <w:color w:val="000000" w:themeColor="text1"/>
        </w:rPr>
        <w:t xml:space="preserve">, </w:t>
      </w:r>
      <w:r w:rsidR="007136E6">
        <w:rPr>
          <w:rFonts w:ascii="Arial" w:hAnsi="Arial" w:cs="Arial"/>
          <w:color w:val="000000" w:themeColor="text1"/>
        </w:rPr>
        <w:t xml:space="preserve">že </w:t>
      </w:r>
      <w:r w:rsidR="00A145E2" w:rsidRPr="00746E66">
        <w:rPr>
          <w:rFonts w:ascii="Arial" w:hAnsi="Arial" w:cs="Arial"/>
          <w:color w:val="000000" w:themeColor="text1"/>
        </w:rPr>
        <w:t>jde o jednoznačné potvrzení trendu.</w:t>
      </w:r>
      <w:r w:rsidR="007136E6">
        <w:rPr>
          <w:rFonts w:ascii="Arial" w:hAnsi="Arial" w:cs="Arial"/>
          <w:color w:val="000000" w:themeColor="text1"/>
        </w:rPr>
        <w:t xml:space="preserve"> </w:t>
      </w:r>
      <w:r w:rsidR="007E5598">
        <w:rPr>
          <w:rFonts w:ascii="Arial" w:hAnsi="Arial" w:cs="Arial"/>
          <w:color w:val="000000" w:themeColor="text1"/>
        </w:rPr>
        <w:t xml:space="preserve">Dlouhodobě vyšší hodnoty povinného ručení se oproti průměru vyskytují v hlavním městě, </w:t>
      </w:r>
      <w:r w:rsidR="00F20841" w:rsidRPr="00746E66">
        <w:rPr>
          <w:rFonts w:ascii="Arial" w:hAnsi="Arial" w:cs="Arial"/>
          <w:color w:val="000000" w:themeColor="text1"/>
        </w:rPr>
        <w:t>a to o několik stovek korun.</w:t>
      </w:r>
      <w:r w:rsidR="00950337" w:rsidRPr="00746E66">
        <w:rPr>
          <w:rFonts w:ascii="Arial" w:hAnsi="Arial" w:cs="Arial"/>
          <w:color w:val="000000" w:themeColor="text1"/>
        </w:rPr>
        <w:t xml:space="preserve"> Minulý měsíc bylo možné uzavřít </w:t>
      </w:r>
      <w:r w:rsidR="000A6FB0">
        <w:rPr>
          <w:rFonts w:ascii="Arial" w:hAnsi="Arial" w:cs="Arial"/>
          <w:color w:val="000000" w:themeColor="text1"/>
        </w:rPr>
        <w:t xml:space="preserve">zde </w:t>
      </w:r>
      <w:r w:rsidR="00950337" w:rsidRPr="00746E66">
        <w:rPr>
          <w:rFonts w:ascii="Arial" w:hAnsi="Arial" w:cs="Arial"/>
          <w:color w:val="000000" w:themeColor="text1"/>
        </w:rPr>
        <w:t>smlouvu o zák</w:t>
      </w:r>
      <w:r w:rsidR="000A6FB0">
        <w:rPr>
          <w:rFonts w:ascii="Arial" w:hAnsi="Arial" w:cs="Arial"/>
          <w:color w:val="000000" w:themeColor="text1"/>
        </w:rPr>
        <w:t xml:space="preserve">onném pojištění vozidel </w:t>
      </w:r>
      <w:r w:rsidR="00950337" w:rsidRPr="00746E66">
        <w:rPr>
          <w:rFonts w:ascii="Arial" w:hAnsi="Arial" w:cs="Arial"/>
          <w:color w:val="000000" w:themeColor="text1"/>
        </w:rPr>
        <w:t xml:space="preserve">průměrně za sumu 7 446 Kč. </w:t>
      </w:r>
      <w:r w:rsidR="000A6FB0">
        <w:rPr>
          <w:rFonts w:ascii="Arial" w:hAnsi="Arial" w:cs="Arial"/>
          <w:color w:val="000000" w:themeColor="text1"/>
        </w:rPr>
        <w:t xml:space="preserve">Na rozdíl od Prahy byla cena za POV </w:t>
      </w:r>
      <w:r w:rsidR="0002531C" w:rsidRPr="00746E66">
        <w:rPr>
          <w:rFonts w:ascii="Arial" w:hAnsi="Arial" w:cs="Arial"/>
          <w:color w:val="000000" w:themeColor="text1"/>
        </w:rPr>
        <w:t xml:space="preserve">v malém městě (např. Benešov u Prahy) o dost nižší, tam se průměrná hodnota pohybovala na úrovni </w:t>
      </w:r>
      <w:r w:rsidR="005D74FB" w:rsidRPr="00746E66">
        <w:rPr>
          <w:rFonts w:ascii="Arial" w:hAnsi="Arial" w:cs="Arial"/>
          <w:color w:val="000000" w:themeColor="text1"/>
        </w:rPr>
        <w:t>lehce nad šesti tisíci korunami</w:t>
      </w:r>
      <w:r w:rsidR="0002531C" w:rsidRPr="00746E66">
        <w:rPr>
          <w:rFonts w:ascii="Arial" w:hAnsi="Arial" w:cs="Arial"/>
          <w:color w:val="000000" w:themeColor="text1"/>
        </w:rPr>
        <w:t xml:space="preserve">. </w:t>
      </w:r>
    </w:p>
    <w:p w14:paraId="2743A30E" w14:textId="6D5BEAE4" w:rsidR="00552CC5" w:rsidRPr="00746E66" w:rsidRDefault="00552CC5" w:rsidP="00724536">
      <w:pPr>
        <w:jc w:val="both"/>
        <w:rPr>
          <w:rFonts w:ascii="Arial" w:hAnsi="Arial" w:cs="Arial"/>
          <w:b/>
          <w:color w:val="000000" w:themeColor="text1"/>
        </w:rPr>
      </w:pPr>
    </w:p>
    <w:p w14:paraId="6BD5BB47" w14:textId="5A0ADBD5" w:rsidR="0050130C" w:rsidRPr="00746E66" w:rsidRDefault="00552CC5" w:rsidP="005973B7">
      <w:pPr>
        <w:jc w:val="both"/>
        <w:rPr>
          <w:rFonts w:ascii="Arial" w:eastAsiaTheme="minorEastAsia" w:hAnsi="Arial" w:cs="Arial"/>
          <w:bCs/>
          <w:lang w:bidi="ar-SA"/>
        </w:rPr>
      </w:pPr>
      <w:r w:rsidRPr="00746E66">
        <w:rPr>
          <w:rFonts w:ascii="Arial" w:hAnsi="Arial" w:cs="Arial"/>
          <w:color w:val="000000" w:themeColor="text1"/>
        </w:rPr>
        <w:t xml:space="preserve">Pořízení povinného ručení </w:t>
      </w:r>
      <w:r w:rsidR="0050130C" w:rsidRPr="00746E66">
        <w:rPr>
          <w:rFonts w:ascii="Arial" w:hAnsi="Arial" w:cs="Arial"/>
          <w:color w:val="000000" w:themeColor="text1"/>
        </w:rPr>
        <w:t>je ze zákona povinné pro všechny majitele vozidel</w:t>
      </w:r>
      <w:r w:rsidRPr="00746E66">
        <w:rPr>
          <w:rFonts w:ascii="Arial" w:hAnsi="Arial" w:cs="Arial"/>
          <w:color w:val="000000" w:themeColor="text1"/>
        </w:rPr>
        <w:t xml:space="preserve">. </w:t>
      </w:r>
      <w:r w:rsidR="00562CA8" w:rsidRPr="00746E66">
        <w:rPr>
          <w:rFonts w:ascii="Arial" w:hAnsi="Arial" w:cs="Arial"/>
          <w:color w:val="000000" w:themeColor="text1"/>
        </w:rPr>
        <w:t xml:space="preserve">Musí je </w:t>
      </w:r>
      <w:r w:rsidR="000A6FB0">
        <w:rPr>
          <w:rFonts w:ascii="Arial" w:eastAsia="Times New Roman" w:hAnsi="Arial" w:cs="Arial"/>
          <w:color w:val="333333"/>
        </w:rPr>
        <w:t>mít každý dopravní prostředek</w:t>
      </w:r>
      <w:r w:rsidR="00625503" w:rsidRPr="00746E66">
        <w:rPr>
          <w:rFonts w:ascii="Arial" w:eastAsia="Times New Roman" w:hAnsi="Arial" w:cs="Arial"/>
          <w:color w:val="333333"/>
        </w:rPr>
        <w:t>, kterému byla př</w:t>
      </w:r>
      <w:r w:rsidR="00562CA8" w:rsidRPr="00746E66">
        <w:rPr>
          <w:rFonts w:ascii="Arial" w:eastAsia="Times New Roman" w:hAnsi="Arial" w:cs="Arial"/>
          <w:color w:val="333333"/>
        </w:rPr>
        <w:t>idělena registrační značka nebo</w:t>
      </w:r>
      <w:r w:rsidR="00625503" w:rsidRPr="00746E66">
        <w:rPr>
          <w:rFonts w:ascii="Arial" w:eastAsia="Times New Roman" w:hAnsi="Arial" w:cs="Arial"/>
          <w:color w:val="333333"/>
        </w:rPr>
        <w:t xml:space="preserve"> technický průka</w:t>
      </w:r>
      <w:r w:rsidR="00562CA8" w:rsidRPr="00746E66">
        <w:rPr>
          <w:rFonts w:ascii="Arial" w:eastAsia="Times New Roman" w:hAnsi="Arial" w:cs="Arial"/>
          <w:color w:val="333333"/>
        </w:rPr>
        <w:t xml:space="preserve">z. Totéž platí pro veškerá ostatní vozidla používaná </w:t>
      </w:r>
      <w:r w:rsidR="00625503" w:rsidRPr="00746E66">
        <w:rPr>
          <w:rFonts w:ascii="Arial" w:eastAsia="Times New Roman" w:hAnsi="Arial" w:cs="Arial"/>
          <w:color w:val="333333"/>
        </w:rPr>
        <w:t>na veřejných komunikacích</w:t>
      </w:r>
      <w:r w:rsidR="00562CA8" w:rsidRPr="00746E66">
        <w:rPr>
          <w:rFonts w:ascii="Arial" w:eastAsia="Times New Roman" w:hAnsi="Arial" w:cs="Arial"/>
          <w:color w:val="333333"/>
        </w:rPr>
        <w:t>.</w:t>
      </w:r>
      <w:r w:rsidR="005973B7" w:rsidRPr="00746E66">
        <w:rPr>
          <w:rFonts w:ascii="Arial" w:eastAsia="Times New Roman" w:hAnsi="Arial" w:cs="Arial"/>
          <w:color w:val="333333"/>
        </w:rPr>
        <w:t xml:space="preserve"> </w:t>
      </w:r>
      <w:r w:rsidR="005D74FB" w:rsidRPr="00746E66">
        <w:rPr>
          <w:rFonts w:ascii="Arial" w:eastAsiaTheme="minorEastAsia" w:hAnsi="Arial" w:cs="Arial"/>
          <w:bCs/>
          <w:lang w:bidi="ar-SA"/>
        </w:rPr>
        <w:t xml:space="preserve">Platnost povinného ručení je stanovena pro území všech členských států Evropského hospodářského prostoru a pro území dalších států </w:t>
      </w:r>
      <w:r w:rsidR="0050130C" w:rsidRPr="00746E66">
        <w:rPr>
          <w:rFonts w:ascii="Arial" w:eastAsiaTheme="minorEastAsia" w:hAnsi="Arial" w:cs="Arial"/>
          <w:bCs/>
          <w:lang w:bidi="ar-SA"/>
        </w:rPr>
        <w:t xml:space="preserve">dle </w:t>
      </w:r>
      <w:r w:rsidR="000A6FB0">
        <w:rPr>
          <w:rFonts w:ascii="Arial" w:eastAsiaTheme="minorEastAsia" w:hAnsi="Arial" w:cs="Arial"/>
          <w:bCs/>
          <w:lang w:bidi="ar-SA"/>
        </w:rPr>
        <w:t xml:space="preserve">pokynů </w:t>
      </w:r>
      <w:r w:rsidR="0050130C" w:rsidRPr="00746E66">
        <w:rPr>
          <w:rFonts w:ascii="Arial" w:eastAsiaTheme="minorEastAsia" w:hAnsi="Arial" w:cs="Arial"/>
          <w:bCs/>
          <w:lang w:bidi="ar-SA"/>
        </w:rPr>
        <w:t>prováděcí vyhlášky Ministerstva financí.</w:t>
      </w:r>
    </w:p>
    <w:p w14:paraId="4B2304DD" w14:textId="77777777" w:rsidR="005D74FB" w:rsidRPr="00746E66" w:rsidRDefault="005D74FB" w:rsidP="00562CA8">
      <w:pPr>
        <w:jc w:val="both"/>
        <w:rPr>
          <w:rFonts w:ascii="Arial" w:hAnsi="Arial" w:cs="Arial"/>
          <w:color w:val="000000" w:themeColor="text1"/>
        </w:rPr>
      </w:pPr>
    </w:p>
    <w:p w14:paraId="6DFB5D5C" w14:textId="50A06AAB" w:rsidR="00724536" w:rsidRPr="00BC43C3" w:rsidRDefault="004B6687" w:rsidP="00724536">
      <w:pPr>
        <w:jc w:val="both"/>
        <w:rPr>
          <w:rFonts w:ascii="Arial" w:hAnsi="Arial" w:cs="Arial"/>
          <w:color w:val="000000" w:themeColor="text1"/>
        </w:rPr>
      </w:pPr>
      <w:r>
        <w:rPr>
          <w:rFonts w:ascii="Arial" w:hAnsi="Arial" w:cs="Arial"/>
          <w:color w:val="000000" w:themeColor="text1"/>
        </w:rPr>
        <w:t>K uzavření smlouvy o povinném ručení se váže povinnost platby za pojistné. Termín pro zaplacení by měl být vždy součástí smlouvy. Existují také pojistn</w:t>
      </w:r>
      <w:r w:rsidR="00417E36">
        <w:rPr>
          <w:rFonts w:ascii="Arial" w:hAnsi="Arial" w:cs="Arial"/>
          <w:color w:val="000000" w:themeColor="text1"/>
        </w:rPr>
        <w:t>é smlouvy, jejichž plnění se odvozuje od termínu</w:t>
      </w:r>
      <w:r>
        <w:rPr>
          <w:rFonts w:ascii="Arial" w:hAnsi="Arial" w:cs="Arial"/>
          <w:color w:val="000000" w:themeColor="text1"/>
        </w:rPr>
        <w:t xml:space="preserve"> </w:t>
      </w:r>
      <w:r w:rsidR="00417E36">
        <w:rPr>
          <w:rFonts w:ascii="Arial" w:hAnsi="Arial" w:cs="Arial"/>
          <w:color w:val="000000" w:themeColor="text1"/>
        </w:rPr>
        <w:t>provedení platby,</w:t>
      </w:r>
      <w:r>
        <w:rPr>
          <w:rFonts w:ascii="Arial" w:hAnsi="Arial" w:cs="Arial"/>
          <w:color w:val="000000" w:themeColor="text1"/>
        </w:rPr>
        <w:t xml:space="preserve"> </w:t>
      </w:r>
      <w:r w:rsidR="00417E36">
        <w:rPr>
          <w:rFonts w:ascii="Arial" w:hAnsi="Arial" w:cs="Arial"/>
          <w:color w:val="000000" w:themeColor="text1"/>
        </w:rPr>
        <w:t>takové pojištění vzniká až v momentě zaplacení vyměřené částky</w:t>
      </w:r>
      <w:r>
        <w:rPr>
          <w:rFonts w:ascii="Arial" w:hAnsi="Arial" w:cs="Arial"/>
          <w:color w:val="000000" w:themeColor="text1"/>
        </w:rPr>
        <w:t xml:space="preserve">. </w:t>
      </w:r>
      <w:r w:rsidR="00417E36">
        <w:rPr>
          <w:rFonts w:ascii="Arial" w:hAnsi="Arial" w:cs="Arial"/>
          <w:color w:val="000000" w:themeColor="text1"/>
        </w:rPr>
        <w:t>Mimoto jsou l</w:t>
      </w:r>
      <w:r>
        <w:rPr>
          <w:rFonts w:ascii="Arial" w:hAnsi="Arial" w:cs="Arial"/>
          <w:color w:val="000000" w:themeColor="text1"/>
        </w:rPr>
        <w:t xml:space="preserve">hůty pro zaplacení různě dlouhé a liší se u jednotlivých pojišťoven, minimálně je to </w:t>
      </w:r>
      <w:r w:rsidR="00E71B7C">
        <w:rPr>
          <w:rFonts w:ascii="Arial" w:hAnsi="Arial" w:cs="Arial"/>
          <w:color w:val="000000" w:themeColor="text1"/>
        </w:rPr>
        <w:t xml:space="preserve">ale </w:t>
      </w:r>
      <w:r>
        <w:rPr>
          <w:rFonts w:ascii="Arial" w:hAnsi="Arial" w:cs="Arial"/>
          <w:color w:val="000000" w:themeColor="text1"/>
        </w:rPr>
        <w:t>vždy 7 dní od data sjednání smlouvy.</w:t>
      </w:r>
      <w:r w:rsidR="00BC43C3">
        <w:rPr>
          <w:rFonts w:ascii="Arial" w:hAnsi="Arial" w:cs="Arial"/>
          <w:color w:val="000000" w:themeColor="text1"/>
        </w:rPr>
        <w:t xml:space="preserve"> </w:t>
      </w:r>
      <w:r w:rsidR="00746E66">
        <w:rPr>
          <w:rFonts w:ascii="Arial" w:hAnsi="Arial" w:cs="Arial"/>
        </w:rPr>
        <w:t>„</w:t>
      </w:r>
      <w:r w:rsidR="00746E66" w:rsidRPr="00746E66">
        <w:rPr>
          <w:rFonts w:ascii="Arial" w:hAnsi="Arial" w:cs="Arial"/>
          <w:i/>
        </w:rPr>
        <w:t xml:space="preserve">Vždy platí, že si lze vybrat variantu placení pojistného (měsíčně, čtvrtletně nebo ročně), </w:t>
      </w:r>
      <w:r w:rsidR="00E02125">
        <w:rPr>
          <w:rFonts w:ascii="Arial" w:hAnsi="Arial" w:cs="Arial"/>
          <w:i/>
        </w:rPr>
        <w:t>u většiny pojistek ale</w:t>
      </w:r>
      <w:r w:rsidR="00746E66" w:rsidRPr="00746E66">
        <w:rPr>
          <w:rFonts w:ascii="Arial" w:hAnsi="Arial" w:cs="Arial"/>
          <w:i/>
        </w:rPr>
        <w:t xml:space="preserve"> </w:t>
      </w:r>
      <w:r w:rsidR="00E02125">
        <w:rPr>
          <w:rFonts w:ascii="Arial" w:hAnsi="Arial" w:cs="Arial"/>
          <w:i/>
        </w:rPr>
        <w:t>umožní pojišťovny</w:t>
      </w:r>
      <w:r w:rsidR="00724536" w:rsidRPr="00746E66">
        <w:rPr>
          <w:rFonts w:ascii="Arial" w:hAnsi="Arial" w:cs="Arial"/>
          <w:i/>
        </w:rPr>
        <w:t xml:space="preserve"> odchod ke konkurenci pouze jednou ročn</w:t>
      </w:r>
      <w:r w:rsidR="00746E66" w:rsidRPr="00746E66">
        <w:rPr>
          <w:rFonts w:ascii="Arial" w:hAnsi="Arial" w:cs="Arial"/>
          <w:i/>
        </w:rPr>
        <w:t xml:space="preserve">ě, a to ve výročí pojistné smlouvy. V případě </w:t>
      </w:r>
      <w:r w:rsidR="00E02125">
        <w:rPr>
          <w:rFonts w:ascii="Arial" w:hAnsi="Arial" w:cs="Arial"/>
          <w:i/>
        </w:rPr>
        <w:t>změny</w:t>
      </w:r>
      <w:r w:rsidR="00746E66" w:rsidRPr="00746E66">
        <w:rPr>
          <w:rFonts w:ascii="Arial" w:hAnsi="Arial" w:cs="Arial"/>
          <w:i/>
        </w:rPr>
        <w:t xml:space="preserve">, tak nesmí klient </w:t>
      </w:r>
      <w:r w:rsidR="00724536" w:rsidRPr="00746E66">
        <w:rPr>
          <w:rFonts w:ascii="Arial" w:hAnsi="Arial" w:cs="Arial"/>
          <w:i/>
        </w:rPr>
        <w:t>zapomenout podat</w:t>
      </w:r>
      <w:r w:rsidR="00B82BA4">
        <w:rPr>
          <w:rFonts w:ascii="Arial" w:hAnsi="Arial" w:cs="Arial"/>
          <w:i/>
        </w:rPr>
        <w:t xml:space="preserve"> výpověď nejméně 6 týdnů předtím</w:t>
      </w:r>
      <w:r w:rsidR="00746E66">
        <w:rPr>
          <w:rFonts w:ascii="Arial" w:hAnsi="Arial" w:cs="Arial"/>
        </w:rPr>
        <w:t xml:space="preserve">“, </w:t>
      </w:r>
      <w:r>
        <w:rPr>
          <w:rFonts w:ascii="Arial" w:hAnsi="Arial" w:cs="Arial"/>
        </w:rPr>
        <w:t xml:space="preserve">upozorňuje </w:t>
      </w:r>
      <w:r w:rsidRPr="00746E66">
        <w:rPr>
          <w:rFonts w:ascii="Arial" w:hAnsi="Arial" w:cs="Arial"/>
          <w:b/>
        </w:rPr>
        <w:t xml:space="preserve">Jiří Váchal, </w:t>
      </w:r>
      <w:r w:rsidRPr="00746E66">
        <w:rPr>
          <w:rFonts w:ascii="Arial" w:hAnsi="Arial" w:cs="Arial"/>
          <w:b/>
          <w:bCs/>
        </w:rPr>
        <w:t xml:space="preserve">analytik neživotního pojištění společnosti Broker </w:t>
      </w:r>
      <w:proofErr w:type="spellStart"/>
      <w:r w:rsidRPr="00746E66">
        <w:rPr>
          <w:rFonts w:ascii="Arial" w:hAnsi="Arial" w:cs="Arial"/>
          <w:b/>
          <w:bCs/>
        </w:rPr>
        <w:t>Consulting</w:t>
      </w:r>
      <w:proofErr w:type="spellEnd"/>
      <w:r w:rsidR="00746E66">
        <w:rPr>
          <w:rFonts w:ascii="Arial" w:hAnsi="Arial" w:cs="Arial"/>
        </w:rPr>
        <w:t>.</w:t>
      </w:r>
      <w:r w:rsidR="00724536" w:rsidRPr="00746E66">
        <w:rPr>
          <w:rFonts w:ascii="Arial" w:hAnsi="Arial" w:cs="Arial"/>
        </w:rPr>
        <w:t xml:space="preserve"> </w:t>
      </w:r>
    </w:p>
    <w:p w14:paraId="357E0203" w14:textId="77777777" w:rsidR="00AD2933" w:rsidRDefault="00AD2933" w:rsidP="00B676E6">
      <w:pPr>
        <w:jc w:val="both"/>
        <w:rPr>
          <w:rFonts w:ascii="Arial" w:hAnsi="Arial" w:cs="Arial"/>
          <w:color w:val="1F497D" w:themeColor="text2"/>
        </w:rPr>
      </w:pPr>
    </w:p>
    <w:p w14:paraId="7C00FE44" w14:textId="44A503A0" w:rsidR="008A3D7F" w:rsidRPr="00625503" w:rsidRDefault="00AD2933" w:rsidP="000050D4">
      <w:pPr>
        <w:jc w:val="both"/>
        <w:rPr>
          <w:rFonts w:ascii="Arial" w:hAnsi="Arial" w:cs="Arial"/>
          <w:color w:val="000000" w:themeColor="text1"/>
          <w:sz w:val="20"/>
          <w:szCs w:val="20"/>
        </w:rPr>
      </w:pPr>
      <w:r w:rsidRPr="00625503">
        <w:rPr>
          <w:rFonts w:ascii="Arial" w:hAnsi="Arial" w:cs="Arial"/>
          <w:noProof/>
          <w:color w:val="000000" w:themeColor="text1"/>
          <w:sz w:val="20"/>
          <w:szCs w:val="20"/>
          <w:lang w:bidi="ar-SA"/>
        </w:rPr>
        <w:drawing>
          <wp:anchor distT="0" distB="0" distL="114300" distR="114300" simplePos="0" relativeHeight="251663360" behindDoc="0" locked="0" layoutInCell="1" allowOverlap="1" wp14:anchorId="2D66380D" wp14:editId="0988F070">
            <wp:simplePos x="0" y="0"/>
            <wp:positionH relativeFrom="margin">
              <wp:align>center</wp:align>
            </wp:positionH>
            <wp:positionV relativeFrom="paragraph">
              <wp:posOffset>176090</wp:posOffset>
            </wp:positionV>
            <wp:extent cx="6868800" cy="2890800"/>
            <wp:effectExtent l="0" t="0" r="8255" b="5080"/>
            <wp:wrapSquare wrapText="bothSides"/>
            <wp:docPr id="4" name="Obrázek 4" descr="C:\Users\msahulova\Desktop\POVIndex\Graf BC POVIndex - červen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hulova\Desktop\POVIndex\Graf BC POVIndex - červen 202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68800" cy="28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B8DF9" w14:textId="0F2CCC44" w:rsidR="0077224E" w:rsidRPr="00625503" w:rsidRDefault="0077224E" w:rsidP="00AD2933">
      <w:pPr>
        <w:jc w:val="center"/>
        <w:rPr>
          <w:rFonts w:ascii="Arial" w:hAnsi="Arial" w:cs="Arial"/>
          <w:color w:val="000000" w:themeColor="text1"/>
          <w:sz w:val="20"/>
          <w:szCs w:val="20"/>
        </w:rPr>
      </w:pPr>
    </w:p>
    <w:p w14:paraId="6FA662DD" w14:textId="510A8292" w:rsidR="00AD2933" w:rsidRPr="00B676E6" w:rsidRDefault="00AD2933" w:rsidP="00AD2933">
      <w:pPr>
        <w:jc w:val="both"/>
        <w:rPr>
          <w:rFonts w:ascii="Arial" w:eastAsia="Times New Roman" w:hAnsi="Arial" w:cs="Arial"/>
          <w:color w:val="212529"/>
        </w:rPr>
      </w:pPr>
      <w:r w:rsidRPr="00746E66">
        <w:rPr>
          <w:rFonts w:ascii="Arial" w:hAnsi="Arial" w:cs="Arial"/>
          <w:color w:val="000000" w:themeColor="text1"/>
        </w:rPr>
        <w:t>K</w:t>
      </w:r>
      <w:r w:rsidR="001E2B55">
        <w:rPr>
          <w:rFonts w:ascii="Arial" w:hAnsi="Arial" w:cs="Arial"/>
          <w:color w:val="000000" w:themeColor="text1"/>
        </w:rPr>
        <w:t> plnění smlouvy se standardně váže</w:t>
      </w:r>
      <w:r w:rsidRPr="00746E66">
        <w:rPr>
          <w:rFonts w:ascii="Arial" w:hAnsi="Arial" w:cs="Arial"/>
          <w:color w:val="000000" w:themeColor="text1"/>
        </w:rPr>
        <w:t xml:space="preserve"> uhrazení částky sjednané za pojištění vozidla, při nezaplacení totiž hrozí vznik dalších výdajů.</w:t>
      </w:r>
      <w:r>
        <w:rPr>
          <w:rFonts w:ascii="Arial" w:hAnsi="Arial" w:cs="Arial"/>
          <w:color w:val="000000" w:themeColor="text1"/>
        </w:rPr>
        <w:t xml:space="preserve"> Naopak v</w:t>
      </w:r>
      <w:r w:rsidR="001E2B55">
        <w:rPr>
          <w:rFonts w:ascii="Arial" w:hAnsi="Arial" w:cs="Arial"/>
          <w:color w:val="000000" w:themeColor="text1"/>
        </w:rPr>
        <w:t> </w:t>
      </w:r>
      <w:r>
        <w:rPr>
          <w:rFonts w:ascii="Arial" w:hAnsi="Arial" w:cs="Arial"/>
          <w:color w:val="000000" w:themeColor="text1"/>
        </w:rPr>
        <w:t>případě</w:t>
      </w:r>
      <w:r w:rsidR="001E2B55">
        <w:rPr>
          <w:rFonts w:ascii="Arial" w:hAnsi="Arial" w:cs="Arial"/>
          <w:color w:val="000000" w:themeColor="text1"/>
        </w:rPr>
        <w:t xml:space="preserve"> včasného</w:t>
      </w:r>
      <w:r>
        <w:rPr>
          <w:rFonts w:ascii="Arial" w:hAnsi="Arial" w:cs="Arial"/>
          <w:color w:val="000000" w:themeColor="text1"/>
        </w:rPr>
        <w:t xml:space="preserve"> </w:t>
      </w:r>
      <w:r w:rsidR="001E2B55">
        <w:rPr>
          <w:rFonts w:ascii="Arial" w:hAnsi="Arial" w:cs="Arial"/>
          <w:color w:val="000000" w:themeColor="text1"/>
        </w:rPr>
        <w:t>uhrazení</w:t>
      </w:r>
      <w:r>
        <w:rPr>
          <w:rFonts w:ascii="Arial" w:hAnsi="Arial" w:cs="Arial"/>
          <w:color w:val="000000" w:themeColor="text1"/>
        </w:rPr>
        <w:t xml:space="preserve"> pojistného</w:t>
      </w:r>
      <w:r w:rsidR="001E2B55">
        <w:rPr>
          <w:rFonts w:ascii="Arial" w:hAnsi="Arial" w:cs="Arial"/>
          <w:color w:val="000000" w:themeColor="text1"/>
        </w:rPr>
        <w:t xml:space="preserve"> se podle smlouvy </w:t>
      </w:r>
      <w:r>
        <w:rPr>
          <w:rFonts w:ascii="Arial" w:hAnsi="Arial" w:cs="Arial"/>
          <w:color w:val="000000" w:themeColor="text1"/>
        </w:rPr>
        <w:t xml:space="preserve">vztahuje </w:t>
      </w:r>
      <w:r w:rsidR="001E2B55">
        <w:rPr>
          <w:rFonts w:ascii="Arial" w:hAnsi="Arial" w:cs="Arial"/>
          <w:color w:val="000000" w:themeColor="text1"/>
        </w:rPr>
        <w:t xml:space="preserve">pojištění </w:t>
      </w:r>
      <w:r>
        <w:rPr>
          <w:rFonts w:ascii="Arial" w:hAnsi="Arial" w:cs="Arial"/>
          <w:color w:val="000000" w:themeColor="text1"/>
        </w:rPr>
        <w:t xml:space="preserve">i na dobu před </w:t>
      </w:r>
      <w:r w:rsidR="001E2B55">
        <w:rPr>
          <w:rFonts w:ascii="Arial" w:hAnsi="Arial" w:cs="Arial"/>
          <w:color w:val="000000" w:themeColor="text1"/>
        </w:rPr>
        <w:t>zaplacením</w:t>
      </w:r>
      <w:r>
        <w:rPr>
          <w:rFonts w:ascii="Arial" w:hAnsi="Arial" w:cs="Arial"/>
          <w:color w:val="000000" w:themeColor="text1"/>
        </w:rPr>
        <w:t xml:space="preserve"> (mimo uvedenou výjimku).</w:t>
      </w:r>
      <w:r>
        <w:rPr>
          <w:rFonts w:ascii="Arial" w:eastAsia="Times New Roman" w:hAnsi="Arial" w:cs="Arial"/>
          <w:bCs/>
          <w:color w:val="212529"/>
          <w:bdr w:val="none" w:sz="0" w:space="0" w:color="auto" w:frame="1"/>
        </w:rPr>
        <w:t xml:space="preserve"> </w:t>
      </w:r>
      <w:r w:rsidRPr="00746E66">
        <w:rPr>
          <w:rFonts w:ascii="Arial" w:eastAsia="Times New Roman" w:hAnsi="Arial" w:cs="Arial"/>
          <w:color w:val="212529"/>
        </w:rPr>
        <w:t xml:space="preserve">Datum sjednání pojistné smlouvy a datum </w:t>
      </w:r>
      <w:r w:rsidRPr="00746E66">
        <w:rPr>
          <w:rFonts w:ascii="Arial" w:eastAsia="Times New Roman" w:hAnsi="Arial" w:cs="Arial"/>
          <w:color w:val="212529"/>
        </w:rPr>
        <w:lastRenderedPageBreak/>
        <w:t>počátku pojištění mohou být</w:t>
      </w:r>
      <w:r w:rsidR="001E2B55">
        <w:rPr>
          <w:rFonts w:ascii="Arial" w:eastAsia="Times New Roman" w:hAnsi="Arial" w:cs="Arial"/>
          <w:color w:val="212529"/>
        </w:rPr>
        <w:t xml:space="preserve"> proto</w:t>
      </w:r>
      <w:r w:rsidRPr="00746E66">
        <w:rPr>
          <w:rFonts w:ascii="Arial" w:eastAsia="Times New Roman" w:hAnsi="Arial" w:cs="Arial"/>
          <w:color w:val="212529"/>
        </w:rPr>
        <w:t xml:space="preserve"> odlišné. Pojistnou smlouvu je totiž možné uzavřít i několik měsíců před jejím počátkem, tzv. </w:t>
      </w:r>
      <w:r>
        <w:rPr>
          <w:rFonts w:ascii="Arial" w:eastAsia="Times New Roman" w:hAnsi="Arial" w:cs="Arial"/>
          <w:color w:val="212529"/>
        </w:rPr>
        <w:t xml:space="preserve">s </w:t>
      </w:r>
      <w:r w:rsidRPr="00746E66">
        <w:rPr>
          <w:rFonts w:ascii="Arial" w:eastAsia="Times New Roman" w:hAnsi="Arial" w:cs="Arial"/>
          <w:color w:val="212529"/>
        </w:rPr>
        <w:t xml:space="preserve">odloženým počátkem. </w:t>
      </w:r>
      <w:r>
        <w:rPr>
          <w:rFonts w:ascii="Arial" w:eastAsia="Times New Roman" w:hAnsi="Arial" w:cs="Arial"/>
          <w:bCs/>
          <w:color w:val="212529"/>
          <w:bdr w:val="none" w:sz="0" w:space="0" w:color="auto" w:frame="1"/>
        </w:rPr>
        <w:t>Nikdy však nelze pojištění uzavírat na období již minulé</w:t>
      </w:r>
      <w:r w:rsidRPr="00746E66">
        <w:rPr>
          <w:rFonts w:ascii="Arial" w:eastAsia="Times New Roman" w:hAnsi="Arial" w:cs="Arial"/>
          <w:color w:val="212529"/>
        </w:rPr>
        <w:t>.</w:t>
      </w:r>
      <w:r>
        <w:rPr>
          <w:rFonts w:ascii="Arial" w:eastAsia="Times New Roman" w:hAnsi="Arial" w:cs="Arial"/>
          <w:color w:val="212529"/>
        </w:rPr>
        <w:t xml:space="preserve"> Co se týče neuhrazení vyměřeného pojistného, mohou řidičům vznikat další výdaje, </w:t>
      </w:r>
      <w:r>
        <w:rPr>
          <w:rFonts w:ascii="Arial" w:hAnsi="Arial" w:cs="Arial"/>
          <w:color w:val="333835"/>
        </w:rPr>
        <w:t>n</w:t>
      </w:r>
      <w:r w:rsidRPr="00746E66">
        <w:rPr>
          <w:rFonts w:ascii="Arial" w:hAnsi="Arial" w:cs="Arial"/>
          <w:color w:val="333835"/>
        </w:rPr>
        <w:t xml:space="preserve">apř. mimosoudní náklady spojené s vymáháním příspěvku do Garančního fondu. V případě zaviněné nehody pak po řidiči může </w:t>
      </w:r>
      <w:r w:rsidR="004A3A91">
        <w:rPr>
          <w:rFonts w:ascii="Arial" w:hAnsi="Arial" w:cs="Arial"/>
          <w:color w:val="333835"/>
        </w:rPr>
        <w:t xml:space="preserve">navíc </w:t>
      </w:r>
      <w:r w:rsidRPr="00746E66">
        <w:rPr>
          <w:rFonts w:ascii="Arial" w:hAnsi="Arial" w:cs="Arial"/>
          <w:color w:val="333835"/>
        </w:rPr>
        <w:t xml:space="preserve">Česká kancelář pojistitelů vymáhat i způsobenou škodu. </w:t>
      </w:r>
      <w:r w:rsidRPr="00746E66">
        <w:rPr>
          <w:rFonts w:ascii="Arial" w:eastAsia="Times New Roman" w:hAnsi="Arial" w:cs="Arial"/>
          <w:b/>
          <w:bCs/>
          <w:color w:val="333333"/>
        </w:rPr>
        <w:t>„</w:t>
      </w:r>
      <w:r w:rsidRPr="00746E66">
        <w:rPr>
          <w:rFonts w:ascii="Arial" w:eastAsia="Times New Roman" w:hAnsi="Arial" w:cs="Arial"/>
          <w:bCs/>
          <w:i/>
          <w:color w:val="333333"/>
        </w:rPr>
        <w:t>Rozhodně doporučuji mít vozidlo, k</w:t>
      </w:r>
      <w:r w:rsidR="004A3A91">
        <w:rPr>
          <w:rFonts w:ascii="Arial" w:eastAsia="Times New Roman" w:hAnsi="Arial" w:cs="Arial"/>
          <w:bCs/>
          <w:i/>
          <w:color w:val="333333"/>
        </w:rPr>
        <w:t>teré je registrované a</w:t>
      </w:r>
      <w:r w:rsidRPr="00746E66">
        <w:rPr>
          <w:rFonts w:ascii="Arial" w:eastAsia="Times New Roman" w:hAnsi="Arial" w:cs="Arial"/>
          <w:bCs/>
          <w:i/>
          <w:color w:val="333333"/>
        </w:rPr>
        <w:t xml:space="preserve"> pojištěné na každý den. Žádná ochranná lhůta pro sjednání povinného ručení neexistuje a i jeden den nepojištění </w:t>
      </w:r>
      <w:r w:rsidR="004A3A91">
        <w:rPr>
          <w:rFonts w:ascii="Arial" w:eastAsia="Times New Roman" w:hAnsi="Arial" w:cs="Arial"/>
          <w:bCs/>
          <w:i/>
          <w:color w:val="333333"/>
        </w:rPr>
        <w:t>Vás může stát spoustu peněz, a to je určitě nepříjemné. Po zániku pojištění poté existuje 14</w:t>
      </w:r>
      <w:r>
        <w:rPr>
          <w:rFonts w:ascii="Arial" w:eastAsia="Times New Roman" w:hAnsi="Arial" w:cs="Arial"/>
          <w:bCs/>
          <w:i/>
          <w:color w:val="333333"/>
        </w:rPr>
        <w:t>denní lhůta</w:t>
      </w:r>
      <w:r w:rsidRPr="00746E66">
        <w:rPr>
          <w:rFonts w:ascii="Arial" w:eastAsia="Times New Roman" w:hAnsi="Arial" w:cs="Arial"/>
          <w:bCs/>
          <w:i/>
          <w:color w:val="333333"/>
        </w:rPr>
        <w:t>, do kdy máte povinnost odevzdat značku vozidla do depozitu, ale v žádném případě to neznamená, že nemusíte mít vozidlo pojištěné</w:t>
      </w:r>
      <w:r w:rsidRPr="00746E66">
        <w:rPr>
          <w:rFonts w:ascii="Arial" w:eastAsia="Times New Roman" w:hAnsi="Arial" w:cs="Arial"/>
          <w:b/>
          <w:bCs/>
          <w:color w:val="333333"/>
        </w:rPr>
        <w:t xml:space="preserve">,“ </w:t>
      </w:r>
      <w:r w:rsidR="00087D87">
        <w:rPr>
          <w:rFonts w:ascii="Arial" w:hAnsi="Arial" w:cs="Arial"/>
          <w:color w:val="000000" w:themeColor="text1"/>
        </w:rPr>
        <w:t xml:space="preserve">dodává </w:t>
      </w:r>
      <w:r w:rsidR="00087D87" w:rsidRPr="00087D87">
        <w:rPr>
          <w:rFonts w:ascii="Arial" w:hAnsi="Arial" w:cs="Arial"/>
          <w:b/>
          <w:color w:val="000000" w:themeColor="text1"/>
        </w:rPr>
        <w:t>Jiří</w:t>
      </w:r>
      <w:r w:rsidRPr="00746E66">
        <w:rPr>
          <w:rFonts w:ascii="Arial" w:hAnsi="Arial" w:cs="Arial"/>
          <w:color w:val="000000" w:themeColor="text1"/>
        </w:rPr>
        <w:t xml:space="preserve"> </w:t>
      </w:r>
      <w:r>
        <w:rPr>
          <w:rFonts w:ascii="Arial" w:hAnsi="Arial" w:cs="Arial"/>
          <w:b/>
        </w:rPr>
        <w:t>Váchal.</w:t>
      </w:r>
    </w:p>
    <w:p w14:paraId="6F8E1989" w14:textId="77777777" w:rsidR="00AD2933" w:rsidRDefault="00AD2933" w:rsidP="006620C8">
      <w:pPr>
        <w:jc w:val="both"/>
        <w:rPr>
          <w:rFonts w:ascii="Arial" w:hAnsi="Arial" w:cs="Arial"/>
          <w:color w:val="000000" w:themeColor="text1"/>
          <w:sz w:val="20"/>
          <w:szCs w:val="20"/>
        </w:rPr>
      </w:pPr>
    </w:p>
    <w:p w14:paraId="3BDF8A87" w14:textId="5D2BACB9" w:rsidR="006620C8" w:rsidRPr="00AD2933" w:rsidRDefault="00C86EBC" w:rsidP="006620C8">
      <w:pPr>
        <w:jc w:val="both"/>
        <w:rPr>
          <w:rFonts w:ascii="Arial" w:hAnsi="Arial" w:cs="Arial"/>
          <w:color w:val="000000" w:themeColor="text1"/>
          <w:sz w:val="21"/>
          <w:szCs w:val="21"/>
        </w:rPr>
      </w:pPr>
      <w:proofErr w:type="spellStart"/>
      <w:r w:rsidRPr="00AD2933">
        <w:rPr>
          <w:rFonts w:ascii="Arial" w:hAnsi="Arial" w:cs="Arial"/>
          <w:color w:val="000000" w:themeColor="text1"/>
          <w:sz w:val="21"/>
          <w:szCs w:val="21"/>
        </w:rPr>
        <w:t>POVIndex</w:t>
      </w:r>
      <w:proofErr w:type="spellEnd"/>
      <w:r w:rsidRPr="00AD2933">
        <w:rPr>
          <w:rFonts w:ascii="Arial" w:hAnsi="Arial" w:cs="Arial"/>
          <w:color w:val="000000" w:themeColor="text1"/>
          <w:sz w:val="21"/>
          <w:szCs w:val="21"/>
        </w:rPr>
        <w:t xml:space="preserve"> byl poprvé spuštěn v srpnu roku 2019. Od svého počátku sleduje vývoj nákladů na povinné ručení pro řidiče bez historie, ať už se jedná o nového řidiče, nebo o řidiče, který donedávna užíval služební vozidlo. Broker </w:t>
      </w:r>
      <w:proofErr w:type="spellStart"/>
      <w:r w:rsidRPr="00AD2933">
        <w:rPr>
          <w:rFonts w:ascii="Arial" w:hAnsi="Arial" w:cs="Arial"/>
          <w:color w:val="000000" w:themeColor="text1"/>
          <w:sz w:val="21"/>
          <w:szCs w:val="21"/>
        </w:rPr>
        <w:t>Consulting</w:t>
      </w:r>
      <w:proofErr w:type="spellEnd"/>
      <w:r w:rsidRPr="00AD2933">
        <w:rPr>
          <w:rFonts w:ascii="Arial" w:hAnsi="Arial" w:cs="Arial"/>
          <w:color w:val="000000" w:themeColor="text1"/>
          <w:sz w:val="21"/>
          <w:szCs w:val="21"/>
        </w:rPr>
        <w:t xml:space="preserve"> </w:t>
      </w:r>
      <w:proofErr w:type="spellStart"/>
      <w:r w:rsidRPr="00AD2933">
        <w:rPr>
          <w:rFonts w:ascii="Arial" w:hAnsi="Arial" w:cs="Arial"/>
          <w:color w:val="000000" w:themeColor="text1"/>
          <w:sz w:val="21"/>
          <w:szCs w:val="21"/>
        </w:rPr>
        <w:t>POVIndex</w:t>
      </w:r>
      <w:proofErr w:type="spellEnd"/>
      <w:r w:rsidRPr="00AD2933">
        <w:rPr>
          <w:rFonts w:ascii="Arial" w:hAnsi="Arial" w:cs="Arial"/>
          <w:color w:val="000000" w:themeColor="text1"/>
          <w:sz w:val="21"/>
          <w:szCs w:val="21"/>
        </w:rPr>
        <w:t xml:space="preserve"> je počítán odlišnou metodikou, než jako používá ČKP. Pro vizualizaci je zvolena značka vozu Škoda Octavia 1,6 TDI, 85 kW. </w:t>
      </w:r>
      <w:proofErr w:type="spellStart"/>
      <w:r w:rsidRPr="00AD2933">
        <w:rPr>
          <w:rFonts w:ascii="Arial" w:hAnsi="Arial" w:cs="Arial"/>
          <w:color w:val="000000" w:themeColor="text1"/>
          <w:sz w:val="21"/>
          <w:szCs w:val="21"/>
        </w:rPr>
        <w:t>POVIndex</w:t>
      </w:r>
      <w:proofErr w:type="spellEnd"/>
      <w:r w:rsidRPr="00AD2933">
        <w:rPr>
          <w:rFonts w:ascii="Arial" w:hAnsi="Arial" w:cs="Arial"/>
          <w:color w:val="000000" w:themeColor="text1"/>
          <w:sz w:val="21"/>
          <w:szCs w:val="21"/>
        </w:rPr>
        <w:t xml:space="preserve">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w:t>
      </w:r>
      <w:proofErr w:type="spellStart"/>
      <w:r w:rsidRPr="00AD2933">
        <w:rPr>
          <w:rFonts w:ascii="Arial" w:hAnsi="Arial" w:cs="Arial"/>
          <w:color w:val="000000" w:themeColor="text1"/>
          <w:sz w:val="21"/>
          <w:szCs w:val="21"/>
        </w:rPr>
        <w:t>POVIndexu</w:t>
      </w:r>
      <w:proofErr w:type="spellEnd"/>
      <w:r w:rsidRPr="00AD2933">
        <w:rPr>
          <w:rFonts w:ascii="Arial" w:hAnsi="Arial" w:cs="Arial"/>
          <w:color w:val="000000" w:themeColor="text1"/>
          <w:sz w:val="21"/>
          <w:szCs w:val="21"/>
        </w:rPr>
        <w:t xml:space="preserve"> sledovat, zda pojišťovny základní sazby u typického vozu spíše zdražují, nebo zlevňují.</w:t>
      </w:r>
    </w:p>
    <w:p w14:paraId="481C9808" w14:textId="77777777" w:rsidR="005B3DDD" w:rsidRPr="00AD2933" w:rsidRDefault="005B3DDD" w:rsidP="006620C8">
      <w:pPr>
        <w:jc w:val="both"/>
        <w:rPr>
          <w:rFonts w:ascii="Arial" w:hAnsi="Arial" w:cs="Arial"/>
          <w:color w:val="000000" w:themeColor="text1"/>
          <w:sz w:val="21"/>
          <w:szCs w:val="21"/>
        </w:rPr>
      </w:pPr>
    </w:p>
    <w:p w14:paraId="7C73D192" w14:textId="0862A907" w:rsidR="005B3DDD" w:rsidRPr="00AD2933" w:rsidRDefault="005B3DDD" w:rsidP="005B3DDD">
      <w:pPr>
        <w:pStyle w:val="Zkladntext"/>
        <w:spacing w:before="33" w:line="237" w:lineRule="auto"/>
        <w:jc w:val="both"/>
        <w:rPr>
          <w:rFonts w:ascii="Arial" w:hAnsi="Arial" w:cs="Arial"/>
          <w:sz w:val="21"/>
          <w:szCs w:val="21"/>
        </w:rPr>
      </w:pPr>
      <w:r w:rsidRPr="00AD2933">
        <w:rPr>
          <w:rFonts w:ascii="Arial" w:hAnsi="Arial" w:cs="Arial"/>
          <w:b/>
          <w:sz w:val="21"/>
          <w:szCs w:val="21"/>
        </w:rPr>
        <w:t xml:space="preserve">Broker </w:t>
      </w:r>
      <w:proofErr w:type="spellStart"/>
      <w:r w:rsidRPr="00AD2933">
        <w:rPr>
          <w:rFonts w:ascii="Arial" w:hAnsi="Arial" w:cs="Arial"/>
          <w:b/>
          <w:sz w:val="21"/>
          <w:szCs w:val="21"/>
        </w:rPr>
        <w:t>Consulting</w:t>
      </w:r>
      <w:proofErr w:type="spellEnd"/>
      <w:r w:rsidRPr="00AD2933">
        <w:rPr>
          <w:rFonts w:ascii="Arial" w:hAnsi="Arial" w:cs="Arial"/>
          <w:b/>
          <w:sz w:val="21"/>
          <w:szCs w:val="21"/>
        </w:rPr>
        <w:t xml:space="preserve"> </w:t>
      </w:r>
      <w:proofErr w:type="spellStart"/>
      <w:r w:rsidRPr="00AD2933">
        <w:rPr>
          <w:rFonts w:ascii="Arial" w:hAnsi="Arial" w:cs="Arial"/>
          <w:b/>
          <w:sz w:val="21"/>
          <w:szCs w:val="21"/>
        </w:rPr>
        <w:t>POVIndex</w:t>
      </w:r>
      <w:proofErr w:type="spellEnd"/>
      <w:r w:rsidR="00C503A0" w:rsidRPr="00AD2933">
        <w:rPr>
          <w:rFonts w:ascii="Arial" w:hAnsi="Arial" w:cs="Arial"/>
          <w:sz w:val="21"/>
          <w:szCs w:val="21"/>
        </w:rPr>
        <w:t xml:space="preserve"> j</w:t>
      </w:r>
      <w:r w:rsidRPr="00AD2933">
        <w:rPr>
          <w:rFonts w:ascii="Arial" w:hAnsi="Arial" w:cs="Arial"/>
          <w:sz w:val="21"/>
          <w:szCs w:val="21"/>
        </w:rPr>
        <w:t xml:space="preserve">e založen na odlišné metodice výpočtu, než jakou používá ČKP. Jeho hodnota nevychází z průměru hodnot celé řady veličin, ale z menšího množství parametrů. </w:t>
      </w:r>
      <w:proofErr w:type="spellStart"/>
      <w:r w:rsidRPr="00AD2933">
        <w:rPr>
          <w:rFonts w:ascii="Arial" w:hAnsi="Arial" w:cs="Arial"/>
          <w:sz w:val="21"/>
          <w:szCs w:val="21"/>
        </w:rPr>
        <w:t>POVIndex</w:t>
      </w:r>
      <w:proofErr w:type="spellEnd"/>
      <w:r w:rsidRPr="00AD2933">
        <w:rPr>
          <w:rFonts w:ascii="Arial" w:hAnsi="Arial" w:cs="Arial"/>
          <w:sz w:val="21"/>
          <w:szCs w:val="21"/>
        </w:rPr>
        <w:t xml:space="preserve"> ukazuje průměrnou cenu za typické povinné ručení pro nový vůz Škoda Octavia 1,6 TDI, 85 kW. Typ vozu byl vybrán proto, že je typickým zástupcem vozů, které používají české domácnosti. Pojištění zahrnutá do </w:t>
      </w:r>
      <w:proofErr w:type="spellStart"/>
      <w:r w:rsidRPr="00AD2933">
        <w:rPr>
          <w:rFonts w:ascii="Arial" w:hAnsi="Arial" w:cs="Arial"/>
          <w:sz w:val="21"/>
          <w:szCs w:val="21"/>
        </w:rPr>
        <w:t>POVIndexu</w:t>
      </w:r>
      <w:proofErr w:type="spellEnd"/>
      <w:r w:rsidRPr="00AD2933">
        <w:rPr>
          <w:rFonts w:ascii="Arial" w:hAnsi="Arial" w:cs="Arial"/>
          <w:sz w:val="21"/>
          <w:szCs w:val="21"/>
        </w:rPr>
        <w:t xml:space="preserve">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28A92817" w14:textId="77777777" w:rsidR="005B3DDD" w:rsidRPr="00625503" w:rsidRDefault="005B3DDD" w:rsidP="006620C8">
      <w:pPr>
        <w:jc w:val="both"/>
        <w:rPr>
          <w:rFonts w:ascii="Arial" w:hAnsi="Arial" w:cs="Arial"/>
          <w:color w:val="000000" w:themeColor="text1"/>
          <w:sz w:val="20"/>
          <w:szCs w:val="20"/>
        </w:rPr>
      </w:pPr>
    </w:p>
    <w:p w14:paraId="5D07F572" w14:textId="5DE88EEE" w:rsidR="007E0AC1" w:rsidRPr="00625503" w:rsidRDefault="007E0AC1" w:rsidP="0042312B">
      <w:pPr>
        <w:pStyle w:val="Nadpis1"/>
        <w:shd w:val="clear" w:color="auto" w:fill="FFFFFF"/>
        <w:ind w:left="0"/>
        <w:jc w:val="both"/>
        <w:rPr>
          <w:rFonts w:ascii="Arial" w:hAnsi="Arial" w:cs="Arial"/>
          <w:color w:val="FF0000"/>
          <w:sz w:val="20"/>
          <w:szCs w:val="20"/>
        </w:rPr>
      </w:pPr>
    </w:p>
    <w:p w14:paraId="1312ED3D" w14:textId="77777777" w:rsidR="00DE7CE1" w:rsidRDefault="00DE7CE1" w:rsidP="00AD2933">
      <w:pPr>
        <w:pBdr>
          <w:bottom w:val="single" w:sz="4" w:space="0" w:color="auto"/>
        </w:pBdr>
        <w:rPr>
          <w:rFonts w:ascii="Arial" w:hAnsi="Arial" w:cs="Arial"/>
          <w:b/>
          <w:sz w:val="18"/>
          <w:szCs w:val="16"/>
        </w:rPr>
      </w:pPr>
    </w:p>
    <w:p w14:paraId="0572A7E3" w14:textId="6C510BF2" w:rsidR="00356FFC" w:rsidRDefault="00356FFC" w:rsidP="00AD2933">
      <w:pPr>
        <w:pStyle w:val="Zkladntext"/>
        <w:spacing w:before="33" w:line="237" w:lineRule="auto"/>
        <w:rPr>
          <w:rFonts w:ascii="Arial" w:hAnsi="Arial" w:cs="Arial"/>
          <w:b/>
          <w:sz w:val="18"/>
          <w:szCs w:val="18"/>
        </w:rPr>
      </w:pPr>
    </w:p>
    <w:p w14:paraId="549F0D26" w14:textId="72161D24" w:rsidR="000E21D2" w:rsidRPr="005B3DDD" w:rsidRDefault="00763554" w:rsidP="00AD2933">
      <w:pPr>
        <w:rPr>
          <w:rFonts w:ascii="Arial" w:hAnsi="Arial" w:cs="Arial"/>
          <w:sz w:val="20"/>
          <w:szCs w:val="20"/>
        </w:rPr>
      </w:pPr>
      <w:r w:rsidRPr="00F64A9E">
        <w:rPr>
          <w:rFonts w:ascii="Arial" w:hAnsi="Arial" w:cs="Arial"/>
          <w:b/>
          <w:sz w:val="20"/>
          <w:szCs w:val="20"/>
        </w:rPr>
        <w:t>Poznámka pro média:</w:t>
      </w:r>
      <w:r w:rsidRPr="00F64A9E">
        <w:rPr>
          <w:rFonts w:ascii="Arial" w:hAnsi="Arial" w:cs="Arial"/>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proofErr w:type="spellStart"/>
      <w:r w:rsidRPr="00F64A9E">
        <w:rPr>
          <w:rFonts w:ascii="Arial" w:hAnsi="Arial" w:cs="Arial"/>
          <w:color w:val="1D1D1B"/>
          <w:w w:val="105"/>
          <w:sz w:val="20"/>
          <w:szCs w:val="20"/>
        </w:rPr>
        <w:t>Consulting</w:t>
      </w:r>
      <w:proofErr w:type="spellEnd"/>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Indexy</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je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možné</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volně</w:t>
      </w:r>
      <w:r w:rsidRPr="00F64A9E">
        <w:rPr>
          <w:rFonts w:ascii="Arial" w:hAnsi="Arial" w:cs="Arial"/>
          <w:color w:val="1D1D1B"/>
          <w:spacing w:val="-8"/>
          <w:w w:val="105"/>
          <w:sz w:val="20"/>
          <w:szCs w:val="20"/>
        </w:rPr>
        <w:t xml:space="preserve"> </w:t>
      </w:r>
      <w:r w:rsidRPr="00F64A9E">
        <w:rPr>
          <w:rFonts w:ascii="Arial" w:hAnsi="Arial" w:cs="Arial"/>
          <w:color w:val="1D1D1B"/>
          <w:spacing w:val="2"/>
          <w:w w:val="105"/>
          <w:sz w:val="20"/>
          <w:szCs w:val="20"/>
        </w:rPr>
        <w:t>publikovat</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pouze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s</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označením</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proofErr w:type="spellStart"/>
      <w:r w:rsidRPr="00F64A9E">
        <w:rPr>
          <w:rFonts w:ascii="Arial" w:hAnsi="Arial" w:cs="Arial"/>
          <w:color w:val="1D1D1B"/>
          <w:w w:val="105"/>
          <w:sz w:val="20"/>
          <w:szCs w:val="20"/>
        </w:rPr>
        <w:t>Consulting</w:t>
      </w:r>
      <w:proofErr w:type="spellEnd"/>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w:t>
      </w:r>
      <w:r w:rsidRPr="00F64A9E">
        <w:rPr>
          <w:rFonts w:ascii="Arial" w:hAnsi="Arial" w:cs="Arial"/>
          <w:color w:val="1D1D1B"/>
          <w:spacing w:val="-9"/>
          <w:w w:val="105"/>
          <w:sz w:val="20"/>
          <w:szCs w:val="20"/>
        </w:rPr>
        <w:t xml:space="preserve"> </w:t>
      </w:r>
      <w:r w:rsidRPr="00F64A9E">
        <w:rPr>
          <w:rFonts w:ascii="Arial" w:hAnsi="Arial" w:cs="Arial"/>
          <w:color w:val="1D1D1B"/>
          <w:spacing w:val="-3"/>
          <w:w w:val="105"/>
          <w:sz w:val="20"/>
          <w:szCs w:val="20"/>
        </w:rPr>
        <w:t>(</w:t>
      </w:r>
      <w:r w:rsidRPr="00F64A9E">
        <w:rPr>
          <w:rFonts w:ascii="Arial" w:hAnsi="Arial" w:cs="Arial"/>
          <w:i/>
          <w:color w:val="1D1D1B"/>
          <w:spacing w:val="-3"/>
          <w:w w:val="105"/>
          <w:sz w:val="20"/>
          <w:szCs w:val="20"/>
        </w:rPr>
        <w:t>např.</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Broker</w:t>
      </w:r>
      <w:r w:rsidRPr="00F64A9E">
        <w:rPr>
          <w:rFonts w:ascii="Arial" w:hAnsi="Arial" w:cs="Arial"/>
          <w:i/>
          <w:color w:val="1D1D1B"/>
          <w:spacing w:val="-9"/>
          <w:w w:val="105"/>
          <w:sz w:val="20"/>
          <w:szCs w:val="20"/>
        </w:rPr>
        <w:t xml:space="preserve"> </w:t>
      </w:r>
      <w:proofErr w:type="spellStart"/>
      <w:r w:rsidRPr="00F64A9E">
        <w:rPr>
          <w:rFonts w:ascii="Arial" w:hAnsi="Arial" w:cs="Arial"/>
          <w:i/>
          <w:color w:val="1D1D1B"/>
          <w:w w:val="105"/>
          <w:sz w:val="20"/>
          <w:szCs w:val="20"/>
        </w:rPr>
        <w:t>Consulting</w:t>
      </w:r>
      <w:proofErr w:type="spellEnd"/>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 xml:space="preserve">Index hypotečních úvěrů). Více informací najdete též na webu </w:t>
      </w:r>
      <w:r w:rsidRPr="00F64A9E">
        <w:rPr>
          <w:rStyle w:val="Hypertextovodkaz"/>
          <w:rFonts w:ascii="Arial" w:hAnsi="Arial" w:cs="Arial"/>
          <w:i/>
          <w:w w:val="105"/>
          <w:sz w:val="20"/>
          <w:szCs w:val="20"/>
        </w:rPr>
        <w:t>https://www.bcas.cz/onas/pro-media/</w:t>
      </w:r>
      <w:r w:rsidRPr="00F64A9E">
        <w:rPr>
          <w:rFonts w:ascii="Arial" w:hAnsi="Arial" w:cs="Arial"/>
          <w:i/>
          <w:color w:val="1D1D1B"/>
          <w:w w:val="105"/>
          <w:sz w:val="20"/>
          <w:szCs w:val="20"/>
        </w:rPr>
        <w:t xml:space="preserve">. </w:t>
      </w:r>
    </w:p>
    <w:p w14:paraId="43CFEAAA" w14:textId="77777777" w:rsidR="000E21D2" w:rsidRDefault="000E21D2" w:rsidP="00DE7CE1">
      <w:pPr>
        <w:pStyle w:val="Bezmezer"/>
        <w:rPr>
          <w:rFonts w:ascii="Arial" w:eastAsia="F015TEELig" w:hAnsi="Arial" w:cs="Arial"/>
          <w:b/>
          <w:sz w:val="20"/>
          <w:szCs w:val="20"/>
        </w:rPr>
      </w:pPr>
    </w:p>
    <w:p w14:paraId="7966D3DF" w14:textId="74C850C7" w:rsidR="00DE7CE1" w:rsidRPr="00DE7CE1" w:rsidRDefault="00866220" w:rsidP="00DE7CE1">
      <w:pPr>
        <w:pStyle w:val="Bezmezer"/>
        <w:rPr>
          <w:rFonts w:ascii="Arial" w:eastAsia="F015TEELig" w:hAnsi="Arial" w:cs="Arial"/>
          <w:b/>
          <w:sz w:val="20"/>
          <w:szCs w:val="20"/>
        </w:rPr>
      </w:pPr>
      <w:r w:rsidRPr="00DE7CE1">
        <w:rPr>
          <w:rFonts w:ascii="Arial" w:eastAsia="F015TEELig" w:hAnsi="Arial" w:cs="Arial"/>
          <w:b/>
          <w:sz w:val="20"/>
          <w:szCs w:val="20"/>
        </w:rPr>
        <w:t>Kontakt pro média:</w:t>
      </w:r>
    </w:p>
    <w:p w14:paraId="2ACFC1DB" w14:textId="7D8BE6BA" w:rsidR="00DE7CE1" w:rsidRPr="00DE7CE1" w:rsidRDefault="00236B96" w:rsidP="00DE7CE1">
      <w:pPr>
        <w:pStyle w:val="Bezmezer"/>
        <w:rPr>
          <w:rFonts w:ascii="Arial" w:eastAsia="F015TEELig" w:hAnsi="Arial" w:cs="Arial"/>
          <w:sz w:val="20"/>
          <w:szCs w:val="20"/>
        </w:rPr>
      </w:pPr>
      <w:r>
        <w:rPr>
          <w:rFonts w:ascii="Arial" w:eastAsia="F015TEELig" w:hAnsi="Arial" w:cs="Arial"/>
          <w:sz w:val="20"/>
          <w:szCs w:val="20"/>
        </w:rPr>
        <w:t>Michaela Sahulová</w:t>
      </w:r>
    </w:p>
    <w:p w14:paraId="3373094C" w14:textId="6E64C468"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Specialistka PR a externí komunikace</w:t>
      </w:r>
    </w:p>
    <w:p w14:paraId="5F3875B6" w14:textId="7AC6E3E7" w:rsidR="00866220" w:rsidRPr="00DE7CE1" w:rsidRDefault="00236B96" w:rsidP="00DE7CE1">
      <w:pPr>
        <w:pStyle w:val="Bezmezer"/>
        <w:rPr>
          <w:rFonts w:ascii="Arial" w:eastAsia="F015TEELig" w:hAnsi="Arial" w:cs="Arial"/>
          <w:sz w:val="20"/>
          <w:szCs w:val="20"/>
        </w:rPr>
      </w:pPr>
      <w:r>
        <w:rPr>
          <w:rFonts w:ascii="Arial" w:eastAsia="F015TEELig" w:hAnsi="Arial" w:cs="Arial"/>
          <w:sz w:val="20"/>
          <w:szCs w:val="20"/>
        </w:rPr>
        <w:t>Mobil: +420 731 538 373</w:t>
      </w:r>
    </w:p>
    <w:p w14:paraId="6FC0F9F5" w14:textId="3263C638" w:rsidR="004C7BB5" w:rsidRPr="00A1017F" w:rsidRDefault="00866220" w:rsidP="00A1017F">
      <w:pPr>
        <w:pStyle w:val="Bezmezer"/>
        <w:rPr>
          <w:rFonts w:ascii="Arial" w:eastAsia="Calibri" w:hAnsi="Arial" w:cs="Arial"/>
          <w:noProof/>
          <w:sz w:val="20"/>
          <w:szCs w:val="20"/>
        </w:rPr>
      </w:pPr>
      <w:r w:rsidRPr="00DE7CE1">
        <w:rPr>
          <w:rFonts w:ascii="Arial" w:eastAsia="F015TEELig" w:hAnsi="Arial" w:cs="Arial"/>
          <w:sz w:val="20"/>
          <w:szCs w:val="20"/>
        </w:rPr>
        <w:t>E-mail:</w:t>
      </w:r>
      <w:r w:rsidRPr="00DE7CE1">
        <w:rPr>
          <w:rFonts w:ascii="Arial" w:eastAsia="Calibri" w:hAnsi="Arial" w:cs="Arial"/>
          <w:noProof/>
          <w:sz w:val="20"/>
          <w:szCs w:val="20"/>
        </w:rPr>
        <w:t xml:space="preserve"> </w:t>
      </w:r>
      <w:hyperlink r:id="rId25" w:history="1">
        <w:r w:rsidR="005B3DDD" w:rsidRPr="0039442A">
          <w:rPr>
            <w:rStyle w:val="Hypertextovodkaz"/>
            <w:rFonts w:ascii="Arial" w:eastAsia="Calibri" w:hAnsi="Arial" w:cs="Arial"/>
            <w:noProof/>
            <w:sz w:val="20"/>
            <w:szCs w:val="20"/>
          </w:rPr>
          <w:t>michaela.sahulova@bcas.cz</w:t>
        </w:r>
      </w:hyperlink>
      <w:r w:rsidRPr="00DE7CE1">
        <w:rPr>
          <w:rFonts w:ascii="Arial" w:eastAsia="Calibri" w:hAnsi="Arial" w:cs="Arial"/>
          <w:noProof/>
          <w:sz w:val="20"/>
          <w:szCs w:val="20"/>
        </w:rPr>
        <w:t xml:space="preserve"> </w:t>
      </w:r>
    </w:p>
    <w:sectPr w:rsidR="004C7BB5" w:rsidRPr="00A1017F" w:rsidSect="009E6ADA">
      <w:type w:val="continuous"/>
      <w:pgSz w:w="11910" w:h="16840"/>
      <w:pgMar w:top="1985" w:right="711" w:bottom="2410" w:left="72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FC80D" w14:textId="77777777" w:rsidR="00605FAF" w:rsidRDefault="00605FAF">
      <w:r>
        <w:separator/>
      </w:r>
    </w:p>
  </w:endnote>
  <w:endnote w:type="continuationSeparator" w:id="0">
    <w:p w14:paraId="22085465" w14:textId="77777777" w:rsidR="00605FAF" w:rsidRDefault="00605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00"/>
    <w:family w:val="swiss"/>
    <w:pitch w:val="variable"/>
    <w:sig w:usb0="E0002AFF" w:usb1="C0007843"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605FAF" w:rsidP="00E9569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D57146" w:rsidP="00E9569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605FAF"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D57146"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605FAF"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D57146"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766D34"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332B4" w14:textId="77777777" w:rsidR="00605FAF" w:rsidRDefault="00605FAF">
      <w:r>
        <w:separator/>
      </w:r>
    </w:p>
  </w:footnote>
  <w:footnote w:type="continuationSeparator" w:id="0">
    <w:p w14:paraId="5DF87812" w14:textId="77777777" w:rsidR="00605FAF" w:rsidRDefault="00605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D1B546"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3"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4"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
  </w:num>
  <w:num w:numId="3">
    <w:abstractNumId w:val="16"/>
  </w:num>
  <w:num w:numId="4">
    <w:abstractNumId w:val="5"/>
  </w:num>
  <w:num w:numId="5">
    <w:abstractNumId w:val="0"/>
  </w:num>
  <w:num w:numId="6">
    <w:abstractNumId w:val="17"/>
  </w:num>
  <w:num w:numId="7">
    <w:abstractNumId w:val="11"/>
  </w:num>
  <w:num w:numId="8">
    <w:abstractNumId w:val="10"/>
  </w:num>
  <w:num w:numId="9">
    <w:abstractNumId w:val="7"/>
  </w:num>
  <w:num w:numId="10">
    <w:abstractNumId w:val="9"/>
  </w:num>
  <w:num w:numId="11">
    <w:abstractNumId w:val="6"/>
  </w:num>
  <w:num w:numId="12">
    <w:abstractNumId w:val="3"/>
  </w:num>
  <w:num w:numId="13">
    <w:abstractNumId w:val="14"/>
  </w:num>
  <w:num w:numId="14">
    <w:abstractNumId w:val="19"/>
  </w:num>
  <w:num w:numId="15">
    <w:abstractNumId w:val="1"/>
  </w:num>
  <w:num w:numId="16">
    <w:abstractNumId w:val="13"/>
  </w:num>
  <w:num w:numId="17">
    <w:abstractNumId w:val="4"/>
  </w:num>
  <w:num w:numId="18">
    <w:abstractNumId w:val="8"/>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0D4"/>
    <w:rsid w:val="000052D9"/>
    <w:rsid w:val="00005EF0"/>
    <w:rsid w:val="00010812"/>
    <w:rsid w:val="00014A3B"/>
    <w:rsid w:val="000153FB"/>
    <w:rsid w:val="00015694"/>
    <w:rsid w:val="0002531C"/>
    <w:rsid w:val="000262FD"/>
    <w:rsid w:val="00026F23"/>
    <w:rsid w:val="00031C6E"/>
    <w:rsid w:val="00032AD6"/>
    <w:rsid w:val="00032D94"/>
    <w:rsid w:val="000374D7"/>
    <w:rsid w:val="0004010D"/>
    <w:rsid w:val="0004360D"/>
    <w:rsid w:val="000504BA"/>
    <w:rsid w:val="0005423A"/>
    <w:rsid w:val="00055470"/>
    <w:rsid w:val="00056BB7"/>
    <w:rsid w:val="00062E18"/>
    <w:rsid w:val="00066A72"/>
    <w:rsid w:val="00067BA6"/>
    <w:rsid w:val="000705A5"/>
    <w:rsid w:val="00070D3C"/>
    <w:rsid w:val="0007198D"/>
    <w:rsid w:val="0007340D"/>
    <w:rsid w:val="00073462"/>
    <w:rsid w:val="00076845"/>
    <w:rsid w:val="00076C44"/>
    <w:rsid w:val="00077CC7"/>
    <w:rsid w:val="000866C0"/>
    <w:rsid w:val="00087D87"/>
    <w:rsid w:val="00091509"/>
    <w:rsid w:val="00094F77"/>
    <w:rsid w:val="000A06EA"/>
    <w:rsid w:val="000A170E"/>
    <w:rsid w:val="000A6FB0"/>
    <w:rsid w:val="000C1AB4"/>
    <w:rsid w:val="000C32B0"/>
    <w:rsid w:val="000C351D"/>
    <w:rsid w:val="000C38CB"/>
    <w:rsid w:val="000C53D6"/>
    <w:rsid w:val="000C7119"/>
    <w:rsid w:val="000C74BD"/>
    <w:rsid w:val="000D11FB"/>
    <w:rsid w:val="000D133F"/>
    <w:rsid w:val="000D2DDE"/>
    <w:rsid w:val="000D333C"/>
    <w:rsid w:val="000D6870"/>
    <w:rsid w:val="000E21D2"/>
    <w:rsid w:val="000E286C"/>
    <w:rsid w:val="000F1935"/>
    <w:rsid w:val="000F47AE"/>
    <w:rsid w:val="000F56EF"/>
    <w:rsid w:val="000F6249"/>
    <w:rsid w:val="00100869"/>
    <w:rsid w:val="00104FCB"/>
    <w:rsid w:val="00106651"/>
    <w:rsid w:val="00107E00"/>
    <w:rsid w:val="00112F65"/>
    <w:rsid w:val="00114D66"/>
    <w:rsid w:val="00114E09"/>
    <w:rsid w:val="00115CF8"/>
    <w:rsid w:val="00116173"/>
    <w:rsid w:val="00116A29"/>
    <w:rsid w:val="00117988"/>
    <w:rsid w:val="0012132F"/>
    <w:rsid w:val="0012713E"/>
    <w:rsid w:val="0013044E"/>
    <w:rsid w:val="00131F7B"/>
    <w:rsid w:val="0013512D"/>
    <w:rsid w:val="00136D21"/>
    <w:rsid w:val="00137003"/>
    <w:rsid w:val="00141303"/>
    <w:rsid w:val="001434CE"/>
    <w:rsid w:val="0014388A"/>
    <w:rsid w:val="001449CB"/>
    <w:rsid w:val="00146956"/>
    <w:rsid w:val="00152185"/>
    <w:rsid w:val="00152EDC"/>
    <w:rsid w:val="00153161"/>
    <w:rsid w:val="00155667"/>
    <w:rsid w:val="00160060"/>
    <w:rsid w:val="001603AF"/>
    <w:rsid w:val="001722EA"/>
    <w:rsid w:val="00173C9F"/>
    <w:rsid w:val="00174394"/>
    <w:rsid w:val="00177E6B"/>
    <w:rsid w:val="0018139F"/>
    <w:rsid w:val="00181E9B"/>
    <w:rsid w:val="001844F8"/>
    <w:rsid w:val="00186E95"/>
    <w:rsid w:val="00190C04"/>
    <w:rsid w:val="00194628"/>
    <w:rsid w:val="00194A47"/>
    <w:rsid w:val="00197408"/>
    <w:rsid w:val="00197DE5"/>
    <w:rsid w:val="001A210B"/>
    <w:rsid w:val="001A4DDB"/>
    <w:rsid w:val="001A54DD"/>
    <w:rsid w:val="001B195D"/>
    <w:rsid w:val="001B1C05"/>
    <w:rsid w:val="001B5A35"/>
    <w:rsid w:val="001B5D34"/>
    <w:rsid w:val="001B79AC"/>
    <w:rsid w:val="001C4A67"/>
    <w:rsid w:val="001D3C90"/>
    <w:rsid w:val="001E2B55"/>
    <w:rsid w:val="001E68DE"/>
    <w:rsid w:val="002108A4"/>
    <w:rsid w:val="00214949"/>
    <w:rsid w:val="00214E98"/>
    <w:rsid w:val="00215EF1"/>
    <w:rsid w:val="002174D5"/>
    <w:rsid w:val="0022642E"/>
    <w:rsid w:val="002333DA"/>
    <w:rsid w:val="0023472C"/>
    <w:rsid w:val="00236B96"/>
    <w:rsid w:val="00237068"/>
    <w:rsid w:val="00237D4E"/>
    <w:rsid w:val="00241313"/>
    <w:rsid w:val="00242251"/>
    <w:rsid w:val="002506AD"/>
    <w:rsid w:val="0025264B"/>
    <w:rsid w:val="002555B1"/>
    <w:rsid w:val="00255E96"/>
    <w:rsid w:val="00255FAB"/>
    <w:rsid w:val="002609B2"/>
    <w:rsid w:val="00261C33"/>
    <w:rsid w:val="002636B1"/>
    <w:rsid w:val="002665EC"/>
    <w:rsid w:val="00267A14"/>
    <w:rsid w:val="00267AB1"/>
    <w:rsid w:val="00267F28"/>
    <w:rsid w:val="00270DB3"/>
    <w:rsid w:val="0028080D"/>
    <w:rsid w:val="0028211A"/>
    <w:rsid w:val="002912BF"/>
    <w:rsid w:val="0029552F"/>
    <w:rsid w:val="00295CB7"/>
    <w:rsid w:val="00295DB6"/>
    <w:rsid w:val="002A2FB9"/>
    <w:rsid w:val="002A7AE9"/>
    <w:rsid w:val="002B053B"/>
    <w:rsid w:val="002B3EE0"/>
    <w:rsid w:val="002B5B4B"/>
    <w:rsid w:val="002B6A48"/>
    <w:rsid w:val="002C635D"/>
    <w:rsid w:val="002E2785"/>
    <w:rsid w:val="002E27C5"/>
    <w:rsid w:val="002E2F8E"/>
    <w:rsid w:val="002F0335"/>
    <w:rsid w:val="002F0C79"/>
    <w:rsid w:val="002F5A42"/>
    <w:rsid w:val="002F6814"/>
    <w:rsid w:val="002F68D1"/>
    <w:rsid w:val="00302AE6"/>
    <w:rsid w:val="00303C85"/>
    <w:rsid w:val="0030477F"/>
    <w:rsid w:val="00305EA9"/>
    <w:rsid w:val="00307D0F"/>
    <w:rsid w:val="00312311"/>
    <w:rsid w:val="003128F8"/>
    <w:rsid w:val="003203FF"/>
    <w:rsid w:val="0032274C"/>
    <w:rsid w:val="00325CD8"/>
    <w:rsid w:val="00326268"/>
    <w:rsid w:val="00330918"/>
    <w:rsid w:val="00341A59"/>
    <w:rsid w:val="003473B3"/>
    <w:rsid w:val="00347557"/>
    <w:rsid w:val="003504FD"/>
    <w:rsid w:val="00352433"/>
    <w:rsid w:val="0035286E"/>
    <w:rsid w:val="00352D61"/>
    <w:rsid w:val="00356FFC"/>
    <w:rsid w:val="00363124"/>
    <w:rsid w:val="00375451"/>
    <w:rsid w:val="00375CF7"/>
    <w:rsid w:val="003830B5"/>
    <w:rsid w:val="00390304"/>
    <w:rsid w:val="0039102F"/>
    <w:rsid w:val="0039395A"/>
    <w:rsid w:val="003A7C59"/>
    <w:rsid w:val="003A7C9A"/>
    <w:rsid w:val="003B4B9E"/>
    <w:rsid w:val="003B54D9"/>
    <w:rsid w:val="003B7BFE"/>
    <w:rsid w:val="003C4D4B"/>
    <w:rsid w:val="003D03A6"/>
    <w:rsid w:val="003D07A2"/>
    <w:rsid w:val="003D2590"/>
    <w:rsid w:val="003D2CAC"/>
    <w:rsid w:val="003D386F"/>
    <w:rsid w:val="003D43DB"/>
    <w:rsid w:val="003D4C73"/>
    <w:rsid w:val="003D556B"/>
    <w:rsid w:val="003D653E"/>
    <w:rsid w:val="003E2ADC"/>
    <w:rsid w:val="003F38E5"/>
    <w:rsid w:val="003F73C3"/>
    <w:rsid w:val="00404CDA"/>
    <w:rsid w:val="0041224F"/>
    <w:rsid w:val="0041452A"/>
    <w:rsid w:val="00415BA7"/>
    <w:rsid w:val="00416F40"/>
    <w:rsid w:val="00417E36"/>
    <w:rsid w:val="00422B4E"/>
    <w:rsid w:val="0042312B"/>
    <w:rsid w:val="0042625B"/>
    <w:rsid w:val="0043207C"/>
    <w:rsid w:val="0043263D"/>
    <w:rsid w:val="004336FA"/>
    <w:rsid w:val="004349B6"/>
    <w:rsid w:val="00436FD5"/>
    <w:rsid w:val="00437639"/>
    <w:rsid w:val="004413A6"/>
    <w:rsid w:val="00445D0A"/>
    <w:rsid w:val="00453482"/>
    <w:rsid w:val="00453CFE"/>
    <w:rsid w:val="00457E45"/>
    <w:rsid w:val="00463570"/>
    <w:rsid w:val="00467207"/>
    <w:rsid w:val="0047109D"/>
    <w:rsid w:val="00476C23"/>
    <w:rsid w:val="004809C7"/>
    <w:rsid w:val="00483A48"/>
    <w:rsid w:val="0048779A"/>
    <w:rsid w:val="00493430"/>
    <w:rsid w:val="00495519"/>
    <w:rsid w:val="00496EFA"/>
    <w:rsid w:val="004A245D"/>
    <w:rsid w:val="004A2E7A"/>
    <w:rsid w:val="004A3A91"/>
    <w:rsid w:val="004B4992"/>
    <w:rsid w:val="004B6687"/>
    <w:rsid w:val="004B73DC"/>
    <w:rsid w:val="004C3C0D"/>
    <w:rsid w:val="004C4033"/>
    <w:rsid w:val="004C5C61"/>
    <w:rsid w:val="004C7507"/>
    <w:rsid w:val="004C798D"/>
    <w:rsid w:val="004C7BB5"/>
    <w:rsid w:val="004D4111"/>
    <w:rsid w:val="004D52BD"/>
    <w:rsid w:val="004E1108"/>
    <w:rsid w:val="004E207F"/>
    <w:rsid w:val="004E3877"/>
    <w:rsid w:val="004E4203"/>
    <w:rsid w:val="004E42A8"/>
    <w:rsid w:val="004F0D7B"/>
    <w:rsid w:val="004F0DC0"/>
    <w:rsid w:val="004F2548"/>
    <w:rsid w:val="004F43C7"/>
    <w:rsid w:val="004F5CC5"/>
    <w:rsid w:val="004F63FD"/>
    <w:rsid w:val="0050130C"/>
    <w:rsid w:val="005039B0"/>
    <w:rsid w:val="005058FE"/>
    <w:rsid w:val="00507696"/>
    <w:rsid w:val="005154F9"/>
    <w:rsid w:val="00520EA0"/>
    <w:rsid w:val="0052748B"/>
    <w:rsid w:val="005336E7"/>
    <w:rsid w:val="00543BFB"/>
    <w:rsid w:val="00543F98"/>
    <w:rsid w:val="00544F68"/>
    <w:rsid w:val="00547816"/>
    <w:rsid w:val="00552CC5"/>
    <w:rsid w:val="005546DD"/>
    <w:rsid w:val="005613E9"/>
    <w:rsid w:val="00561757"/>
    <w:rsid w:val="00562CA8"/>
    <w:rsid w:val="00562DBA"/>
    <w:rsid w:val="00567402"/>
    <w:rsid w:val="005733BD"/>
    <w:rsid w:val="0057359A"/>
    <w:rsid w:val="00576552"/>
    <w:rsid w:val="005773EE"/>
    <w:rsid w:val="00580B4C"/>
    <w:rsid w:val="00580D50"/>
    <w:rsid w:val="005837F8"/>
    <w:rsid w:val="005853C3"/>
    <w:rsid w:val="00587B4C"/>
    <w:rsid w:val="0059081F"/>
    <w:rsid w:val="00592071"/>
    <w:rsid w:val="00595E44"/>
    <w:rsid w:val="00596E22"/>
    <w:rsid w:val="005973B7"/>
    <w:rsid w:val="005A61D5"/>
    <w:rsid w:val="005A6E1C"/>
    <w:rsid w:val="005A75AE"/>
    <w:rsid w:val="005B13F7"/>
    <w:rsid w:val="005B32C5"/>
    <w:rsid w:val="005B35D6"/>
    <w:rsid w:val="005B360B"/>
    <w:rsid w:val="005B3DDD"/>
    <w:rsid w:val="005C3043"/>
    <w:rsid w:val="005D11F0"/>
    <w:rsid w:val="005D3281"/>
    <w:rsid w:val="005D4C94"/>
    <w:rsid w:val="005D5B42"/>
    <w:rsid w:val="005D74FB"/>
    <w:rsid w:val="005D7DFF"/>
    <w:rsid w:val="005E1F28"/>
    <w:rsid w:val="005E443E"/>
    <w:rsid w:val="005E4C96"/>
    <w:rsid w:val="005E60F6"/>
    <w:rsid w:val="005F31C1"/>
    <w:rsid w:val="006033BD"/>
    <w:rsid w:val="00605FAF"/>
    <w:rsid w:val="00606FBC"/>
    <w:rsid w:val="00623B26"/>
    <w:rsid w:val="00624C21"/>
    <w:rsid w:val="00625503"/>
    <w:rsid w:val="00630C55"/>
    <w:rsid w:val="00640494"/>
    <w:rsid w:val="00646D74"/>
    <w:rsid w:val="00650902"/>
    <w:rsid w:val="0065153C"/>
    <w:rsid w:val="00651D03"/>
    <w:rsid w:val="0065506F"/>
    <w:rsid w:val="006618CF"/>
    <w:rsid w:val="006620C8"/>
    <w:rsid w:val="006652BA"/>
    <w:rsid w:val="00667000"/>
    <w:rsid w:val="006676D9"/>
    <w:rsid w:val="00673898"/>
    <w:rsid w:val="00674094"/>
    <w:rsid w:val="0067482F"/>
    <w:rsid w:val="00675503"/>
    <w:rsid w:val="00682B2C"/>
    <w:rsid w:val="006849F6"/>
    <w:rsid w:val="00684B75"/>
    <w:rsid w:val="00684BC2"/>
    <w:rsid w:val="00684D30"/>
    <w:rsid w:val="006856FF"/>
    <w:rsid w:val="006863D8"/>
    <w:rsid w:val="00690AD8"/>
    <w:rsid w:val="00695734"/>
    <w:rsid w:val="00695EEC"/>
    <w:rsid w:val="006A20B3"/>
    <w:rsid w:val="006B0FE8"/>
    <w:rsid w:val="006B1609"/>
    <w:rsid w:val="006B3946"/>
    <w:rsid w:val="006B7FBE"/>
    <w:rsid w:val="006C2E50"/>
    <w:rsid w:val="006C53A7"/>
    <w:rsid w:val="006C6246"/>
    <w:rsid w:val="006C7AE7"/>
    <w:rsid w:val="006D5A9A"/>
    <w:rsid w:val="006E1F02"/>
    <w:rsid w:val="006E3397"/>
    <w:rsid w:val="006F11BD"/>
    <w:rsid w:val="006F3882"/>
    <w:rsid w:val="006F4BEB"/>
    <w:rsid w:val="006F6676"/>
    <w:rsid w:val="007123C2"/>
    <w:rsid w:val="007136E6"/>
    <w:rsid w:val="0072349E"/>
    <w:rsid w:val="00724536"/>
    <w:rsid w:val="007253E3"/>
    <w:rsid w:val="007255CD"/>
    <w:rsid w:val="007318BA"/>
    <w:rsid w:val="007334EA"/>
    <w:rsid w:val="00735F36"/>
    <w:rsid w:val="00737025"/>
    <w:rsid w:val="00737A54"/>
    <w:rsid w:val="00737FB2"/>
    <w:rsid w:val="007437EE"/>
    <w:rsid w:val="00746E66"/>
    <w:rsid w:val="0075063F"/>
    <w:rsid w:val="007605C8"/>
    <w:rsid w:val="00763554"/>
    <w:rsid w:val="00764614"/>
    <w:rsid w:val="0076526B"/>
    <w:rsid w:val="007652AE"/>
    <w:rsid w:val="007677BE"/>
    <w:rsid w:val="0077224E"/>
    <w:rsid w:val="00781039"/>
    <w:rsid w:val="007A1136"/>
    <w:rsid w:val="007A5C4C"/>
    <w:rsid w:val="007B0579"/>
    <w:rsid w:val="007B6D97"/>
    <w:rsid w:val="007B7906"/>
    <w:rsid w:val="007D14DF"/>
    <w:rsid w:val="007D22BA"/>
    <w:rsid w:val="007D3AB9"/>
    <w:rsid w:val="007D3C35"/>
    <w:rsid w:val="007D4A60"/>
    <w:rsid w:val="007D7BA6"/>
    <w:rsid w:val="007E0AC1"/>
    <w:rsid w:val="007E30B0"/>
    <w:rsid w:val="007E37C0"/>
    <w:rsid w:val="007E5598"/>
    <w:rsid w:val="007E6279"/>
    <w:rsid w:val="007F2249"/>
    <w:rsid w:val="007F28B9"/>
    <w:rsid w:val="007F6C2A"/>
    <w:rsid w:val="008020D3"/>
    <w:rsid w:val="00804869"/>
    <w:rsid w:val="00804908"/>
    <w:rsid w:val="0080704C"/>
    <w:rsid w:val="00807BBD"/>
    <w:rsid w:val="008120DB"/>
    <w:rsid w:val="00813665"/>
    <w:rsid w:val="00814698"/>
    <w:rsid w:val="0081479B"/>
    <w:rsid w:val="00815ECC"/>
    <w:rsid w:val="00823D56"/>
    <w:rsid w:val="0083062A"/>
    <w:rsid w:val="00831D49"/>
    <w:rsid w:val="0083210B"/>
    <w:rsid w:val="008355CE"/>
    <w:rsid w:val="00835736"/>
    <w:rsid w:val="00836DF0"/>
    <w:rsid w:val="00837AF9"/>
    <w:rsid w:val="00850F9B"/>
    <w:rsid w:val="00854470"/>
    <w:rsid w:val="00861B39"/>
    <w:rsid w:val="00864D3B"/>
    <w:rsid w:val="00866220"/>
    <w:rsid w:val="008672D5"/>
    <w:rsid w:val="00870A8D"/>
    <w:rsid w:val="00871D8A"/>
    <w:rsid w:val="0087448C"/>
    <w:rsid w:val="00874C32"/>
    <w:rsid w:val="00876E01"/>
    <w:rsid w:val="00881B29"/>
    <w:rsid w:val="00882EAC"/>
    <w:rsid w:val="0088428C"/>
    <w:rsid w:val="00884340"/>
    <w:rsid w:val="00887004"/>
    <w:rsid w:val="00892BA9"/>
    <w:rsid w:val="008A04D3"/>
    <w:rsid w:val="008A3D7F"/>
    <w:rsid w:val="008A4334"/>
    <w:rsid w:val="008B3C30"/>
    <w:rsid w:val="008C2161"/>
    <w:rsid w:val="008C3AC7"/>
    <w:rsid w:val="008C5342"/>
    <w:rsid w:val="008C692E"/>
    <w:rsid w:val="008C7A52"/>
    <w:rsid w:val="008D26CF"/>
    <w:rsid w:val="008D4344"/>
    <w:rsid w:val="008E0C1C"/>
    <w:rsid w:val="008E45B5"/>
    <w:rsid w:val="008E4A71"/>
    <w:rsid w:val="008E5FF5"/>
    <w:rsid w:val="008F30F4"/>
    <w:rsid w:val="008F7F4E"/>
    <w:rsid w:val="00906147"/>
    <w:rsid w:val="009111C1"/>
    <w:rsid w:val="0091561E"/>
    <w:rsid w:val="00915ADA"/>
    <w:rsid w:val="00917467"/>
    <w:rsid w:val="00922831"/>
    <w:rsid w:val="00922872"/>
    <w:rsid w:val="00924030"/>
    <w:rsid w:val="0093538A"/>
    <w:rsid w:val="009362DC"/>
    <w:rsid w:val="00937D6D"/>
    <w:rsid w:val="00937EF5"/>
    <w:rsid w:val="00940EA3"/>
    <w:rsid w:val="00950337"/>
    <w:rsid w:val="009509CC"/>
    <w:rsid w:val="0095216F"/>
    <w:rsid w:val="0095680F"/>
    <w:rsid w:val="00960235"/>
    <w:rsid w:val="009612EF"/>
    <w:rsid w:val="00962D05"/>
    <w:rsid w:val="00963043"/>
    <w:rsid w:val="0096488C"/>
    <w:rsid w:val="00965007"/>
    <w:rsid w:val="00967EDE"/>
    <w:rsid w:val="009706CE"/>
    <w:rsid w:val="0097633B"/>
    <w:rsid w:val="00976A70"/>
    <w:rsid w:val="00982774"/>
    <w:rsid w:val="00983C40"/>
    <w:rsid w:val="00986C46"/>
    <w:rsid w:val="009911D2"/>
    <w:rsid w:val="009A1543"/>
    <w:rsid w:val="009A6BB3"/>
    <w:rsid w:val="009B4FF9"/>
    <w:rsid w:val="009C0793"/>
    <w:rsid w:val="009C0ECA"/>
    <w:rsid w:val="009C138D"/>
    <w:rsid w:val="009C1B84"/>
    <w:rsid w:val="009C535B"/>
    <w:rsid w:val="009C5C65"/>
    <w:rsid w:val="009C7478"/>
    <w:rsid w:val="009D23D9"/>
    <w:rsid w:val="009D2988"/>
    <w:rsid w:val="009D3BDF"/>
    <w:rsid w:val="009D556F"/>
    <w:rsid w:val="009D66DF"/>
    <w:rsid w:val="009D6FFC"/>
    <w:rsid w:val="009E3060"/>
    <w:rsid w:val="009E317D"/>
    <w:rsid w:val="009E6ADA"/>
    <w:rsid w:val="009F0FAC"/>
    <w:rsid w:val="009F2CB2"/>
    <w:rsid w:val="009F42D5"/>
    <w:rsid w:val="009F59EE"/>
    <w:rsid w:val="00A00614"/>
    <w:rsid w:val="00A06687"/>
    <w:rsid w:val="00A07B57"/>
    <w:rsid w:val="00A1017F"/>
    <w:rsid w:val="00A11002"/>
    <w:rsid w:val="00A12D97"/>
    <w:rsid w:val="00A145E2"/>
    <w:rsid w:val="00A15C5F"/>
    <w:rsid w:val="00A1706A"/>
    <w:rsid w:val="00A2129E"/>
    <w:rsid w:val="00A22380"/>
    <w:rsid w:val="00A267CE"/>
    <w:rsid w:val="00A3119E"/>
    <w:rsid w:val="00A3163A"/>
    <w:rsid w:val="00A34404"/>
    <w:rsid w:val="00A345F7"/>
    <w:rsid w:val="00A351F4"/>
    <w:rsid w:val="00A35204"/>
    <w:rsid w:val="00A35900"/>
    <w:rsid w:val="00A36D79"/>
    <w:rsid w:val="00A401A3"/>
    <w:rsid w:val="00A51DB8"/>
    <w:rsid w:val="00A526C9"/>
    <w:rsid w:val="00A52E40"/>
    <w:rsid w:val="00A644DF"/>
    <w:rsid w:val="00A661EE"/>
    <w:rsid w:val="00A672EA"/>
    <w:rsid w:val="00A67865"/>
    <w:rsid w:val="00A706DB"/>
    <w:rsid w:val="00A75581"/>
    <w:rsid w:val="00A80A8B"/>
    <w:rsid w:val="00A85069"/>
    <w:rsid w:val="00A86EF2"/>
    <w:rsid w:val="00A902B4"/>
    <w:rsid w:val="00A93669"/>
    <w:rsid w:val="00A969E4"/>
    <w:rsid w:val="00AA0C1B"/>
    <w:rsid w:val="00AA13C3"/>
    <w:rsid w:val="00AA1EF9"/>
    <w:rsid w:val="00AA3C5C"/>
    <w:rsid w:val="00AC0B97"/>
    <w:rsid w:val="00AC14FC"/>
    <w:rsid w:val="00AC1B87"/>
    <w:rsid w:val="00AC1E03"/>
    <w:rsid w:val="00AC3155"/>
    <w:rsid w:val="00AD2933"/>
    <w:rsid w:val="00AD3089"/>
    <w:rsid w:val="00AE4CC4"/>
    <w:rsid w:val="00AE662F"/>
    <w:rsid w:val="00AE7AFA"/>
    <w:rsid w:val="00AF080F"/>
    <w:rsid w:val="00AF0BE0"/>
    <w:rsid w:val="00AF2D1B"/>
    <w:rsid w:val="00AF5FA6"/>
    <w:rsid w:val="00B00B35"/>
    <w:rsid w:val="00B012F6"/>
    <w:rsid w:val="00B03608"/>
    <w:rsid w:val="00B0598D"/>
    <w:rsid w:val="00B066DB"/>
    <w:rsid w:val="00B07063"/>
    <w:rsid w:val="00B0741A"/>
    <w:rsid w:val="00B13DF1"/>
    <w:rsid w:val="00B1561F"/>
    <w:rsid w:val="00B15FD4"/>
    <w:rsid w:val="00B177AF"/>
    <w:rsid w:val="00B17AD8"/>
    <w:rsid w:val="00B21A92"/>
    <w:rsid w:val="00B21D7F"/>
    <w:rsid w:val="00B244B9"/>
    <w:rsid w:val="00B24AB2"/>
    <w:rsid w:val="00B26C1E"/>
    <w:rsid w:val="00B278D2"/>
    <w:rsid w:val="00B30195"/>
    <w:rsid w:val="00B3074F"/>
    <w:rsid w:val="00B3103A"/>
    <w:rsid w:val="00B3354F"/>
    <w:rsid w:val="00B34562"/>
    <w:rsid w:val="00B41012"/>
    <w:rsid w:val="00B45ED0"/>
    <w:rsid w:val="00B45F71"/>
    <w:rsid w:val="00B46015"/>
    <w:rsid w:val="00B475E1"/>
    <w:rsid w:val="00B52B36"/>
    <w:rsid w:val="00B6512E"/>
    <w:rsid w:val="00B65A3B"/>
    <w:rsid w:val="00B676E6"/>
    <w:rsid w:val="00B67D59"/>
    <w:rsid w:val="00B708C9"/>
    <w:rsid w:val="00B70A80"/>
    <w:rsid w:val="00B7116F"/>
    <w:rsid w:val="00B714D3"/>
    <w:rsid w:val="00B7285B"/>
    <w:rsid w:val="00B74D65"/>
    <w:rsid w:val="00B777C3"/>
    <w:rsid w:val="00B80003"/>
    <w:rsid w:val="00B81F38"/>
    <w:rsid w:val="00B82BA4"/>
    <w:rsid w:val="00B84690"/>
    <w:rsid w:val="00B86D21"/>
    <w:rsid w:val="00B95EBA"/>
    <w:rsid w:val="00BA29AE"/>
    <w:rsid w:val="00BA6059"/>
    <w:rsid w:val="00BA6DBC"/>
    <w:rsid w:val="00BA7E4C"/>
    <w:rsid w:val="00BB0801"/>
    <w:rsid w:val="00BB5F03"/>
    <w:rsid w:val="00BC1BA1"/>
    <w:rsid w:val="00BC30D1"/>
    <w:rsid w:val="00BC43C3"/>
    <w:rsid w:val="00BD0305"/>
    <w:rsid w:val="00BD18EA"/>
    <w:rsid w:val="00BD25BD"/>
    <w:rsid w:val="00BD26AB"/>
    <w:rsid w:val="00BD4FB4"/>
    <w:rsid w:val="00BD6A7F"/>
    <w:rsid w:val="00BD7095"/>
    <w:rsid w:val="00BE127F"/>
    <w:rsid w:val="00BE34DD"/>
    <w:rsid w:val="00BF0F80"/>
    <w:rsid w:val="00BF1CB0"/>
    <w:rsid w:val="00BF4FA6"/>
    <w:rsid w:val="00C00860"/>
    <w:rsid w:val="00C05509"/>
    <w:rsid w:val="00C12B80"/>
    <w:rsid w:val="00C1553C"/>
    <w:rsid w:val="00C16A07"/>
    <w:rsid w:val="00C2196C"/>
    <w:rsid w:val="00C25A49"/>
    <w:rsid w:val="00C306CA"/>
    <w:rsid w:val="00C35BFC"/>
    <w:rsid w:val="00C36244"/>
    <w:rsid w:val="00C36818"/>
    <w:rsid w:val="00C36AC8"/>
    <w:rsid w:val="00C36E73"/>
    <w:rsid w:val="00C40157"/>
    <w:rsid w:val="00C42096"/>
    <w:rsid w:val="00C45232"/>
    <w:rsid w:val="00C503A0"/>
    <w:rsid w:val="00C505D4"/>
    <w:rsid w:val="00C50A39"/>
    <w:rsid w:val="00C51E90"/>
    <w:rsid w:val="00C55E4E"/>
    <w:rsid w:val="00C5726E"/>
    <w:rsid w:val="00C6048F"/>
    <w:rsid w:val="00C607F2"/>
    <w:rsid w:val="00C61777"/>
    <w:rsid w:val="00C639A8"/>
    <w:rsid w:val="00C63DF0"/>
    <w:rsid w:val="00C63E32"/>
    <w:rsid w:val="00C64B40"/>
    <w:rsid w:val="00C650DB"/>
    <w:rsid w:val="00C72C9B"/>
    <w:rsid w:val="00C7462C"/>
    <w:rsid w:val="00C85300"/>
    <w:rsid w:val="00C85AB7"/>
    <w:rsid w:val="00C86EBC"/>
    <w:rsid w:val="00C91F7F"/>
    <w:rsid w:val="00CA3FE4"/>
    <w:rsid w:val="00CA5FC8"/>
    <w:rsid w:val="00CB1985"/>
    <w:rsid w:val="00CB7416"/>
    <w:rsid w:val="00CC04E3"/>
    <w:rsid w:val="00CC32D9"/>
    <w:rsid w:val="00CC45E5"/>
    <w:rsid w:val="00CC5BEB"/>
    <w:rsid w:val="00CC7C89"/>
    <w:rsid w:val="00CD1C31"/>
    <w:rsid w:val="00CD3324"/>
    <w:rsid w:val="00CD3C1E"/>
    <w:rsid w:val="00CD6EEC"/>
    <w:rsid w:val="00CE2578"/>
    <w:rsid w:val="00CE3577"/>
    <w:rsid w:val="00CF10DA"/>
    <w:rsid w:val="00CF2718"/>
    <w:rsid w:val="00CF3762"/>
    <w:rsid w:val="00D01461"/>
    <w:rsid w:val="00D01832"/>
    <w:rsid w:val="00D047B7"/>
    <w:rsid w:val="00D11870"/>
    <w:rsid w:val="00D132FF"/>
    <w:rsid w:val="00D15557"/>
    <w:rsid w:val="00D15686"/>
    <w:rsid w:val="00D16F9E"/>
    <w:rsid w:val="00D21B27"/>
    <w:rsid w:val="00D223BF"/>
    <w:rsid w:val="00D2253B"/>
    <w:rsid w:val="00D22A67"/>
    <w:rsid w:val="00D245D2"/>
    <w:rsid w:val="00D25B0B"/>
    <w:rsid w:val="00D31127"/>
    <w:rsid w:val="00D31FA8"/>
    <w:rsid w:val="00D3396D"/>
    <w:rsid w:val="00D3569B"/>
    <w:rsid w:val="00D35A90"/>
    <w:rsid w:val="00D36065"/>
    <w:rsid w:val="00D40D11"/>
    <w:rsid w:val="00D423AD"/>
    <w:rsid w:val="00D46528"/>
    <w:rsid w:val="00D46E13"/>
    <w:rsid w:val="00D4733D"/>
    <w:rsid w:val="00D53085"/>
    <w:rsid w:val="00D57146"/>
    <w:rsid w:val="00D618AD"/>
    <w:rsid w:val="00D63DD3"/>
    <w:rsid w:val="00D72895"/>
    <w:rsid w:val="00D777C9"/>
    <w:rsid w:val="00D80B6D"/>
    <w:rsid w:val="00D82E2D"/>
    <w:rsid w:val="00D8513A"/>
    <w:rsid w:val="00D87CCE"/>
    <w:rsid w:val="00D9306C"/>
    <w:rsid w:val="00DA1662"/>
    <w:rsid w:val="00DA327C"/>
    <w:rsid w:val="00DA576C"/>
    <w:rsid w:val="00DA6D6A"/>
    <w:rsid w:val="00DA7689"/>
    <w:rsid w:val="00DA78FC"/>
    <w:rsid w:val="00DB365A"/>
    <w:rsid w:val="00DB4335"/>
    <w:rsid w:val="00DB7664"/>
    <w:rsid w:val="00DC1FA8"/>
    <w:rsid w:val="00DC2A4B"/>
    <w:rsid w:val="00DC6AB6"/>
    <w:rsid w:val="00DD1EC1"/>
    <w:rsid w:val="00DE36DE"/>
    <w:rsid w:val="00DE448F"/>
    <w:rsid w:val="00DE75F4"/>
    <w:rsid w:val="00DE7686"/>
    <w:rsid w:val="00DE7CE1"/>
    <w:rsid w:val="00DF006F"/>
    <w:rsid w:val="00DF296C"/>
    <w:rsid w:val="00DF2A53"/>
    <w:rsid w:val="00DF388B"/>
    <w:rsid w:val="00E02125"/>
    <w:rsid w:val="00E04F7B"/>
    <w:rsid w:val="00E121F2"/>
    <w:rsid w:val="00E16FE8"/>
    <w:rsid w:val="00E17539"/>
    <w:rsid w:val="00E24FED"/>
    <w:rsid w:val="00E343B0"/>
    <w:rsid w:val="00E364A9"/>
    <w:rsid w:val="00E400AA"/>
    <w:rsid w:val="00E40BF0"/>
    <w:rsid w:val="00E42149"/>
    <w:rsid w:val="00E4768E"/>
    <w:rsid w:val="00E47BA7"/>
    <w:rsid w:val="00E515C8"/>
    <w:rsid w:val="00E57D1A"/>
    <w:rsid w:val="00E608E3"/>
    <w:rsid w:val="00E60E78"/>
    <w:rsid w:val="00E63C9B"/>
    <w:rsid w:val="00E669EF"/>
    <w:rsid w:val="00E67800"/>
    <w:rsid w:val="00E71B7C"/>
    <w:rsid w:val="00E71D31"/>
    <w:rsid w:val="00E72BA8"/>
    <w:rsid w:val="00E804FF"/>
    <w:rsid w:val="00E81785"/>
    <w:rsid w:val="00E83CCD"/>
    <w:rsid w:val="00E847E6"/>
    <w:rsid w:val="00E856C2"/>
    <w:rsid w:val="00E90FB8"/>
    <w:rsid w:val="00E938B3"/>
    <w:rsid w:val="00E945C4"/>
    <w:rsid w:val="00E9495C"/>
    <w:rsid w:val="00EA29EC"/>
    <w:rsid w:val="00EA3C99"/>
    <w:rsid w:val="00EA47AD"/>
    <w:rsid w:val="00EA64D4"/>
    <w:rsid w:val="00EB06C5"/>
    <w:rsid w:val="00EB1535"/>
    <w:rsid w:val="00EB26B3"/>
    <w:rsid w:val="00EB4375"/>
    <w:rsid w:val="00EB5B94"/>
    <w:rsid w:val="00EB657F"/>
    <w:rsid w:val="00EC046B"/>
    <w:rsid w:val="00EC75DD"/>
    <w:rsid w:val="00ED4C36"/>
    <w:rsid w:val="00EE520F"/>
    <w:rsid w:val="00EE6C6D"/>
    <w:rsid w:val="00EF1568"/>
    <w:rsid w:val="00EF62F8"/>
    <w:rsid w:val="00F0275F"/>
    <w:rsid w:val="00F040CA"/>
    <w:rsid w:val="00F04FF5"/>
    <w:rsid w:val="00F06420"/>
    <w:rsid w:val="00F06844"/>
    <w:rsid w:val="00F0734C"/>
    <w:rsid w:val="00F16128"/>
    <w:rsid w:val="00F161D2"/>
    <w:rsid w:val="00F20841"/>
    <w:rsid w:val="00F2446D"/>
    <w:rsid w:val="00F257ED"/>
    <w:rsid w:val="00F27366"/>
    <w:rsid w:val="00F30542"/>
    <w:rsid w:val="00F30BB8"/>
    <w:rsid w:val="00F33E63"/>
    <w:rsid w:val="00F366A6"/>
    <w:rsid w:val="00F37E08"/>
    <w:rsid w:val="00F428EF"/>
    <w:rsid w:val="00F44AEB"/>
    <w:rsid w:val="00F45620"/>
    <w:rsid w:val="00F4632A"/>
    <w:rsid w:val="00F52462"/>
    <w:rsid w:val="00F542F8"/>
    <w:rsid w:val="00F61061"/>
    <w:rsid w:val="00F63E7A"/>
    <w:rsid w:val="00F64A9E"/>
    <w:rsid w:val="00F6505F"/>
    <w:rsid w:val="00F655E3"/>
    <w:rsid w:val="00F65A7D"/>
    <w:rsid w:val="00F739AD"/>
    <w:rsid w:val="00F76B0E"/>
    <w:rsid w:val="00F7782E"/>
    <w:rsid w:val="00F8482C"/>
    <w:rsid w:val="00F84DCA"/>
    <w:rsid w:val="00F95B39"/>
    <w:rsid w:val="00F968E3"/>
    <w:rsid w:val="00FA0F28"/>
    <w:rsid w:val="00FA1AF3"/>
    <w:rsid w:val="00FA6E14"/>
    <w:rsid w:val="00FB551F"/>
    <w:rsid w:val="00FB7593"/>
    <w:rsid w:val="00FC1254"/>
    <w:rsid w:val="00FC33AA"/>
    <w:rsid w:val="00FD5578"/>
    <w:rsid w:val="00FE28BC"/>
    <w:rsid w:val="00FE3A27"/>
    <w:rsid w:val="00FE6DB7"/>
    <w:rsid w:val="00FE7E9A"/>
    <w:rsid w:val="00FF3A4B"/>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ED120-87BE-467F-B281-8BE29E7F1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6077</TotalTime>
  <Pages>3</Pages>
  <Words>1069</Words>
  <Characters>6312</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45</cp:revision>
  <dcterms:created xsi:type="dcterms:W3CDTF">2022-07-11T13:22:00Z</dcterms:created>
  <dcterms:modified xsi:type="dcterms:W3CDTF">2022-07-22T16:00:00Z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