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487392F9"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Pr>
              <w:rFonts w:ascii="Arial" w:hAnsi="Arial" w:cs="Arial"/>
              <w:sz w:val="18"/>
            </w:rPr>
            <w:t xml:space="preserve"> Broker </w:t>
          </w:r>
          <w:proofErr w:type="spellStart"/>
          <w:r w:rsidR="00243C49">
            <w:rPr>
              <w:rFonts w:ascii="Arial" w:hAnsi="Arial" w:cs="Arial"/>
              <w:sz w:val="18"/>
            </w:rPr>
            <w:t>Consulting</w:t>
          </w:r>
          <w:proofErr w:type="spellEnd"/>
          <w:r w:rsidRPr="00FC2522">
            <w:rPr>
              <w:rFonts w:ascii="Arial" w:hAnsi="Arial" w:cs="Arial"/>
              <w:sz w:val="18"/>
            </w:rPr>
            <w:t xml:space="preserve">.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A16A29"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411DE227" w14:textId="383C329B" w:rsidR="004B2FF6" w:rsidRPr="00B03461" w:rsidRDefault="007F71F9" w:rsidP="004B2FF6">
      <w:pPr>
        <w:jc w:val="center"/>
        <w:rPr>
          <w:rFonts w:ascii="Arial" w:hAnsi="Arial" w:cs="Arial"/>
          <w:b/>
          <w:sz w:val="28"/>
          <w:szCs w:val="28"/>
        </w:rPr>
      </w:pPr>
      <w:r>
        <w:rPr>
          <w:rFonts w:ascii="Arial" w:hAnsi="Arial" w:cs="Arial"/>
          <w:b/>
          <w:sz w:val="28"/>
          <w:szCs w:val="28"/>
        </w:rPr>
        <w:t>Úroková s</w:t>
      </w:r>
      <w:r w:rsidR="000618FE">
        <w:rPr>
          <w:rFonts w:ascii="Arial" w:hAnsi="Arial" w:cs="Arial"/>
          <w:b/>
          <w:sz w:val="28"/>
          <w:szCs w:val="28"/>
        </w:rPr>
        <w:t xml:space="preserve">azba spotřebitelského úvěru se dostala nad hranici sedmi procent, v květnu </w:t>
      </w:r>
      <w:r w:rsidR="00316FA6">
        <w:rPr>
          <w:rFonts w:ascii="Arial" w:hAnsi="Arial" w:cs="Arial"/>
          <w:b/>
          <w:sz w:val="28"/>
          <w:szCs w:val="28"/>
        </w:rPr>
        <w:t xml:space="preserve">byl Broker </w:t>
      </w:r>
      <w:proofErr w:type="spellStart"/>
      <w:r w:rsidR="00316FA6">
        <w:rPr>
          <w:rFonts w:ascii="Arial" w:hAnsi="Arial" w:cs="Arial"/>
          <w:b/>
          <w:sz w:val="28"/>
          <w:szCs w:val="28"/>
        </w:rPr>
        <w:t>Consulting</w:t>
      </w:r>
      <w:proofErr w:type="spellEnd"/>
      <w:r w:rsidR="00316FA6">
        <w:rPr>
          <w:rFonts w:ascii="Arial" w:hAnsi="Arial" w:cs="Arial"/>
          <w:b/>
          <w:sz w:val="28"/>
          <w:szCs w:val="28"/>
        </w:rPr>
        <w:t xml:space="preserve"> I</w:t>
      </w:r>
      <w:r w:rsidR="000618FE">
        <w:rPr>
          <w:rFonts w:ascii="Arial" w:hAnsi="Arial" w:cs="Arial"/>
          <w:b/>
          <w:sz w:val="28"/>
          <w:szCs w:val="28"/>
        </w:rPr>
        <w:t>ndex na hodnotě 7,28 %</w:t>
      </w:r>
      <w:r w:rsidR="00B03461" w:rsidRPr="00B03461">
        <w:rPr>
          <w:rFonts w:ascii="Arial" w:hAnsi="Arial" w:cs="Arial"/>
          <w:b/>
          <w:sz w:val="28"/>
          <w:szCs w:val="28"/>
        </w:rPr>
        <w:t xml:space="preserve"> </w:t>
      </w:r>
    </w:p>
    <w:p w14:paraId="18EBA0CC" w14:textId="2756920F" w:rsidR="00DA50BA" w:rsidRPr="00664259" w:rsidRDefault="00DA50BA" w:rsidP="002A0285">
      <w:pPr>
        <w:jc w:val="center"/>
        <w:rPr>
          <w:rFonts w:ascii="Arial" w:eastAsia="Times New Roman" w:hAnsi="Arial" w:cs="Arial"/>
          <w:b/>
          <w:color w:val="FF0000"/>
          <w:sz w:val="28"/>
          <w:szCs w:val="28"/>
        </w:rPr>
      </w:pPr>
    </w:p>
    <w:p w14:paraId="617BA37D" w14:textId="77777777" w:rsidR="003C7F98" w:rsidRPr="003F0CAF" w:rsidRDefault="003C7F98" w:rsidP="0076114C">
      <w:pPr>
        <w:jc w:val="both"/>
        <w:rPr>
          <w:rFonts w:ascii="Arial" w:hAnsi="Arial" w:cs="Arial"/>
          <w:bCs/>
          <w:i/>
          <w:sz w:val="21"/>
          <w:szCs w:val="21"/>
        </w:rPr>
      </w:pPr>
    </w:p>
    <w:p w14:paraId="59AFB9D7" w14:textId="6ED82C2E" w:rsidR="00C42C49" w:rsidRDefault="003C7F98" w:rsidP="00BA3EE0">
      <w:pPr>
        <w:jc w:val="both"/>
        <w:rPr>
          <w:rFonts w:ascii="Arial" w:hAnsi="Arial" w:cs="Arial"/>
          <w:b/>
          <w:bCs/>
          <w:sz w:val="21"/>
          <w:szCs w:val="21"/>
        </w:rPr>
      </w:pPr>
      <w:r w:rsidRPr="003F0CAF">
        <w:rPr>
          <w:rFonts w:ascii="Arial" w:hAnsi="Arial" w:cs="Arial"/>
          <w:bCs/>
          <w:i/>
          <w:sz w:val="21"/>
          <w:szCs w:val="21"/>
        </w:rPr>
        <w:t xml:space="preserve">Praha, </w:t>
      </w:r>
      <w:r w:rsidR="000618FE">
        <w:rPr>
          <w:rFonts w:ascii="Arial" w:hAnsi="Arial" w:cs="Arial"/>
          <w:bCs/>
          <w:i/>
          <w:sz w:val="21"/>
          <w:szCs w:val="21"/>
        </w:rPr>
        <w:t xml:space="preserve">25. června </w:t>
      </w:r>
      <w:r w:rsidRPr="003F0CAF">
        <w:rPr>
          <w:rFonts w:ascii="Arial" w:hAnsi="Arial" w:cs="Arial"/>
          <w:bCs/>
          <w:sz w:val="21"/>
          <w:szCs w:val="21"/>
        </w:rPr>
        <w:t xml:space="preserve">– </w:t>
      </w:r>
      <w:r w:rsidR="007E768B">
        <w:rPr>
          <w:rFonts w:ascii="Arial" w:hAnsi="Arial" w:cs="Arial"/>
          <w:b/>
          <w:bCs/>
          <w:sz w:val="21"/>
          <w:szCs w:val="21"/>
        </w:rPr>
        <w:t xml:space="preserve">Průměrné úrokové sazby od </w:t>
      </w:r>
      <w:r w:rsidR="00DC7E88">
        <w:rPr>
          <w:rFonts w:ascii="Arial" w:hAnsi="Arial" w:cs="Arial"/>
          <w:b/>
          <w:bCs/>
          <w:sz w:val="21"/>
          <w:szCs w:val="21"/>
        </w:rPr>
        <w:t>začátku roku pozvolně</w:t>
      </w:r>
      <w:r w:rsidR="007E768B">
        <w:rPr>
          <w:rFonts w:ascii="Arial" w:hAnsi="Arial" w:cs="Arial"/>
          <w:b/>
          <w:bCs/>
          <w:sz w:val="21"/>
          <w:szCs w:val="21"/>
        </w:rPr>
        <w:t xml:space="preserve"> stoupají, pokračování trendu zaznamenaly </w:t>
      </w:r>
      <w:r w:rsidR="00A50D03" w:rsidRPr="00A50D03">
        <w:rPr>
          <w:rFonts w:ascii="Arial" w:hAnsi="Arial" w:cs="Arial"/>
          <w:b/>
          <w:bCs/>
          <w:sz w:val="21"/>
          <w:szCs w:val="21"/>
        </w:rPr>
        <w:t xml:space="preserve">květnové </w:t>
      </w:r>
      <w:r w:rsidR="007E768B">
        <w:rPr>
          <w:rFonts w:ascii="Arial" w:hAnsi="Arial" w:cs="Arial"/>
          <w:b/>
          <w:bCs/>
          <w:sz w:val="21"/>
          <w:szCs w:val="21"/>
        </w:rPr>
        <w:t xml:space="preserve">hodnoty </w:t>
      </w:r>
      <w:r w:rsidR="00A50D03" w:rsidRPr="00A50D03">
        <w:rPr>
          <w:rFonts w:ascii="Arial" w:hAnsi="Arial" w:cs="Arial"/>
          <w:b/>
          <w:bCs/>
          <w:sz w:val="21"/>
          <w:szCs w:val="21"/>
        </w:rPr>
        <w:t xml:space="preserve">Broker </w:t>
      </w:r>
      <w:proofErr w:type="spellStart"/>
      <w:r w:rsidR="00A50D03" w:rsidRPr="00A50D03">
        <w:rPr>
          <w:rFonts w:ascii="Arial" w:hAnsi="Arial" w:cs="Arial"/>
          <w:b/>
          <w:bCs/>
          <w:sz w:val="21"/>
          <w:szCs w:val="21"/>
        </w:rPr>
        <w:t>Consulting</w:t>
      </w:r>
      <w:proofErr w:type="spellEnd"/>
      <w:r w:rsidR="00A50D03" w:rsidRPr="00A50D03">
        <w:rPr>
          <w:rFonts w:ascii="Arial" w:hAnsi="Arial" w:cs="Arial"/>
          <w:b/>
          <w:bCs/>
          <w:sz w:val="21"/>
          <w:szCs w:val="21"/>
        </w:rPr>
        <w:t xml:space="preserve"> Indexu spotřebitelských </w:t>
      </w:r>
      <w:r w:rsidR="007E768B">
        <w:rPr>
          <w:rFonts w:ascii="Arial" w:hAnsi="Arial" w:cs="Arial"/>
          <w:b/>
          <w:bCs/>
          <w:sz w:val="21"/>
          <w:szCs w:val="21"/>
        </w:rPr>
        <w:t>úvěrů. Jde o</w:t>
      </w:r>
      <w:r w:rsidR="00F46BBD">
        <w:rPr>
          <w:rFonts w:ascii="Arial" w:hAnsi="Arial" w:cs="Arial"/>
          <w:b/>
          <w:bCs/>
          <w:sz w:val="21"/>
          <w:szCs w:val="21"/>
        </w:rPr>
        <w:t xml:space="preserve"> meziměsíční</w:t>
      </w:r>
      <w:r w:rsidR="007E768B">
        <w:rPr>
          <w:rFonts w:ascii="Arial" w:hAnsi="Arial" w:cs="Arial"/>
          <w:b/>
          <w:bCs/>
          <w:sz w:val="21"/>
          <w:szCs w:val="21"/>
        </w:rPr>
        <w:t xml:space="preserve"> nárůs</w:t>
      </w:r>
      <w:r w:rsidR="00F46BBD">
        <w:rPr>
          <w:rFonts w:ascii="Arial" w:hAnsi="Arial" w:cs="Arial"/>
          <w:b/>
          <w:bCs/>
          <w:sz w:val="21"/>
          <w:szCs w:val="21"/>
        </w:rPr>
        <w:t>t o 0,42 procentního</w:t>
      </w:r>
      <w:r w:rsidR="00B03105">
        <w:rPr>
          <w:rFonts w:ascii="Arial" w:hAnsi="Arial" w:cs="Arial"/>
          <w:b/>
          <w:bCs/>
          <w:sz w:val="21"/>
          <w:szCs w:val="21"/>
        </w:rPr>
        <w:t xml:space="preserve"> bodu, květnová sazba</w:t>
      </w:r>
      <w:r w:rsidR="00F46BBD">
        <w:rPr>
          <w:rFonts w:ascii="Arial" w:hAnsi="Arial" w:cs="Arial"/>
          <w:b/>
          <w:bCs/>
          <w:sz w:val="21"/>
          <w:szCs w:val="21"/>
        </w:rPr>
        <w:t xml:space="preserve"> tak vzrostla z 6,86 % na 7,28 %. Experti na úvěry neočekávají v</w:t>
      </w:r>
      <w:r w:rsidR="00BC331B">
        <w:rPr>
          <w:rFonts w:ascii="Arial" w:hAnsi="Arial" w:cs="Arial"/>
          <w:b/>
          <w:bCs/>
          <w:sz w:val="21"/>
          <w:szCs w:val="21"/>
        </w:rPr>
        <w:t xml:space="preserve"> blízké budoucnosti </w:t>
      </w:r>
      <w:r w:rsidR="00F46BBD">
        <w:rPr>
          <w:rFonts w:ascii="Arial" w:hAnsi="Arial" w:cs="Arial"/>
          <w:b/>
          <w:bCs/>
          <w:sz w:val="21"/>
          <w:szCs w:val="21"/>
        </w:rPr>
        <w:t>zásadní změnu ve vývoji sazeb u úvěrů na cokoliv</w:t>
      </w:r>
      <w:r w:rsidR="00B03105">
        <w:rPr>
          <w:rFonts w:ascii="Arial" w:hAnsi="Arial" w:cs="Arial"/>
          <w:b/>
          <w:bCs/>
          <w:sz w:val="21"/>
          <w:szCs w:val="21"/>
        </w:rPr>
        <w:t>, pomalý růst</w:t>
      </w:r>
      <w:bookmarkStart w:id="0" w:name="_GoBack"/>
      <w:bookmarkEnd w:id="0"/>
      <w:r w:rsidR="00BC331B">
        <w:rPr>
          <w:rFonts w:ascii="Arial" w:hAnsi="Arial" w:cs="Arial"/>
          <w:b/>
          <w:bCs/>
          <w:sz w:val="21"/>
          <w:szCs w:val="21"/>
        </w:rPr>
        <w:t xml:space="preserve"> s největší pravděpodobností </w:t>
      </w:r>
      <w:r w:rsidR="0000406E">
        <w:rPr>
          <w:rFonts w:ascii="Arial" w:hAnsi="Arial" w:cs="Arial"/>
          <w:b/>
          <w:bCs/>
          <w:sz w:val="21"/>
          <w:szCs w:val="21"/>
        </w:rPr>
        <w:t xml:space="preserve">ještě </w:t>
      </w:r>
      <w:r w:rsidR="00BC331B">
        <w:rPr>
          <w:rFonts w:ascii="Arial" w:hAnsi="Arial" w:cs="Arial"/>
          <w:b/>
          <w:bCs/>
          <w:sz w:val="21"/>
          <w:szCs w:val="21"/>
        </w:rPr>
        <w:t>nepoleví</w:t>
      </w:r>
      <w:r w:rsidR="00F46BBD">
        <w:rPr>
          <w:rFonts w:ascii="Arial" w:hAnsi="Arial" w:cs="Arial"/>
          <w:b/>
          <w:bCs/>
          <w:sz w:val="21"/>
          <w:szCs w:val="21"/>
        </w:rPr>
        <w:t>.</w:t>
      </w:r>
    </w:p>
    <w:p w14:paraId="4BC655B6" w14:textId="778BE81C" w:rsidR="006A4E81" w:rsidRDefault="006A4E81" w:rsidP="00C41DD9">
      <w:pPr>
        <w:rPr>
          <w:rFonts w:ascii="Arial" w:hAnsi="Arial" w:cs="Arial"/>
        </w:rPr>
      </w:pPr>
    </w:p>
    <w:p w14:paraId="3D4C222C" w14:textId="76D22A2A" w:rsidR="009D44DD" w:rsidRDefault="007046C5" w:rsidP="009D44DD">
      <w:pPr>
        <w:jc w:val="both"/>
        <w:rPr>
          <w:rFonts w:ascii="Arial" w:hAnsi="Arial" w:cs="Arial"/>
          <w:sz w:val="20"/>
          <w:szCs w:val="20"/>
        </w:rPr>
      </w:pPr>
      <w:r>
        <w:rPr>
          <w:rFonts w:ascii="Arial" w:hAnsi="Arial" w:cs="Arial"/>
          <w:sz w:val="20"/>
          <w:szCs w:val="20"/>
        </w:rPr>
        <w:t xml:space="preserve">V podobném duchu jako v dubnu se nesl růst průměrné úrokové sazby, měřená hodnota v rámci Broker </w:t>
      </w:r>
      <w:proofErr w:type="spellStart"/>
      <w:r>
        <w:rPr>
          <w:rFonts w:ascii="Arial" w:hAnsi="Arial" w:cs="Arial"/>
          <w:sz w:val="20"/>
          <w:szCs w:val="20"/>
        </w:rPr>
        <w:t>Consulting</w:t>
      </w:r>
      <w:proofErr w:type="spellEnd"/>
      <w:r>
        <w:rPr>
          <w:rFonts w:ascii="Arial" w:hAnsi="Arial" w:cs="Arial"/>
          <w:sz w:val="20"/>
          <w:szCs w:val="20"/>
        </w:rPr>
        <w:t xml:space="preserve"> Indexu spotřebitelských úvěrů vzrostla pouze o půl procenta</w:t>
      </w:r>
      <w:r w:rsidR="009F6CFC">
        <w:rPr>
          <w:rFonts w:ascii="Arial" w:hAnsi="Arial" w:cs="Arial"/>
          <w:sz w:val="20"/>
          <w:szCs w:val="20"/>
        </w:rPr>
        <w:t>, na celkových 7,28 %</w:t>
      </w:r>
      <w:r>
        <w:rPr>
          <w:rFonts w:ascii="Arial" w:hAnsi="Arial" w:cs="Arial"/>
          <w:sz w:val="20"/>
          <w:szCs w:val="20"/>
        </w:rPr>
        <w:t>. Přesto</w:t>
      </w:r>
      <w:r w:rsidR="00316FA6">
        <w:rPr>
          <w:rFonts w:ascii="Arial" w:hAnsi="Arial" w:cs="Arial"/>
          <w:sz w:val="20"/>
          <w:szCs w:val="20"/>
        </w:rPr>
        <w:t xml:space="preserve"> byl</w:t>
      </w:r>
      <w:r>
        <w:rPr>
          <w:rFonts w:ascii="Arial" w:hAnsi="Arial" w:cs="Arial"/>
          <w:sz w:val="20"/>
          <w:szCs w:val="20"/>
        </w:rPr>
        <w:t xml:space="preserve"> nárůst </w:t>
      </w:r>
      <w:r w:rsidR="009F6CFC">
        <w:rPr>
          <w:rFonts w:ascii="Arial" w:hAnsi="Arial" w:cs="Arial"/>
          <w:sz w:val="20"/>
          <w:szCs w:val="20"/>
        </w:rPr>
        <w:t xml:space="preserve">v minulém měsíci </w:t>
      </w:r>
      <w:r w:rsidR="009F6CFC">
        <w:rPr>
          <w:rFonts w:ascii="Arial" w:hAnsi="Arial" w:cs="Arial"/>
          <w:sz w:val="20"/>
          <w:szCs w:val="20"/>
        </w:rPr>
        <w:br/>
      </w:r>
      <w:r>
        <w:rPr>
          <w:rFonts w:ascii="Arial" w:hAnsi="Arial" w:cs="Arial"/>
          <w:sz w:val="20"/>
          <w:szCs w:val="20"/>
        </w:rPr>
        <w:t xml:space="preserve">o něco větší než v dubnu, trend </w:t>
      </w:r>
      <w:r w:rsidR="009F6CFC">
        <w:rPr>
          <w:rFonts w:ascii="Arial" w:hAnsi="Arial" w:cs="Arial"/>
          <w:sz w:val="20"/>
          <w:szCs w:val="20"/>
        </w:rPr>
        <w:t>pozvolného</w:t>
      </w:r>
      <w:r>
        <w:rPr>
          <w:rFonts w:ascii="Arial" w:hAnsi="Arial" w:cs="Arial"/>
          <w:sz w:val="20"/>
          <w:szCs w:val="20"/>
        </w:rPr>
        <w:t xml:space="preserve"> růstu ovšem potvrdily obě</w:t>
      </w:r>
      <w:r w:rsidR="009F6CFC">
        <w:rPr>
          <w:rFonts w:ascii="Arial" w:hAnsi="Arial" w:cs="Arial"/>
          <w:sz w:val="20"/>
          <w:szCs w:val="20"/>
        </w:rPr>
        <w:t xml:space="preserve"> zmíněné hodnoty</w:t>
      </w:r>
      <w:r>
        <w:rPr>
          <w:rFonts w:ascii="Arial" w:hAnsi="Arial" w:cs="Arial"/>
          <w:sz w:val="20"/>
          <w:szCs w:val="20"/>
        </w:rPr>
        <w:t xml:space="preserve">. </w:t>
      </w:r>
      <w:r w:rsidR="009D44DD" w:rsidRPr="003F0CAF">
        <w:rPr>
          <w:rFonts w:ascii="Arial" w:hAnsi="Arial" w:cs="Arial"/>
          <w:sz w:val="20"/>
          <w:szCs w:val="20"/>
        </w:rPr>
        <w:t xml:space="preserve">Z grafu indexu je </w:t>
      </w:r>
      <w:r w:rsidR="009D44DD">
        <w:rPr>
          <w:rFonts w:ascii="Arial" w:hAnsi="Arial" w:cs="Arial"/>
          <w:sz w:val="20"/>
          <w:szCs w:val="20"/>
        </w:rPr>
        <w:t>možné sled</w:t>
      </w:r>
      <w:r w:rsidR="009F6CFC">
        <w:rPr>
          <w:rFonts w:ascii="Arial" w:hAnsi="Arial" w:cs="Arial"/>
          <w:sz w:val="20"/>
          <w:szCs w:val="20"/>
        </w:rPr>
        <w:t xml:space="preserve">ovat </w:t>
      </w:r>
      <w:r w:rsidR="009D44DD">
        <w:rPr>
          <w:rFonts w:ascii="Arial" w:hAnsi="Arial" w:cs="Arial"/>
          <w:sz w:val="20"/>
          <w:szCs w:val="20"/>
        </w:rPr>
        <w:t>vývoj</w:t>
      </w:r>
      <w:r w:rsidR="009F6CFC">
        <w:rPr>
          <w:rFonts w:ascii="Arial" w:hAnsi="Arial" w:cs="Arial"/>
          <w:sz w:val="20"/>
          <w:szCs w:val="20"/>
        </w:rPr>
        <w:t xml:space="preserve"> v kontextu předchozích let</w:t>
      </w:r>
      <w:r w:rsidR="009D44DD" w:rsidRPr="003F0CAF">
        <w:rPr>
          <w:rFonts w:ascii="Arial" w:hAnsi="Arial" w:cs="Arial"/>
          <w:sz w:val="20"/>
          <w:szCs w:val="20"/>
        </w:rPr>
        <w:t xml:space="preserve">, </w:t>
      </w:r>
      <w:r w:rsidR="009F6CFC">
        <w:rPr>
          <w:rFonts w:ascii="Arial" w:hAnsi="Arial" w:cs="Arial"/>
          <w:sz w:val="20"/>
          <w:szCs w:val="20"/>
        </w:rPr>
        <w:t xml:space="preserve">podle něj se </w:t>
      </w:r>
      <w:r w:rsidR="009D44DD">
        <w:rPr>
          <w:rFonts w:ascii="Arial" w:hAnsi="Arial" w:cs="Arial"/>
          <w:sz w:val="20"/>
          <w:szCs w:val="20"/>
        </w:rPr>
        <w:t xml:space="preserve">na obdobné </w:t>
      </w:r>
      <w:r w:rsidR="009D44DD" w:rsidRPr="003F0CAF">
        <w:rPr>
          <w:rFonts w:ascii="Arial" w:hAnsi="Arial" w:cs="Arial"/>
          <w:sz w:val="20"/>
          <w:szCs w:val="20"/>
        </w:rPr>
        <w:t xml:space="preserve">úrovni </w:t>
      </w:r>
      <w:r w:rsidR="009F6CFC">
        <w:rPr>
          <w:rFonts w:ascii="Arial" w:hAnsi="Arial" w:cs="Arial"/>
          <w:sz w:val="20"/>
          <w:szCs w:val="20"/>
        </w:rPr>
        <w:t xml:space="preserve">pohybovala hodnota sazeb naposledy v létě roku </w:t>
      </w:r>
      <w:r w:rsidR="009D44DD">
        <w:rPr>
          <w:rFonts w:ascii="Arial" w:hAnsi="Arial" w:cs="Arial"/>
          <w:sz w:val="20"/>
          <w:szCs w:val="20"/>
        </w:rPr>
        <w:t>2018, tedy v období před čtyřmi lety</w:t>
      </w:r>
      <w:r w:rsidR="009D44DD" w:rsidRPr="003F0CAF">
        <w:rPr>
          <w:rFonts w:ascii="Arial" w:hAnsi="Arial" w:cs="Arial"/>
          <w:sz w:val="20"/>
          <w:szCs w:val="20"/>
        </w:rPr>
        <w:t>.</w:t>
      </w:r>
    </w:p>
    <w:p w14:paraId="050B85F1" w14:textId="261E2EEB" w:rsidR="00137474" w:rsidRDefault="00137474" w:rsidP="009D44DD">
      <w:pPr>
        <w:jc w:val="both"/>
        <w:rPr>
          <w:rFonts w:ascii="Arial" w:hAnsi="Arial" w:cs="Arial"/>
          <w:sz w:val="20"/>
          <w:szCs w:val="20"/>
        </w:rPr>
      </w:pPr>
    </w:p>
    <w:p w14:paraId="6EFAA1F8" w14:textId="615CFDD9" w:rsidR="00137474" w:rsidRPr="003F0CAF" w:rsidRDefault="00137474" w:rsidP="009D44DD">
      <w:pPr>
        <w:jc w:val="both"/>
        <w:rPr>
          <w:rFonts w:ascii="Arial" w:hAnsi="Arial" w:cs="Arial"/>
          <w:sz w:val="20"/>
          <w:szCs w:val="20"/>
        </w:rPr>
      </w:pPr>
      <w:r>
        <w:rPr>
          <w:rFonts w:ascii="Arial" w:hAnsi="Arial" w:cs="Arial"/>
          <w:sz w:val="20"/>
          <w:szCs w:val="20"/>
        </w:rPr>
        <w:t xml:space="preserve">Důvodem ke zvyšování úrokových sazeb je zejména zvýšení dvoutýdenních </w:t>
      </w:r>
      <w:proofErr w:type="spellStart"/>
      <w:r>
        <w:rPr>
          <w:rFonts w:ascii="Arial" w:hAnsi="Arial" w:cs="Arial"/>
          <w:sz w:val="20"/>
          <w:szCs w:val="20"/>
        </w:rPr>
        <w:t>repo</w:t>
      </w:r>
      <w:proofErr w:type="spellEnd"/>
      <w:r>
        <w:rPr>
          <w:rFonts w:ascii="Arial" w:hAnsi="Arial" w:cs="Arial"/>
          <w:sz w:val="20"/>
          <w:szCs w:val="20"/>
        </w:rPr>
        <w:t xml:space="preserve"> sazeb </w:t>
      </w:r>
      <w:r w:rsidR="00316FA6">
        <w:rPr>
          <w:rFonts w:ascii="Arial" w:hAnsi="Arial" w:cs="Arial"/>
          <w:sz w:val="20"/>
          <w:szCs w:val="20"/>
        </w:rPr>
        <w:t xml:space="preserve">České národní banky </w:t>
      </w:r>
      <w:r>
        <w:rPr>
          <w:rFonts w:ascii="Arial" w:hAnsi="Arial" w:cs="Arial"/>
          <w:sz w:val="20"/>
          <w:szCs w:val="20"/>
        </w:rPr>
        <w:t>o 1,25 procentního bodu. Bankovní rada ČNB na svém posledním zasedání</w:t>
      </w:r>
      <w:r w:rsidR="009F3DA2">
        <w:rPr>
          <w:rFonts w:ascii="Arial" w:hAnsi="Arial" w:cs="Arial"/>
          <w:sz w:val="20"/>
          <w:szCs w:val="20"/>
        </w:rPr>
        <w:t xml:space="preserve"> oznámila</w:t>
      </w:r>
      <w:r w:rsidR="00C915B4">
        <w:rPr>
          <w:rFonts w:ascii="Arial" w:hAnsi="Arial" w:cs="Arial"/>
          <w:sz w:val="20"/>
          <w:szCs w:val="20"/>
        </w:rPr>
        <w:t xml:space="preserve"> navýšení </w:t>
      </w:r>
      <w:r w:rsidR="009F3DA2">
        <w:rPr>
          <w:rFonts w:ascii="Arial" w:hAnsi="Arial" w:cs="Arial"/>
          <w:sz w:val="20"/>
          <w:szCs w:val="20"/>
        </w:rPr>
        <w:t>na celkových 7,00 %, čímž opakovaně zareagovala na nárůst inflačních tlaků v české ekonomice. Ačkoli bylo zvýšení sazby deklarováno předem minimálně o tři čtvrtě procentního bodu, ve skutečno</w:t>
      </w:r>
      <w:r w:rsidR="006D2B43">
        <w:rPr>
          <w:rFonts w:ascii="Arial" w:hAnsi="Arial" w:cs="Arial"/>
          <w:sz w:val="20"/>
          <w:szCs w:val="20"/>
        </w:rPr>
        <w:t>sti došlo ještě o další půl procentní</w:t>
      </w:r>
      <w:r w:rsidR="009F3DA2">
        <w:rPr>
          <w:rFonts w:ascii="Arial" w:hAnsi="Arial" w:cs="Arial"/>
          <w:sz w:val="20"/>
          <w:szCs w:val="20"/>
        </w:rPr>
        <w:t xml:space="preserve"> navýšení. </w:t>
      </w:r>
      <w:r w:rsidR="00C915B4">
        <w:rPr>
          <w:rFonts w:ascii="Arial" w:hAnsi="Arial" w:cs="Arial"/>
          <w:sz w:val="20"/>
          <w:szCs w:val="20"/>
        </w:rPr>
        <w:t>Trend se následně promítá i v úrokových sazbách b</w:t>
      </w:r>
      <w:r w:rsidR="009C79BD">
        <w:rPr>
          <w:rFonts w:ascii="Arial" w:hAnsi="Arial" w:cs="Arial"/>
          <w:sz w:val="20"/>
          <w:szCs w:val="20"/>
        </w:rPr>
        <w:t>ank. Většina z nich ovšem uvádí</w:t>
      </w:r>
      <w:r w:rsidR="00C915B4">
        <w:rPr>
          <w:rFonts w:ascii="Arial" w:hAnsi="Arial" w:cs="Arial"/>
          <w:sz w:val="20"/>
          <w:szCs w:val="20"/>
        </w:rPr>
        <w:t xml:space="preserve"> úrokové sazby OD určité výše, v konečné výši úroku totiž zohledňují celkové zhodnocení klienta </w:t>
      </w:r>
      <w:r w:rsidR="00316FA6">
        <w:rPr>
          <w:rFonts w:ascii="Arial" w:hAnsi="Arial" w:cs="Arial"/>
          <w:sz w:val="20"/>
          <w:szCs w:val="20"/>
        </w:rPr>
        <w:t>nebo</w:t>
      </w:r>
      <w:r w:rsidR="00C915B4">
        <w:rPr>
          <w:rFonts w:ascii="Arial" w:hAnsi="Arial" w:cs="Arial"/>
          <w:sz w:val="20"/>
          <w:szCs w:val="20"/>
        </w:rPr>
        <w:t xml:space="preserve"> například pojištění úvěru. </w:t>
      </w:r>
    </w:p>
    <w:p w14:paraId="433FC3E2" w14:textId="0D1308D4" w:rsidR="00C41DD9" w:rsidRDefault="00C41DD9" w:rsidP="00C41DD9">
      <w:pPr>
        <w:rPr>
          <w:rFonts w:ascii="Arial" w:hAnsi="Arial" w:cs="Arial"/>
        </w:rPr>
      </w:pPr>
    </w:p>
    <w:p w14:paraId="004A7E89" w14:textId="01FA3A0A" w:rsidR="00C41DD9" w:rsidRPr="00BE768F" w:rsidRDefault="00316FA6" w:rsidP="0010739A">
      <w:pPr>
        <w:jc w:val="both"/>
        <w:rPr>
          <w:rFonts w:ascii="Arial" w:hAnsi="Arial" w:cs="Arial"/>
          <w:sz w:val="20"/>
          <w:szCs w:val="20"/>
        </w:rPr>
      </w:pPr>
      <w:r w:rsidRPr="00BE768F">
        <w:rPr>
          <w:rFonts w:ascii="Arial" w:hAnsi="Arial" w:cs="Arial"/>
          <w:sz w:val="20"/>
          <w:szCs w:val="20"/>
        </w:rPr>
        <w:t>Vlivem rostoucí inflace</w:t>
      </w:r>
      <w:r w:rsidR="0010739A" w:rsidRPr="00BE768F">
        <w:rPr>
          <w:rFonts w:ascii="Arial" w:hAnsi="Arial" w:cs="Arial"/>
          <w:sz w:val="20"/>
          <w:szCs w:val="20"/>
        </w:rPr>
        <w:t xml:space="preserve"> </w:t>
      </w:r>
      <w:r w:rsidRPr="00BE768F">
        <w:rPr>
          <w:rFonts w:ascii="Arial" w:hAnsi="Arial" w:cs="Arial"/>
          <w:sz w:val="20"/>
          <w:szCs w:val="20"/>
        </w:rPr>
        <w:t>a zvyšujících se cen</w:t>
      </w:r>
      <w:r w:rsidR="0010739A" w:rsidRPr="00BE768F">
        <w:rPr>
          <w:rFonts w:ascii="Arial" w:hAnsi="Arial" w:cs="Arial"/>
          <w:sz w:val="20"/>
          <w:szCs w:val="20"/>
        </w:rPr>
        <w:t xml:space="preserve"> energií </w:t>
      </w:r>
      <w:r w:rsidRPr="00BE768F">
        <w:rPr>
          <w:rFonts w:ascii="Arial" w:hAnsi="Arial" w:cs="Arial"/>
          <w:sz w:val="20"/>
          <w:szCs w:val="20"/>
        </w:rPr>
        <w:t>stoupá počet</w:t>
      </w:r>
      <w:r w:rsidR="0010739A" w:rsidRPr="00BE768F">
        <w:rPr>
          <w:rFonts w:ascii="Arial" w:hAnsi="Arial" w:cs="Arial"/>
          <w:sz w:val="20"/>
          <w:szCs w:val="20"/>
        </w:rPr>
        <w:t xml:space="preserve"> domácností, které se dostávají do finančně nepříznivé situace. </w:t>
      </w:r>
      <w:r w:rsidR="00BE768F" w:rsidRPr="00BE768F">
        <w:rPr>
          <w:rFonts w:ascii="Arial" w:hAnsi="Arial" w:cs="Arial"/>
          <w:sz w:val="20"/>
          <w:szCs w:val="20"/>
        </w:rPr>
        <w:t>Kvůli z</w:t>
      </w:r>
      <w:r w:rsidR="0010739A" w:rsidRPr="00BE768F">
        <w:rPr>
          <w:rFonts w:ascii="Arial" w:hAnsi="Arial" w:cs="Arial"/>
          <w:sz w:val="20"/>
          <w:szCs w:val="20"/>
        </w:rPr>
        <w:t xml:space="preserve">dražování téměř všech komodit, </w:t>
      </w:r>
      <w:r w:rsidR="00BE768F" w:rsidRPr="00BE768F">
        <w:rPr>
          <w:rFonts w:ascii="Arial" w:hAnsi="Arial" w:cs="Arial"/>
          <w:sz w:val="20"/>
          <w:szCs w:val="20"/>
        </w:rPr>
        <w:t>které se promítá ve všech odvětvích (</w:t>
      </w:r>
      <w:r w:rsidR="0010739A" w:rsidRPr="00BE768F">
        <w:rPr>
          <w:rFonts w:ascii="Arial" w:hAnsi="Arial" w:cs="Arial"/>
          <w:sz w:val="20"/>
          <w:szCs w:val="20"/>
        </w:rPr>
        <w:t xml:space="preserve">vč. </w:t>
      </w:r>
      <w:r w:rsidRPr="00BE768F">
        <w:rPr>
          <w:rFonts w:ascii="Arial" w:hAnsi="Arial" w:cs="Arial"/>
          <w:sz w:val="20"/>
          <w:szCs w:val="20"/>
        </w:rPr>
        <w:t>služeb</w:t>
      </w:r>
      <w:r w:rsidR="00BE768F" w:rsidRPr="00BE768F">
        <w:rPr>
          <w:rFonts w:ascii="Arial" w:hAnsi="Arial" w:cs="Arial"/>
          <w:sz w:val="20"/>
          <w:szCs w:val="20"/>
        </w:rPr>
        <w:t>),</w:t>
      </w:r>
      <w:r w:rsidR="0010739A" w:rsidRPr="00BE768F">
        <w:rPr>
          <w:rFonts w:ascii="Arial" w:hAnsi="Arial" w:cs="Arial"/>
          <w:sz w:val="20"/>
          <w:szCs w:val="20"/>
        </w:rPr>
        <w:t xml:space="preserve"> naráží četná populace na možnosti svých rozpočtů. </w:t>
      </w:r>
      <w:r w:rsidR="0010739A" w:rsidRPr="00BE768F">
        <w:rPr>
          <w:rFonts w:ascii="Arial" w:hAnsi="Arial" w:cs="Arial"/>
          <w:b/>
          <w:sz w:val="20"/>
          <w:szCs w:val="20"/>
        </w:rPr>
        <w:t xml:space="preserve">Analytička hypotečních a spotřebitelských úvěrů ze společnosti Broker </w:t>
      </w:r>
      <w:proofErr w:type="spellStart"/>
      <w:r w:rsidR="0010739A" w:rsidRPr="00BE768F">
        <w:rPr>
          <w:rFonts w:ascii="Arial" w:hAnsi="Arial" w:cs="Arial"/>
          <w:b/>
          <w:sz w:val="20"/>
          <w:szCs w:val="20"/>
        </w:rPr>
        <w:t>Consulting</w:t>
      </w:r>
      <w:proofErr w:type="spellEnd"/>
      <w:r w:rsidR="0010739A" w:rsidRPr="00BE768F">
        <w:rPr>
          <w:rFonts w:ascii="Arial" w:hAnsi="Arial" w:cs="Arial"/>
          <w:b/>
          <w:sz w:val="20"/>
          <w:szCs w:val="20"/>
        </w:rPr>
        <w:t xml:space="preserve"> Michaela Pudilová proto upozorňuje:</w:t>
      </w:r>
      <w:r w:rsidR="0010739A" w:rsidRPr="00BE768F">
        <w:rPr>
          <w:rFonts w:ascii="Arial" w:hAnsi="Arial" w:cs="Arial"/>
          <w:sz w:val="20"/>
          <w:szCs w:val="20"/>
        </w:rPr>
        <w:t xml:space="preserve"> </w:t>
      </w:r>
      <w:r w:rsidR="009D44DD" w:rsidRPr="00BE768F">
        <w:rPr>
          <w:rFonts w:ascii="Arial" w:hAnsi="Arial" w:cs="Arial"/>
          <w:sz w:val="20"/>
          <w:szCs w:val="20"/>
        </w:rPr>
        <w:t>„</w:t>
      </w:r>
      <w:r w:rsidR="009D44DD" w:rsidRPr="00BE768F">
        <w:rPr>
          <w:rFonts w:ascii="Arial" w:hAnsi="Arial" w:cs="Arial"/>
          <w:i/>
          <w:sz w:val="20"/>
          <w:szCs w:val="20"/>
        </w:rPr>
        <w:t>V </w:t>
      </w:r>
      <w:r w:rsidR="00C41DD9" w:rsidRPr="00BE768F">
        <w:rPr>
          <w:rFonts w:ascii="Arial" w:hAnsi="Arial" w:cs="Arial"/>
          <w:i/>
          <w:sz w:val="20"/>
          <w:szCs w:val="20"/>
        </w:rPr>
        <w:t xml:space="preserve">případě </w:t>
      </w:r>
      <w:r w:rsidR="009D44DD" w:rsidRPr="00BE768F">
        <w:rPr>
          <w:rFonts w:ascii="Arial" w:hAnsi="Arial" w:cs="Arial"/>
          <w:i/>
          <w:sz w:val="20"/>
          <w:szCs w:val="20"/>
        </w:rPr>
        <w:t>pokrytí výdajů na domácnost není rozhodně</w:t>
      </w:r>
      <w:r w:rsidR="00C41DD9" w:rsidRPr="00BE768F">
        <w:rPr>
          <w:rFonts w:ascii="Arial" w:hAnsi="Arial" w:cs="Arial"/>
          <w:i/>
          <w:sz w:val="20"/>
          <w:szCs w:val="20"/>
        </w:rPr>
        <w:t xml:space="preserve"> krátkodobé řešení ve fo</w:t>
      </w:r>
      <w:r w:rsidR="009D44DD" w:rsidRPr="00BE768F">
        <w:rPr>
          <w:rFonts w:ascii="Arial" w:hAnsi="Arial" w:cs="Arial"/>
          <w:i/>
          <w:sz w:val="20"/>
          <w:szCs w:val="20"/>
        </w:rPr>
        <w:t xml:space="preserve">rmě spotřebitelského úvěru </w:t>
      </w:r>
      <w:r w:rsidR="00C41DD9" w:rsidRPr="00BE768F">
        <w:rPr>
          <w:rFonts w:ascii="Arial" w:hAnsi="Arial" w:cs="Arial"/>
          <w:i/>
          <w:sz w:val="20"/>
          <w:szCs w:val="20"/>
        </w:rPr>
        <w:t>vhodné. Může sice pokrýt jednorázovou platbu za vyúčtování energií, ale spíš je to</w:t>
      </w:r>
      <w:r w:rsidR="009D44DD" w:rsidRPr="00BE768F">
        <w:rPr>
          <w:rFonts w:ascii="Arial" w:hAnsi="Arial" w:cs="Arial"/>
          <w:i/>
          <w:sz w:val="20"/>
          <w:szCs w:val="20"/>
        </w:rPr>
        <w:t xml:space="preserve"> rychlá cesta do dluhové pasti</w:t>
      </w:r>
      <w:r w:rsidR="00BE768F" w:rsidRPr="00BE768F">
        <w:rPr>
          <w:rFonts w:ascii="Arial" w:hAnsi="Arial" w:cs="Arial"/>
          <w:sz w:val="20"/>
          <w:szCs w:val="20"/>
        </w:rPr>
        <w:t>.</w:t>
      </w:r>
      <w:r w:rsidR="009D44DD" w:rsidRPr="00BE768F">
        <w:rPr>
          <w:rFonts w:ascii="Arial" w:hAnsi="Arial" w:cs="Arial"/>
          <w:sz w:val="20"/>
          <w:szCs w:val="20"/>
        </w:rPr>
        <w:t>“</w:t>
      </w:r>
    </w:p>
    <w:p w14:paraId="44E5018C" w14:textId="77777777" w:rsidR="00C41DD9" w:rsidRPr="00BE768F" w:rsidRDefault="00C41DD9" w:rsidP="00C41DD9">
      <w:pPr>
        <w:rPr>
          <w:rFonts w:ascii="Arial" w:hAnsi="Arial" w:cs="Arial"/>
          <w:sz w:val="20"/>
          <w:szCs w:val="20"/>
        </w:rPr>
      </w:pPr>
    </w:p>
    <w:p w14:paraId="5FA053DD" w14:textId="18C99FCC" w:rsidR="00EB48E6" w:rsidRPr="00BE768F" w:rsidRDefault="00C41DD9" w:rsidP="00243C49">
      <w:pPr>
        <w:jc w:val="both"/>
        <w:rPr>
          <w:rFonts w:ascii="Arial" w:hAnsi="Arial" w:cs="Arial"/>
          <w:sz w:val="20"/>
          <w:szCs w:val="20"/>
        </w:rPr>
      </w:pPr>
      <w:r w:rsidRPr="00BE768F">
        <w:rPr>
          <w:rFonts w:ascii="Arial" w:hAnsi="Arial" w:cs="Arial"/>
          <w:sz w:val="20"/>
          <w:szCs w:val="20"/>
        </w:rPr>
        <w:t>Možná více než kdy jindy má smysl finanční plánování, díky kterému lze v b</w:t>
      </w:r>
      <w:r w:rsidR="00243C49" w:rsidRPr="00BE768F">
        <w:rPr>
          <w:rFonts w:ascii="Arial" w:hAnsi="Arial" w:cs="Arial"/>
          <w:sz w:val="20"/>
          <w:szCs w:val="20"/>
        </w:rPr>
        <w:t>udoucnu překlenout i období, kdy</w:t>
      </w:r>
      <w:r w:rsidRPr="00BE768F">
        <w:rPr>
          <w:rFonts w:ascii="Arial" w:hAnsi="Arial" w:cs="Arial"/>
          <w:sz w:val="20"/>
          <w:szCs w:val="20"/>
        </w:rPr>
        <w:t xml:space="preserve"> se</w:t>
      </w:r>
      <w:r w:rsidR="00BE768F" w:rsidRPr="00BE768F">
        <w:rPr>
          <w:rFonts w:ascii="Arial" w:hAnsi="Arial" w:cs="Arial"/>
          <w:sz w:val="20"/>
          <w:szCs w:val="20"/>
        </w:rPr>
        <w:t xml:space="preserve"> může finančně</w:t>
      </w:r>
      <w:r w:rsidR="00243C49" w:rsidRPr="00BE768F">
        <w:rPr>
          <w:rFonts w:ascii="Arial" w:hAnsi="Arial" w:cs="Arial"/>
          <w:sz w:val="20"/>
          <w:szCs w:val="20"/>
        </w:rPr>
        <w:t xml:space="preserve"> dařit </w:t>
      </w:r>
      <w:r w:rsidRPr="00BE768F">
        <w:rPr>
          <w:rFonts w:ascii="Arial" w:hAnsi="Arial" w:cs="Arial"/>
          <w:sz w:val="20"/>
          <w:szCs w:val="20"/>
        </w:rPr>
        <w:t>méně.</w:t>
      </w:r>
      <w:r w:rsidR="00BE768F" w:rsidRPr="00BE768F">
        <w:rPr>
          <w:rFonts w:ascii="Arial" w:hAnsi="Arial" w:cs="Arial"/>
          <w:sz w:val="20"/>
          <w:szCs w:val="20"/>
        </w:rPr>
        <w:t xml:space="preserve"> „</w:t>
      </w:r>
      <w:r w:rsidR="00BE768F" w:rsidRPr="00BE768F">
        <w:rPr>
          <w:rFonts w:ascii="Arial" w:hAnsi="Arial" w:cs="Arial"/>
          <w:i/>
          <w:sz w:val="20"/>
          <w:szCs w:val="20"/>
        </w:rPr>
        <w:t>Na místě je důslednější plánování příjmů a výdajů v rozpočtech jednotlivých domácností</w:t>
      </w:r>
      <w:r w:rsidR="00BE768F">
        <w:rPr>
          <w:rFonts w:ascii="Arial" w:hAnsi="Arial" w:cs="Arial"/>
          <w:i/>
          <w:sz w:val="20"/>
          <w:szCs w:val="20"/>
        </w:rPr>
        <w:br/>
      </w:r>
      <w:r w:rsidR="00BE768F" w:rsidRPr="00BE768F">
        <w:rPr>
          <w:rFonts w:ascii="Arial" w:hAnsi="Arial" w:cs="Arial"/>
          <w:i/>
          <w:sz w:val="20"/>
          <w:szCs w:val="20"/>
        </w:rPr>
        <w:t>i u jednotlivců</w:t>
      </w:r>
      <w:r w:rsidR="00BE768F" w:rsidRPr="00BE768F">
        <w:rPr>
          <w:rFonts w:ascii="Arial" w:hAnsi="Arial" w:cs="Arial"/>
          <w:sz w:val="20"/>
          <w:szCs w:val="20"/>
        </w:rPr>
        <w:t>,“ dodává Pudilová.</w:t>
      </w:r>
    </w:p>
    <w:p w14:paraId="5148662F" w14:textId="77777777" w:rsidR="00EB48E6" w:rsidRPr="00EB48E6" w:rsidRDefault="00EB48E6" w:rsidP="003F0CAF">
      <w:pPr>
        <w:jc w:val="both"/>
        <w:rPr>
          <w:rFonts w:ascii="Arial" w:hAnsi="Arial" w:cs="Arial"/>
          <w:iCs/>
          <w:sz w:val="20"/>
          <w:szCs w:val="20"/>
        </w:rPr>
      </w:pPr>
    </w:p>
    <w:p w14:paraId="7D9E8769" w14:textId="0A9BE758" w:rsidR="00EC3BED" w:rsidRPr="009D01A2" w:rsidRDefault="00EC3BED" w:rsidP="009D01A2">
      <w:pPr>
        <w:jc w:val="both"/>
        <w:rPr>
          <w:rFonts w:ascii="Arial" w:hAnsi="Arial" w:cs="Arial"/>
          <w:sz w:val="20"/>
          <w:szCs w:val="20"/>
        </w:rPr>
      </w:pPr>
    </w:p>
    <w:p w14:paraId="645DDC81" w14:textId="1D2D1E85" w:rsidR="008F3C6D" w:rsidRDefault="007046C5" w:rsidP="00C42C49">
      <w:pPr>
        <w:jc w:val="center"/>
        <w:rPr>
          <w:rFonts w:ascii="Arial" w:eastAsia="Times New Roman" w:hAnsi="Arial" w:cs="Arial"/>
          <w:b/>
          <w:color w:val="FF0000"/>
          <w:sz w:val="20"/>
          <w:szCs w:val="20"/>
        </w:rPr>
      </w:pPr>
      <w:r w:rsidRPr="007046C5">
        <w:rPr>
          <w:rFonts w:ascii="Arial" w:eastAsia="Times New Roman" w:hAnsi="Arial" w:cs="Arial"/>
          <w:b/>
          <w:noProof/>
          <w:color w:val="FF0000"/>
          <w:sz w:val="20"/>
          <w:szCs w:val="20"/>
          <w:lang w:bidi="ar-SA"/>
        </w:rPr>
        <w:drawing>
          <wp:inline distT="0" distB="0" distL="0" distR="0" wp14:anchorId="05C12F4C" wp14:editId="4BC09A1E">
            <wp:extent cx="6608962" cy="2934970"/>
            <wp:effectExtent l="0" t="0" r="1905" b="0"/>
            <wp:docPr id="3" name="Obrázek 3" descr="C:\Users\msahulova\Desktop\Index spotřebitelských úvěrů\GRAF BC Index spotřebitelských fondů - květe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hulova\Desktop\Index spotřebitelských úvěrů\GRAF BC Index spotřebitelských fondů - květen 20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0595" cy="2940136"/>
                    </a:xfrm>
                    <a:prstGeom prst="rect">
                      <a:avLst/>
                    </a:prstGeom>
                    <a:noFill/>
                    <a:ln>
                      <a:noFill/>
                    </a:ln>
                  </pic:spPr>
                </pic:pic>
              </a:graphicData>
            </a:graphic>
          </wp:inline>
        </w:drawing>
      </w:r>
    </w:p>
    <w:p w14:paraId="1FE6FB25" w14:textId="77777777" w:rsidR="00C42C49" w:rsidRDefault="00C42C49" w:rsidP="004B2FF6">
      <w:pPr>
        <w:jc w:val="both"/>
        <w:rPr>
          <w:rFonts w:ascii="Arial" w:hAnsi="Arial" w:cs="Arial"/>
          <w:sz w:val="20"/>
          <w:szCs w:val="20"/>
        </w:rPr>
      </w:pPr>
    </w:p>
    <w:p w14:paraId="4269CE9A" w14:textId="2304D419" w:rsidR="008F3C6D" w:rsidRDefault="008F3C6D" w:rsidP="004B2FF6">
      <w:pPr>
        <w:jc w:val="both"/>
        <w:rPr>
          <w:rFonts w:ascii="Arial" w:hAnsi="Arial" w:cs="Arial"/>
          <w:sz w:val="20"/>
          <w:szCs w:val="20"/>
        </w:rPr>
      </w:pPr>
      <w:r w:rsidRPr="00F51B95">
        <w:rPr>
          <w:rFonts w:ascii="Arial" w:hAnsi="Arial" w:cs="Arial"/>
          <w:sz w:val="20"/>
          <w:szCs w:val="20"/>
        </w:rPr>
        <w:t xml:space="preserve">Broker </w:t>
      </w:r>
      <w:proofErr w:type="spellStart"/>
      <w:r w:rsidRPr="00F51B95">
        <w:rPr>
          <w:rFonts w:ascii="Arial" w:hAnsi="Arial" w:cs="Arial"/>
          <w:sz w:val="20"/>
          <w:szCs w:val="20"/>
        </w:rPr>
        <w:t>Consulting</w:t>
      </w:r>
      <w:proofErr w:type="spellEnd"/>
      <w:r w:rsidRPr="00F51B95">
        <w:rPr>
          <w:rFonts w:ascii="Arial" w:hAnsi="Arial" w:cs="Arial"/>
          <w:sz w:val="20"/>
          <w:szCs w:val="20"/>
        </w:rPr>
        <w:t xml:space="preserve"> Index spotřebitelských úvěrů je analytický nástroj, který ukazuje průměrnou úrokovou sazbu </w:t>
      </w:r>
      <w:r w:rsidR="00BE768F">
        <w:rPr>
          <w:rFonts w:ascii="Arial" w:hAnsi="Arial" w:cs="Arial"/>
          <w:sz w:val="20"/>
          <w:szCs w:val="20"/>
        </w:rPr>
        <w:br/>
      </w:r>
      <w:r w:rsidRPr="00F51B95">
        <w:rPr>
          <w:rFonts w:ascii="Arial" w:hAnsi="Arial" w:cs="Arial"/>
          <w:sz w:val="20"/>
          <w:szCs w:val="20"/>
        </w:rPr>
        <w:t xml:space="preserve">u spotřebitelských úvěrů, jež zprostředkovali konzultanti Broker Consulting a pobočky OK POINT u kteréhokoli poskytovatele bankovních úvěrů. Jedná se o vážený aritmetický průměr, kdy hlavní vahou je objem úvěru. Tedy čím </w:t>
      </w:r>
      <w:r w:rsidRPr="00F51B95">
        <w:rPr>
          <w:rFonts w:ascii="Arial" w:hAnsi="Arial" w:cs="Arial"/>
          <w:sz w:val="20"/>
          <w:szCs w:val="20"/>
        </w:rPr>
        <w:lastRenderedPageBreak/>
        <w:t>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B4992BC" w14:textId="77777777" w:rsidR="00BE768F" w:rsidRPr="00F51B95" w:rsidRDefault="00BE768F" w:rsidP="004B2FF6">
      <w:pPr>
        <w:jc w:val="both"/>
        <w:rPr>
          <w:rFonts w:ascii="Arial" w:hAnsi="Arial" w:cs="Arial"/>
          <w:sz w:val="20"/>
          <w:szCs w:val="20"/>
        </w:rPr>
      </w:pPr>
    </w:p>
    <w:p w14:paraId="7027CA9A" w14:textId="77777777" w:rsidR="008F3C6D" w:rsidRDefault="008F3C6D" w:rsidP="004B2FF6">
      <w:pPr>
        <w:tabs>
          <w:tab w:val="left" w:pos="7152"/>
        </w:tabs>
        <w:jc w:val="both"/>
        <w:rPr>
          <w:rFonts w:ascii="Arial" w:hAnsi="Arial" w:cs="Arial"/>
          <w:b/>
          <w:sz w:val="18"/>
          <w:szCs w:val="16"/>
        </w:rPr>
      </w:pPr>
      <w:r>
        <w:rPr>
          <w:rFonts w:ascii="Arial" w:hAnsi="Arial" w:cs="Arial"/>
          <w:b/>
          <w:sz w:val="18"/>
          <w:szCs w:val="16"/>
        </w:rPr>
        <w:tab/>
      </w:r>
    </w:p>
    <w:p w14:paraId="41945BEC" w14:textId="77777777" w:rsidR="008F3C6D" w:rsidRPr="00B244B9" w:rsidRDefault="008F3C6D" w:rsidP="004B2FF6">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3974ED0" w14:textId="77777777" w:rsidR="008F3C6D" w:rsidRDefault="008F3C6D" w:rsidP="004B2FF6">
      <w:pPr>
        <w:tabs>
          <w:tab w:val="center" w:pos="5225"/>
        </w:tabs>
        <w:jc w:val="both"/>
        <w:rPr>
          <w:rFonts w:ascii="Arial" w:hAnsi="Arial" w:cs="Arial"/>
          <w:b/>
          <w:sz w:val="18"/>
        </w:rPr>
      </w:pPr>
    </w:p>
    <w:p w14:paraId="0EB778DA" w14:textId="77777777" w:rsidR="008F3C6D" w:rsidRDefault="008F3C6D" w:rsidP="008F3C6D">
      <w:pPr>
        <w:tabs>
          <w:tab w:val="center" w:pos="5225"/>
        </w:tabs>
        <w:jc w:val="both"/>
        <w:rPr>
          <w:rFonts w:ascii="Arial" w:hAnsi="Arial" w:cs="Arial"/>
          <w:b/>
          <w:sz w:val="18"/>
        </w:rPr>
      </w:pPr>
    </w:p>
    <w:p w14:paraId="2FA3FD44" w14:textId="77777777" w:rsidR="008F3C6D" w:rsidRPr="00347557" w:rsidRDefault="008F3C6D" w:rsidP="008F3C6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137EAC7" w14:textId="77777777" w:rsidR="008F3C6D" w:rsidRPr="00682D62" w:rsidRDefault="008F3C6D" w:rsidP="008F3C6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19369C4D" w14:textId="77777777" w:rsidR="008F3C6D" w:rsidRDefault="008F3C6D" w:rsidP="008F3C6D">
      <w:pPr>
        <w:jc w:val="both"/>
        <w:rPr>
          <w:sz w:val="20"/>
        </w:rPr>
      </w:pPr>
    </w:p>
    <w:p w14:paraId="5F16FECD" w14:textId="77777777" w:rsidR="008F3C6D" w:rsidRDefault="008F3C6D"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Default="008F3C6D" w:rsidP="008F3C6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11BFECA3" w14:textId="0E830060" w:rsidR="008F3C6D" w:rsidRPr="002A6FA3" w:rsidRDefault="008F3C6D" w:rsidP="008F3C6D">
      <w:pPr>
        <w:rPr>
          <w:rFonts w:ascii="Arial" w:eastAsia="Calibri" w:hAnsi="Arial" w:cs="Arial"/>
          <w:b/>
          <w:bCs/>
          <w:noProof/>
          <w:sz w:val="18"/>
          <w:szCs w:val="18"/>
          <w:lang w:bidi="ar-SA"/>
        </w:rPr>
      </w:pPr>
      <w:r>
        <w:rPr>
          <w:sz w:val="20"/>
        </w:rPr>
        <w:br/>
      </w:r>
      <w:r w:rsidR="00FA6B22">
        <w:rPr>
          <w:rFonts w:ascii="Arial" w:eastAsia="Calibri" w:hAnsi="Arial" w:cs="Arial"/>
          <w:b/>
          <w:bCs/>
          <w:noProof/>
          <w:sz w:val="18"/>
          <w:szCs w:val="18"/>
        </w:rPr>
        <w:t>Michaela Sahulová</w:t>
      </w:r>
    </w:p>
    <w:p w14:paraId="0AE5EEC0" w14:textId="77777777" w:rsidR="008F3C6D" w:rsidRPr="002A6FA3" w:rsidRDefault="008F3C6D" w:rsidP="008F3C6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320504CE" w14:textId="45B42FA6" w:rsidR="008F3C6D" w:rsidRPr="0056501A" w:rsidRDefault="003B0E4E" w:rsidP="008F3C6D">
      <w:pPr>
        <w:rPr>
          <w:rFonts w:ascii="Arial" w:eastAsia="Calibri" w:hAnsi="Arial" w:cs="Arial"/>
          <w:bCs/>
          <w:noProof/>
          <w:sz w:val="18"/>
          <w:szCs w:val="18"/>
        </w:rPr>
      </w:pPr>
      <w:r>
        <w:rPr>
          <w:rFonts w:ascii="Arial" w:eastAsia="Calibri" w:hAnsi="Arial" w:cs="Arial"/>
          <w:bCs/>
          <w:noProof/>
          <w:sz w:val="18"/>
          <w:szCs w:val="18"/>
        </w:rPr>
        <w:t>Broker Consulting, a.s.</w:t>
      </w:r>
    </w:p>
    <w:p w14:paraId="05963080" w14:textId="208EECFF" w:rsidR="008F3C6D" w:rsidRDefault="008F3C6D" w:rsidP="008F3C6D">
      <w:pPr>
        <w:rPr>
          <w:rFonts w:ascii="Arial" w:eastAsia="Calibri" w:hAnsi="Arial" w:cs="Arial"/>
          <w:noProof/>
          <w:sz w:val="18"/>
          <w:szCs w:val="18"/>
        </w:rPr>
      </w:pPr>
      <w:r w:rsidRPr="00FA6B22">
        <w:rPr>
          <w:rFonts w:ascii="Arial" w:eastAsia="Calibri" w:hAnsi="Arial" w:cs="Arial"/>
          <w:noProof/>
          <w:sz w:val="18"/>
          <w:szCs w:val="18"/>
        </w:rPr>
        <w:t>Office Park Nové Butovice (Budova B)</w:t>
      </w:r>
      <w:r w:rsidRPr="00FA6B22">
        <w:rPr>
          <w:rFonts w:ascii="Arial" w:eastAsia="Calibri" w:hAnsi="Arial" w:cs="Arial"/>
          <w:noProof/>
          <w:sz w:val="18"/>
          <w:szCs w:val="18"/>
        </w:rPr>
        <w:br/>
        <w:t>Bucharova 1423/6, 158 00 Praha 5</w:t>
      </w:r>
    </w:p>
    <w:p w14:paraId="1B4DF70A" w14:textId="24F83474" w:rsidR="005F7E72" w:rsidRPr="00E05804" w:rsidRDefault="005F7E72" w:rsidP="005F7E72">
      <w:pPr>
        <w:pStyle w:val="Bezmezer"/>
        <w:rPr>
          <w:rFonts w:ascii="Arial" w:eastAsia="Calibri" w:hAnsi="Arial" w:cs="Arial"/>
          <w:bCs/>
          <w:noProof/>
          <w:sz w:val="20"/>
          <w:szCs w:val="20"/>
        </w:rPr>
      </w:pPr>
      <w:r>
        <w:rPr>
          <w:rFonts w:ascii="Arial" w:eastAsia="Calibri" w:hAnsi="Arial" w:cs="Arial"/>
          <w:bCs/>
          <w:noProof/>
          <w:sz w:val="20"/>
          <w:szCs w:val="20"/>
        </w:rPr>
        <w:t>m</w:t>
      </w:r>
      <w:r w:rsidRPr="00E32181">
        <w:rPr>
          <w:rFonts w:ascii="Arial" w:eastAsia="Calibri" w:hAnsi="Arial" w:cs="Arial"/>
          <w:bCs/>
          <w:noProof/>
          <w:sz w:val="20"/>
          <w:szCs w:val="20"/>
        </w:rPr>
        <w:t>obil: +420</w:t>
      </w:r>
      <w:r>
        <w:rPr>
          <w:rFonts w:ascii="Arial" w:eastAsia="Calibri" w:hAnsi="Arial" w:cs="Arial"/>
          <w:noProof/>
          <w:sz w:val="20"/>
          <w:szCs w:val="20"/>
        </w:rPr>
        <w:t> 731 538 373</w:t>
      </w:r>
    </w:p>
    <w:p w14:paraId="45D37221" w14:textId="01E5AB91" w:rsidR="008F3C6D" w:rsidRDefault="008F3C6D" w:rsidP="008F3C6D">
      <w:pPr>
        <w:rPr>
          <w:rFonts w:ascii="Arial" w:hAnsi="Arial" w:cs="Arial"/>
          <w:sz w:val="18"/>
          <w:szCs w:val="18"/>
        </w:rPr>
      </w:pPr>
      <w:r w:rsidRPr="00FA6B22">
        <w:rPr>
          <w:rFonts w:ascii="Arial" w:eastAsia="Calibri" w:hAnsi="Arial" w:cs="Arial"/>
          <w:noProof/>
          <w:sz w:val="18"/>
          <w:szCs w:val="18"/>
        </w:rPr>
        <w:t xml:space="preserve">e-mail: </w:t>
      </w:r>
      <w:hyperlink r:id="rId25" w:history="1">
        <w:r w:rsidR="00FA6B22" w:rsidRPr="008F2BCF">
          <w:rPr>
            <w:rStyle w:val="Hypertextovodkaz"/>
            <w:rFonts w:ascii="Arial" w:hAnsi="Arial" w:cs="Arial"/>
            <w:sz w:val="18"/>
            <w:szCs w:val="18"/>
          </w:rPr>
          <w:t>michaela.sahulova@bcas.cz</w:t>
        </w:r>
      </w:hyperlink>
    </w:p>
    <w:p w14:paraId="1FBC071D" w14:textId="77777777" w:rsidR="00FA6B22" w:rsidRPr="00FA6B22" w:rsidRDefault="00FA6B22" w:rsidP="008F3C6D">
      <w:pPr>
        <w:rPr>
          <w:rFonts w:ascii="Arial" w:eastAsia="Calibri" w:hAnsi="Arial" w:cs="Arial"/>
          <w:noProof/>
          <w:sz w:val="18"/>
          <w:szCs w:val="18"/>
        </w:rPr>
      </w:pP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AC3B6" w14:textId="77777777" w:rsidR="00A16A29" w:rsidRDefault="00A16A29">
      <w:r>
        <w:separator/>
      </w:r>
    </w:p>
  </w:endnote>
  <w:endnote w:type="continuationSeparator" w:id="0">
    <w:p w14:paraId="111109E9" w14:textId="77777777" w:rsidR="00A16A29" w:rsidRDefault="00A16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A16A29"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" filled="f" stroked="f">
              <v:textbox inset="0,0,0,0">
                <w:txbxContent>
                  <w:p w14:paraId="38FC45A8" w14:textId="16B40CAC" w:rsidR="00D80B6D" w:rsidRPr="00081616" w:rsidRDefault="00DF5A2C"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A16A29"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" filled="f" stroked="f">
              <v:textbox inset="0,0,0,0">
                <w:txbxContent>
                  <w:p w14:paraId="11E61A37" w14:textId="77777777" w:rsidR="00D80B6D" w:rsidRPr="00E95698" w:rsidRDefault="00DF5A2C"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A16A29"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" filled="f" stroked="f">
              <v:textbox inset="0,0,0,0">
                <w:txbxContent>
                  <w:p w14:paraId="663644D1" w14:textId="77777777" w:rsidR="00D80B6D" w:rsidRPr="00943B58" w:rsidRDefault="00DF5A2C"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27102" w14:textId="77777777" w:rsidR="00A16A29" w:rsidRDefault="00A16A29">
      <w:r>
        <w:separator/>
      </w:r>
    </w:p>
  </w:footnote>
  <w:footnote w:type="continuationSeparator" w:id="0">
    <w:p w14:paraId="54070930" w14:textId="77777777" w:rsidR="00A16A29" w:rsidRDefault="00A16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7AC"/>
    <w:rsid w:val="00032D94"/>
    <w:rsid w:val="00036C73"/>
    <w:rsid w:val="000374D7"/>
    <w:rsid w:val="000400E4"/>
    <w:rsid w:val="00045B39"/>
    <w:rsid w:val="0005423A"/>
    <w:rsid w:val="00057018"/>
    <w:rsid w:val="000611E3"/>
    <w:rsid w:val="000618FE"/>
    <w:rsid w:val="00061ABB"/>
    <w:rsid w:val="00070675"/>
    <w:rsid w:val="000766E7"/>
    <w:rsid w:val="00080552"/>
    <w:rsid w:val="00081616"/>
    <w:rsid w:val="000853D4"/>
    <w:rsid w:val="0009776B"/>
    <w:rsid w:val="000B0D84"/>
    <w:rsid w:val="000B2F39"/>
    <w:rsid w:val="000B5339"/>
    <w:rsid w:val="000C1853"/>
    <w:rsid w:val="000C4C77"/>
    <w:rsid w:val="000D14E2"/>
    <w:rsid w:val="000D5F5D"/>
    <w:rsid w:val="000D7A4D"/>
    <w:rsid w:val="000E0EEC"/>
    <w:rsid w:val="000E168E"/>
    <w:rsid w:val="000E3D86"/>
    <w:rsid w:val="000F1EC4"/>
    <w:rsid w:val="000F6249"/>
    <w:rsid w:val="00103543"/>
    <w:rsid w:val="001069A1"/>
    <w:rsid w:val="0010739A"/>
    <w:rsid w:val="00111C28"/>
    <w:rsid w:val="00112079"/>
    <w:rsid w:val="00112D65"/>
    <w:rsid w:val="00114F7B"/>
    <w:rsid w:val="00123939"/>
    <w:rsid w:val="0013044E"/>
    <w:rsid w:val="00131A69"/>
    <w:rsid w:val="00137003"/>
    <w:rsid w:val="0013717C"/>
    <w:rsid w:val="00137474"/>
    <w:rsid w:val="00143EFE"/>
    <w:rsid w:val="00156082"/>
    <w:rsid w:val="00161D10"/>
    <w:rsid w:val="00164597"/>
    <w:rsid w:val="001675AF"/>
    <w:rsid w:val="00170556"/>
    <w:rsid w:val="00170D87"/>
    <w:rsid w:val="001767A5"/>
    <w:rsid w:val="00180051"/>
    <w:rsid w:val="0018460D"/>
    <w:rsid w:val="00191B34"/>
    <w:rsid w:val="00192716"/>
    <w:rsid w:val="00192C2A"/>
    <w:rsid w:val="00193550"/>
    <w:rsid w:val="00194C95"/>
    <w:rsid w:val="001A54DD"/>
    <w:rsid w:val="001B296D"/>
    <w:rsid w:val="001B29C7"/>
    <w:rsid w:val="001B501B"/>
    <w:rsid w:val="001D015A"/>
    <w:rsid w:val="001D3DFC"/>
    <w:rsid w:val="001D4EA8"/>
    <w:rsid w:val="001E22F1"/>
    <w:rsid w:val="001E3FBF"/>
    <w:rsid w:val="001E4209"/>
    <w:rsid w:val="001F25C4"/>
    <w:rsid w:val="001F2BE0"/>
    <w:rsid w:val="001F3CF1"/>
    <w:rsid w:val="001F7194"/>
    <w:rsid w:val="001F71BA"/>
    <w:rsid w:val="00200B65"/>
    <w:rsid w:val="002141AF"/>
    <w:rsid w:val="00220944"/>
    <w:rsid w:val="0023042D"/>
    <w:rsid w:val="0023469F"/>
    <w:rsid w:val="002368F3"/>
    <w:rsid w:val="002404A1"/>
    <w:rsid w:val="002406A8"/>
    <w:rsid w:val="00241313"/>
    <w:rsid w:val="00242D4D"/>
    <w:rsid w:val="00243075"/>
    <w:rsid w:val="00243C49"/>
    <w:rsid w:val="0024551C"/>
    <w:rsid w:val="0025264B"/>
    <w:rsid w:val="0025428A"/>
    <w:rsid w:val="00255182"/>
    <w:rsid w:val="00263C8C"/>
    <w:rsid w:val="002645E4"/>
    <w:rsid w:val="00270DB3"/>
    <w:rsid w:val="0028590C"/>
    <w:rsid w:val="002A0285"/>
    <w:rsid w:val="002A3F19"/>
    <w:rsid w:val="002A6FA3"/>
    <w:rsid w:val="002A7325"/>
    <w:rsid w:val="002B0728"/>
    <w:rsid w:val="002C0240"/>
    <w:rsid w:val="002C4A25"/>
    <w:rsid w:val="002D1619"/>
    <w:rsid w:val="002E633F"/>
    <w:rsid w:val="002F002B"/>
    <w:rsid w:val="002F05B2"/>
    <w:rsid w:val="002F485A"/>
    <w:rsid w:val="002F7EC2"/>
    <w:rsid w:val="003001F4"/>
    <w:rsid w:val="003028DB"/>
    <w:rsid w:val="003055CB"/>
    <w:rsid w:val="00306FE1"/>
    <w:rsid w:val="00307E95"/>
    <w:rsid w:val="00310BEB"/>
    <w:rsid w:val="0031287A"/>
    <w:rsid w:val="003128F8"/>
    <w:rsid w:val="00316FA6"/>
    <w:rsid w:val="0031712D"/>
    <w:rsid w:val="00320455"/>
    <w:rsid w:val="00321E19"/>
    <w:rsid w:val="003247B0"/>
    <w:rsid w:val="00330918"/>
    <w:rsid w:val="0034184F"/>
    <w:rsid w:val="00342F85"/>
    <w:rsid w:val="00345686"/>
    <w:rsid w:val="00347557"/>
    <w:rsid w:val="003502B4"/>
    <w:rsid w:val="00355366"/>
    <w:rsid w:val="00356752"/>
    <w:rsid w:val="00361D44"/>
    <w:rsid w:val="003629B6"/>
    <w:rsid w:val="00370C35"/>
    <w:rsid w:val="003721AD"/>
    <w:rsid w:val="0037300C"/>
    <w:rsid w:val="00374182"/>
    <w:rsid w:val="00383942"/>
    <w:rsid w:val="00383DC5"/>
    <w:rsid w:val="00385EED"/>
    <w:rsid w:val="00390B58"/>
    <w:rsid w:val="00392024"/>
    <w:rsid w:val="003A1549"/>
    <w:rsid w:val="003A2887"/>
    <w:rsid w:val="003A375A"/>
    <w:rsid w:val="003A43AB"/>
    <w:rsid w:val="003A6435"/>
    <w:rsid w:val="003B0E4E"/>
    <w:rsid w:val="003B0E4F"/>
    <w:rsid w:val="003C0CBE"/>
    <w:rsid w:val="003C5664"/>
    <w:rsid w:val="003C59A8"/>
    <w:rsid w:val="003C6F57"/>
    <w:rsid w:val="003C7F98"/>
    <w:rsid w:val="003D157E"/>
    <w:rsid w:val="003D1987"/>
    <w:rsid w:val="003E6537"/>
    <w:rsid w:val="003F0CAF"/>
    <w:rsid w:val="003F324C"/>
    <w:rsid w:val="003F7018"/>
    <w:rsid w:val="003F79EC"/>
    <w:rsid w:val="004041EF"/>
    <w:rsid w:val="004075C9"/>
    <w:rsid w:val="004116FD"/>
    <w:rsid w:val="0042193A"/>
    <w:rsid w:val="00433F20"/>
    <w:rsid w:val="00435342"/>
    <w:rsid w:val="00445D0A"/>
    <w:rsid w:val="00454843"/>
    <w:rsid w:val="004556BB"/>
    <w:rsid w:val="00457FFE"/>
    <w:rsid w:val="00460FA7"/>
    <w:rsid w:val="00461BF2"/>
    <w:rsid w:val="004627B9"/>
    <w:rsid w:val="004678E9"/>
    <w:rsid w:val="00473E24"/>
    <w:rsid w:val="00480982"/>
    <w:rsid w:val="00486655"/>
    <w:rsid w:val="004B2DF6"/>
    <w:rsid w:val="004B2FF6"/>
    <w:rsid w:val="004B5797"/>
    <w:rsid w:val="004C222D"/>
    <w:rsid w:val="004C3DD1"/>
    <w:rsid w:val="004C3F71"/>
    <w:rsid w:val="004D5CC6"/>
    <w:rsid w:val="004F6195"/>
    <w:rsid w:val="0050659B"/>
    <w:rsid w:val="005130A9"/>
    <w:rsid w:val="005153F7"/>
    <w:rsid w:val="00515952"/>
    <w:rsid w:val="005224C1"/>
    <w:rsid w:val="0053153F"/>
    <w:rsid w:val="00531C9F"/>
    <w:rsid w:val="005361AF"/>
    <w:rsid w:val="00536954"/>
    <w:rsid w:val="00540606"/>
    <w:rsid w:val="00541870"/>
    <w:rsid w:val="005436EC"/>
    <w:rsid w:val="00544A37"/>
    <w:rsid w:val="00545971"/>
    <w:rsid w:val="00554D18"/>
    <w:rsid w:val="0056501A"/>
    <w:rsid w:val="00573886"/>
    <w:rsid w:val="00577D19"/>
    <w:rsid w:val="005907CD"/>
    <w:rsid w:val="005A2139"/>
    <w:rsid w:val="005A37E5"/>
    <w:rsid w:val="005A4EB8"/>
    <w:rsid w:val="005A5BBA"/>
    <w:rsid w:val="005A5F08"/>
    <w:rsid w:val="005B3143"/>
    <w:rsid w:val="005B31D7"/>
    <w:rsid w:val="005C150C"/>
    <w:rsid w:val="005D52F3"/>
    <w:rsid w:val="005F6BD8"/>
    <w:rsid w:val="005F7E72"/>
    <w:rsid w:val="006135FD"/>
    <w:rsid w:val="006166CE"/>
    <w:rsid w:val="006218E4"/>
    <w:rsid w:val="0062747C"/>
    <w:rsid w:val="0064160C"/>
    <w:rsid w:val="006509E8"/>
    <w:rsid w:val="006542CA"/>
    <w:rsid w:val="0066135D"/>
    <w:rsid w:val="00664259"/>
    <w:rsid w:val="00664867"/>
    <w:rsid w:val="00667012"/>
    <w:rsid w:val="006768F0"/>
    <w:rsid w:val="00677078"/>
    <w:rsid w:val="00682D62"/>
    <w:rsid w:val="006839FB"/>
    <w:rsid w:val="00683F9A"/>
    <w:rsid w:val="006859AC"/>
    <w:rsid w:val="006859FD"/>
    <w:rsid w:val="0068617E"/>
    <w:rsid w:val="006902C0"/>
    <w:rsid w:val="00690415"/>
    <w:rsid w:val="00691527"/>
    <w:rsid w:val="006939E7"/>
    <w:rsid w:val="006A2F6C"/>
    <w:rsid w:val="006A3BE2"/>
    <w:rsid w:val="006A4E81"/>
    <w:rsid w:val="006B7185"/>
    <w:rsid w:val="006C5ED3"/>
    <w:rsid w:val="006C61E8"/>
    <w:rsid w:val="006D2B43"/>
    <w:rsid w:val="006D65EC"/>
    <w:rsid w:val="006E26DC"/>
    <w:rsid w:val="006E6A2F"/>
    <w:rsid w:val="006E70A0"/>
    <w:rsid w:val="006F32FB"/>
    <w:rsid w:val="007046C5"/>
    <w:rsid w:val="007052FC"/>
    <w:rsid w:val="00705D83"/>
    <w:rsid w:val="00710AF5"/>
    <w:rsid w:val="00710E0C"/>
    <w:rsid w:val="0072112F"/>
    <w:rsid w:val="00724267"/>
    <w:rsid w:val="00725BF5"/>
    <w:rsid w:val="007362E3"/>
    <w:rsid w:val="007408D1"/>
    <w:rsid w:val="00743627"/>
    <w:rsid w:val="00743E6A"/>
    <w:rsid w:val="00753B64"/>
    <w:rsid w:val="0076114C"/>
    <w:rsid w:val="0076280C"/>
    <w:rsid w:val="0076667F"/>
    <w:rsid w:val="00771B91"/>
    <w:rsid w:val="00772415"/>
    <w:rsid w:val="007725B8"/>
    <w:rsid w:val="00772FF0"/>
    <w:rsid w:val="007748AF"/>
    <w:rsid w:val="007753A0"/>
    <w:rsid w:val="00776CDE"/>
    <w:rsid w:val="007815BB"/>
    <w:rsid w:val="007824F4"/>
    <w:rsid w:val="00784109"/>
    <w:rsid w:val="0078525A"/>
    <w:rsid w:val="00785FC5"/>
    <w:rsid w:val="0078631B"/>
    <w:rsid w:val="00791A2B"/>
    <w:rsid w:val="00792EE9"/>
    <w:rsid w:val="0079572A"/>
    <w:rsid w:val="007969EF"/>
    <w:rsid w:val="007A1121"/>
    <w:rsid w:val="007A1122"/>
    <w:rsid w:val="007A15A6"/>
    <w:rsid w:val="007A6A4D"/>
    <w:rsid w:val="007A7C7B"/>
    <w:rsid w:val="007B152D"/>
    <w:rsid w:val="007B358E"/>
    <w:rsid w:val="007C0F6D"/>
    <w:rsid w:val="007D14AE"/>
    <w:rsid w:val="007E5614"/>
    <w:rsid w:val="007E768B"/>
    <w:rsid w:val="007F2DE8"/>
    <w:rsid w:val="007F4493"/>
    <w:rsid w:val="007F71F9"/>
    <w:rsid w:val="0080323F"/>
    <w:rsid w:val="008063BB"/>
    <w:rsid w:val="0081387C"/>
    <w:rsid w:val="0083053E"/>
    <w:rsid w:val="00831B5E"/>
    <w:rsid w:val="00832F5B"/>
    <w:rsid w:val="00841AC4"/>
    <w:rsid w:val="00845A34"/>
    <w:rsid w:val="00852BBB"/>
    <w:rsid w:val="00856D3C"/>
    <w:rsid w:val="00860609"/>
    <w:rsid w:val="00863FC3"/>
    <w:rsid w:val="00874C1A"/>
    <w:rsid w:val="00883A3E"/>
    <w:rsid w:val="0088579E"/>
    <w:rsid w:val="00885B2F"/>
    <w:rsid w:val="00891E25"/>
    <w:rsid w:val="008926E5"/>
    <w:rsid w:val="008926F3"/>
    <w:rsid w:val="008A04D3"/>
    <w:rsid w:val="008B4F0F"/>
    <w:rsid w:val="008C1795"/>
    <w:rsid w:val="008C2254"/>
    <w:rsid w:val="008C3938"/>
    <w:rsid w:val="008C4B0D"/>
    <w:rsid w:val="008E1286"/>
    <w:rsid w:val="008E19F3"/>
    <w:rsid w:val="008F3C6D"/>
    <w:rsid w:val="008F6AAF"/>
    <w:rsid w:val="00901E1F"/>
    <w:rsid w:val="00906E67"/>
    <w:rsid w:val="00915ADA"/>
    <w:rsid w:val="0092097A"/>
    <w:rsid w:val="009222C9"/>
    <w:rsid w:val="009228CF"/>
    <w:rsid w:val="00925499"/>
    <w:rsid w:val="00930569"/>
    <w:rsid w:val="00932625"/>
    <w:rsid w:val="009344C2"/>
    <w:rsid w:val="0094705C"/>
    <w:rsid w:val="00957739"/>
    <w:rsid w:val="00957B41"/>
    <w:rsid w:val="009631E0"/>
    <w:rsid w:val="009674F1"/>
    <w:rsid w:val="009A52BA"/>
    <w:rsid w:val="009A69B1"/>
    <w:rsid w:val="009A700C"/>
    <w:rsid w:val="009C0ECA"/>
    <w:rsid w:val="009C45BA"/>
    <w:rsid w:val="009C79BD"/>
    <w:rsid w:val="009D01A2"/>
    <w:rsid w:val="009D44DD"/>
    <w:rsid w:val="009D7493"/>
    <w:rsid w:val="009E317D"/>
    <w:rsid w:val="009E31C0"/>
    <w:rsid w:val="009E3B52"/>
    <w:rsid w:val="009F2CB2"/>
    <w:rsid w:val="009F342D"/>
    <w:rsid w:val="009F3DA2"/>
    <w:rsid w:val="009F59EE"/>
    <w:rsid w:val="009F6CFC"/>
    <w:rsid w:val="00A069E2"/>
    <w:rsid w:val="00A07639"/>
    <w:rsid w:val="00A10289"/>
    <w:rsid w:val="00A11C90"/>
    <w:rsid w:val="00A1395B"/>
    <w:rsid w:val="00A13D4D"/>
    <w:rsid w:val="00A16A29"/>
    <w:rsid w:val="00A16E82"/>
    <w:rsid w:val="00A252BA"/>
    <w:rsid w:val="00A26285"/>
    <w:rsid w:val="00A27A7B"/>
    <w:rsid w:val="00A36D79"/>
    <w:rsid w:val="00A41EA4"/>
    <w:rsid w:val="00A44FE0"/>
    <w:rsid w:val="00A4618A"/>
    <w:rsid w:val="00A50D03"/>
    <w:rsid w:val="00A712B2"/>
    <w:rsid w:val="00A7796E"/>
    <w:rsid w:val="00A9085F"/>
    <w:rsid w:val="00A93A25"/>
    <w:rsid w:val="00AA0920"/>
    <w:rsid w:val="00AA469A"/>
    <w:rsid w:val="00AA6E6D"/>
    <w:rsid w:val="00AA79D9"/>
    <w:rsid w:val="00AB50FF"/>
    <w:rsid w:val="00AC4BEC"/>
    <w:rsid w:val="00AC614D"/>
    <w:rsid w:val="00AD1F39"/>
    <w:rsid w:val="00AD4BC3"/>
    <w:rsid w:val="00AE313F"/>
    <w:rsid w:val="00AF042F"/>
    <w:rsid w:val="00B00C49"/>
    <w:rsid w:val="00B03105"/>
    <w:rsid w:val="00B03461"/>
    <w:rsid w:val="00B07F42"/>
    <w:rsid w:val="00B11974"/>
    <w:rsid w:val="00B12CF8"/>
    <w:rsid w:val="00B244B9"/>
    <w:rsid w:val="00B24559"/>
    <w:rsid w:val="00B27178"/>
    <w:rsid w:val="00B310C3"/>
    <w:rsid w:val="00B42229"/>
    <w:rsid w:val="00B43ABC"/>
    <w:rsid w:val="00B44FA9"/>
    <w:rsid w:val="00B51125"/>
    <w:rsid w:val="00B52CDF"/>
    <w:rsid w:val="00B60D60"/>
    <w:rsid w:val="00B65687"/>
    <w:rsid w:val="00B65A3B"/>
    <w:rsid w:val="00B67AF0"/>
    <w:rsid w:val="00B72C6B"/>
    <w:rsid w:val="00B83D7B"/>
    <w:rsid w:val="00B91131"/>
    <w:rsid w:val="00B94E88"/>
    <w:rsid w:val="00B95BB2"/>
    <w:rsid w:val="00B95EBA"/>
    <w:rsid w:val="00BA04AB"/>
    <w:rsid w:val="00BA23D8"/>
    <w:rsid w:val="00BA35C9"/>
    <w:rsid w:val="00BA3EE0"/>
    <w:rsid w:val="00BB4D49"/>
    <w:rsid w:val="00BB6439"/>
    <w:rsid w:val="00BB675F"/>
    <w:rsid w:val="00BC331B"/>
    <w:rsid w:val="00BC3E08"/>
    <w:rsid w:val="00BD17B0"/>
    <w:rsid w:val="00BD5A47"/>
    <w:rsid w:val="00BD5FB6"/>
    <w:rsid w:val="00BE2BCC"/>
    <w:rsid w:val="00BE3896"/>
    <w:rsid w:val="00BE768F"/>
    <w:rsid w:val="00C03192"/>
    <w:rsid w:val="00C23E32"/>
    <w:rsid w:val="00C251C4"/>
    <w:rsid w:val="00C314C1"/>
    <w:rsid w:val="00C31917"/>
    <w:rsid w:val="00C40571"/>
    <w:rsid w:val="00C41DD9"/>
    <w:rsid w:val="00C427DA"/>
    <w:rsid w:val="00C42C49"/>
    <w:rsid w:val="00C42FAF"/>
    <w:rsid w:val="00C56D0A"/>
    <w:rsid w:val="00C863A3"/>
    <w:rsid w:val="00C864DC"/>
    <w:rsid w:val="00C915B4"/>
    <w:rsid w:val="00C94EEA"/>
    <w:rsid w:val="00CA1722"/>
    <w:rsid w:val="00CA7673"/>
    <w:rsid w:val="00CB1227"/>
    <w:rsid w:val="00CB1255"/>
    <w:rsid w:val="00CB18B1"/>
    <w:rsid w:val="00CB38CA"/>
    <w:rsid w:val="00CB66A2"/>
    <w:rsid w:val="00CB6F2B"/>
    <w:rsid w:val="00CC1067"/>
    <w:rsid w:val="00CC2EC2"/>
    <w:rsid w:val="00CD3324"/>
    <w:rsid w:val="00CD6162"/>
    <w:rsid w:val="00CE4309"/>
    <w:rsid w:val="00CE6C6E"/>
    <w:rsid w:val="00D01832"/>
    <w:rsid w:val="00D04527"/>
    <w:rsid w:val="00D21C96"/>
    <w:rsid w:val="00D30854"/>
    <w:rsid w:val="00D31127"/>
    <w:rsid w:val="00D33134"/>
    <w:rsid w:val="00D366B5"/>
    <w:rsid w:val="00D4052C"/>
    <w:rsid w:val="00D4538C"/>
    <w:rsid w:val="00D4539F"/>
    <w:rsid w:val="00D472C6"/>
    <w:rsid w:val="00D54957"/>
    <w:rsid w:val="00D6041B"/>
    <w:rsid w:val="00D60D98"/>
    <w:rsid w:val="00D61018"/>
    <w:rsid w:val="00D72F33"/>
    <w:rsid w:val="00D80B6D"/>
    <w:rsid w:val="00D80CAD"/>
    <w:rsid w:val="00D8513A"/>
    <w:rsid w:val="00D85BBB"/>
    <w:rsid w:val="00D90628"/>
    <w:rsid w:val="00D92D49"/>
    <w:rsid w:val="00D930E7"/>
    <w:rsid w:val="00D93D7A"/>
    <w:rsid w:val="00D9690A"/>
    <w:rsid w:val="00DA08E6"/>
    <w:rsid w:val="00DA50BA"/>
    <w:rsid w:val="00DA55A8"/>
    <w:rsid w:val="00DA7B87"/>
    <w:rsid w:val="00DB0266"/>
    <w:rsid w:val="00DB63D9"/>
    <w:rsid w:val="00DB7E77"/>
    <w:rsid w:val="00DC0B27"/>
    <w:rsid w:val="00DC30D0"/>
    <w:rsid w:val="00DC7E88"/>
    <w:rsid w:val="00DD7FC1"/>
    <w:rsid w:val="00DF0000"/>
    <w:rsid w:val="00DF020C"/>
    <w:rsid w:val="00DF5A2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A4F68"/>
    <w:rsid w:val="00EB4785"/>
    <w:rsid w:val="00EB48E6"/>
    <w:rsid w:val="00EB716B"/>
    <w:rsid w:val="00EC3BED"/>
    <w:rsid w:val="00EC7BC1"/>
    <w:rsid w:val="00EC7F0E"/>
    <w:rsid w:val="00ED2D1F"/>
    <w:rsid w:val="00ED47B9"/>
    <w:rsid w:val="00ED58E9"/>
    <w:rsid w:val="00ED79D6"/>
    <w:rsid w:val="00EE1831"/>
    <w:rsid w:val="00EE63BE"/>
    <w:rsid w:val="00EE6922"/>
    <w:rsid w:val="00EF0284"/>
    <w:rsid w:val="00EF18D9"/>
    <w:rsid w:val="00EF1AE7"/>
    <w:rsid w:val="00EF2F7C"/>
    <w:rsid w:val="00F01BFC"/>
    <w:rsid w:val="00F101B3"/>
    <w:rsid w:val="00F13FDA"/>
    <w:rsid w:val="00F14982"/>
    <w:rsid w:val="00F20D55"/>
    <w:rsid w:val="00F250B8"/>
    <w:rsid w:val="00F2598D"/>
    <w:rsid w:val="00F31B7E"/>
    <w:rsid w:val="00F336A2"/>
    <w:rsid w:val="00F34E7C"/>
    <w:rsid w:val="00F4229F"/>
    <w:rsid w:val="00F44AEB"/>
    <w:rsid w:val="00F45620"/>
    <w:rsid w:val="00F46BBD"/>
    <w:rsid w:val="00F51B95"/>
    <w:rsid w:val="00F5432C"/>
    <w:rsid w:val="00F5470D"/>
    <w:rsid w:val="00F5611C"/>
    <w:rsid w:val="00F66B41"/>
    <w:rsid w:val="00F712AB"/>
    <w:rsid w:val="00F77D7D"/>
    <w:rsid w:val="00F82DDB"/>
    <w:rsid w:val="00F83CDB"/>
    <w:rsid w:val="00F8771B"/>
    <w:rsid w:val="00F9173C"/>
    <w:rsid w:val="00FA1C73"/>
    <w:rsid w:val="00FA6B22"/>
    <w:rsid w:val="00FA73E5"/>
    <w:rsid w:val="00FB18D0"/>
    <w:rsid w:val="00FB2ED6"/>
    <w:rsid w:val="00FB53F1"/>
    <w:rsid w:val="00FC23FE"/>
    <w:rsid w:val="00FC2522"/>
    <w:rsid w:val="00FC5B56"/>
    <w:rsid w:val="00FC7D97"/>
    <w:rsid w:val="00FD4B12"/>
    <w:rsid w:val="00FD7195"/>
    <w:rsid w:val="00FD747A"/>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E377F-EAE8-4F97-9C31-16C129BE5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3</Pages>
  <Words>913</Words>
  <Characters>5391</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15</cp:revision>
  <dcterms:created xsi:type="dcterms:W3CDTF">2022-06-09T15:47:00Z</dcterms:created>
  <dcterms:modified xsi:type="dcterms:W3CDTF">2022-07-12T12:10:00Z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