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ve spolupráci s </w:t>
          </w:r>
          <w:proofErr w:type="spellStart"/>
          <w:r w:rsidRPr="00D84B7D">
            <w:rPr>
              <w:rFonts w:ascii="Arial" w:hAnsi="Arial" w:cs="Arial"/>
              <w:sz w:val="18"/>
            </w:rPr>
            <w:t>mBank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6545F8" w:rsidRDefault="00866791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623A256D" w:rsidR="00D40C89" w:rsidRPr="00A37A20" w:rsidRDefault="00CD12BC" w:rsidP="00352435">
      <w:pPr>
        <w:jc w:val="center"/>
        <w:rPr>
          <w:rFonts w:ascii="Arial" w:hAnsi="Arial" w:cs="Arial"/>
          <w:b/>
          <w:sz w:val="30"/>
          <w:szCs w:val="30"/>
        </w:rPr>
      </w:pPr>
      <w:r w:rsidRPr="00A37A20">
        <w:rPr>
          <w:rFonts w:ascii="Arial" w:hAnsi="Arial" w:cs="Arial"/>
          <w:b/>
          <w:sz w:val="30"/>
          <w:szCs w:val="30"/>
        </w:rPr>
        <w:t xml:space="preserve">Růst </w:t>
      </w:r>
      <w:r w:rsidR="00352435">
        <w:rPr>
          <w:rFonts w:ascii="Arial" w:hAnsi="Arial" w:cs="Arial"/>
          <w:b/>
          <w:sz w:val="30"/>
          <w:szCs w:val="30"/>
        </w:rPr>
        <w:t>úrokových</w:t>
      </w:r>
      <w:r w:rsidRPr="00A37A20">
        <w:rPr>
          <w:rFonts w:ascii="Arial" w:hAnsi="Arial" w:cs="Arial"/>
          <w:b/>
          <w:sz w:val="30"/>
          <w:szCs w:val="30"/>
        </w:rPr>
        <w:t xml:space="preserve"> sazeb </w:t>
      </w:r>
      <w:r w:rsidR="00352435">
        <w:rPr>
          <w:rFonts w:ascii="Arial" w:hAnsi="Arial" w:cs="Arial"/>
          <w:b/>
          <w:sz w:val="30"/>
          <w:szCs w:val="30"/>
        </w:rPr>
        <w:t xml:space="preserve">hypoték dál </w:t>
      </w:r>
      <w:r w:rsidR="009E0C76">
        <w:rPr>
          <w:rFonts w:ascii="Arial" w:hAnsi="Arial" w:cs="Arial"/>
          <w:b/>
          <w:sz w:val="30"/>
          <w:szCs w:val="30"/>
        </w:rPr>
        <w:t xml:space="preserve">pokračuje. Průměrná sazba </w:t>
      </w:r>
      <w:r w:rsidR="00352435">
        <w:rPr>
          <w:rFonts w:ascii="Arial" w:hAnsi="Arial" w:cs="Arial"/>
          <w:b/>
          <w:sz w:val="30"/>
          <w:szCs w:val="30"/>
        </w:rPr>
        <w:t>vystoupala na hodnotu 4,75</w:t>
      </w:r>
      <w:r w:rsidRPr="00A37A20">
        <w:rPr>
          <w:rFonts w:ascii="Arial" w:hAnsi="Arial" w:cs="Arial"/>
          <w:b/>
          <w:sz w:val="30"/>
          <w:szCs w:val="30"/>
        </w:rPr>
        <w:t xml:space="preserve"> %</w:t>
      </w:r>
    </w:p>
    <w:p w14:paraId="2394C9D1" w14:textId="77777777" w:rsidR="00896FD6" w:rsidRPr="006545F8" w:rsidRDefault="00896FD6" w:rsidP="00D74A93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Default="00917F21" w:rsidP="001B7936">
      <w:pPr>
        <w:jc w:val="both"/>
        <w:rPr>
          <w:rFonts w:ascii="Arial" w:hAnsi="Arial" w:cs="Arial"/>
          <w:i/>
          <w:sz w:val="20"/>
          <w:szCs w:val="20"/>
        </w:rPr>
      </w:pPr>
    </w:p>
    <w:p w14:paraId="49BF5FAC" w14:textId="0A348557" w:rsidR="008F2226" w:rsidRPr="002B1E20" w:rsidRDefault="00352435" w:rsidP="009345C9">
      <w:pPr>
        <w:jc w:val="both"/>
        <w:rPr>
          <w:rFonts w:ascii="Arial" w:hAnsi="Arial" w:cs="Arial"/>
          <w:b/>
        </w:rPr>
      </w:pPr>
      <w:r w:rsidRPr="002B1E20">
        <w:rPr>
          <w:rFonts w:ascii="Arial" w:hAnsi="Arial" w:cs="Arial"/>
          <w:i/>
          <w:sz w:val="20"/>
          <w:szCs w:val="20"/>
        </w:rPr>
        <w:t>Praha, 7</w:t>
      </w:r>
      <w:r w:rsidR="00D47B8A" w:rsidRPr="002B1E20">
        <w:rPr>
          <w:rFonts w:ascii="Arial" w:hAnsi="Arial" w:cs="Arial"/>
          <w:i/>
          <w:sz w:val="20"/>
          <w:szCs w:val="20"/>
        </w:rPr>
        <w:t xml:space="preserve">. </w:t>
      </w:r>
      <w:r w:rsidRPr="002B1E20">
        <w:rPr>
          <w:rFonts w:ascii="Arial" w:hAnsi="Arial" w:cs="Arial"/>
          <w:i/>
          <w:sz w:val="20"/>
          <w:szCs w:val="20"/>
        </w:rPr>
        <w:t>června</w:t>
      </w:r>
      <w:r w:rsidR="009C283B" w:rsidRPr="002B1E20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2B1E20">
        <w:rPr>
          <w:rFonts w:ascii="Arial" w:hAnsi="Arial" w:cs="Arial"/>
        </w:rPr>
        <w:t xml:space="preserve"> </w:t>
      </w:r>
      <w:r w:rsidR="000851AC" w:rsidRPr="002B1E20">
        <w:rPr>
          <w:rFonts w:ascii="Arial" w:hAnsi="Arial" w:cs="Arial"/>
        </w:rPr>
        <w:t>–</w:t>
      </w:r>
      <w:r w:rsidR="00A37A20" w:rsidRPr="002B1E20">
        <w:rPr>
          <w:rFonts w:ascii="Arial" w:hAnsi="Arial" w:cs="Arial"/>
          <w:b/>
        </w:rPr>
        <w:t xml:space="preserve"> P</w:t>
      </w:r>
      <w:r w:rsidR="003555BB" w:rsidRPr="002B1E20">
        <w:rPr>
          <w:rFonts w:ascii="Arial" w:hAnsi="Arial" w:cs="Arial"/>
          <w:b/>
        </w:rPr>
        <w:t>růměrn</w:t>
      </w:r>
      <w:r w:rsidR="00A37A20" w:rsidRPr="002B1E20">
        <w:rPr>
          <w:rFonts w:ascii="Arial" w:hAnsi="Arial" w:cs="Arial"/>
          <w:b/>
        </w:rPr>
        <w:t>á</w:t>
      </w:r>
      <w:r w:rsidR="003555BB" w:rsidRPr="002B1E20">
        <w:rPr>
          <w:rFonts w:ascii="Arial" w:hAnsi="Arial" w:cs="Arial"/>
          <w:b/>
        </w:rPr>
        <w:t xml:space="preserve"> úrokov</w:t>
      </w:r>
      <w:r w:rsidR="00A37A20" w:rsidRPr="002B1E20">
        <w:rPr>
          <w:rFonts w:ascii="Arial" w:hAnsi="Arial" w:cs="Arial"/>
          <w:b/>
        </w:rPr>
        <w:t>á</w:t>
      </w:r>
      <w:r w:rsidR="003555BB" w:rsidRPr="002B1E20">
        <w:rPr>
          <w:rFonts w:ascii="Arial" w:hAnsi="Arial" w:cs="Arial"/>
          <w:b/>
        </w:rPr>
        <w:t xml:space="preserve"> sazb</w:t>
      </w:r>
      <w:r w:rsidR="00A37A20" w:rsidRPr="002B1E20">
        <w:rPr>
          <w:rFonts w:ascii="Arial" w:hAnsi="Arial" w:cs="Arial"/>
          <w:b/>
        </w:rPr>
        <w:t>a</w:t>
      </w:r>
      <w:r w:rsidR="003555BB" w:rsidRPr="002B1E20">
        <w:rPr>
          <w:rFonts w:ascii="Arial" w:hAnsi="Arial" w:cs="Arial"/>
          <w:b/>
        </w:rPr>
        <w:t xml:space="preserve"> hypoték </w:t>
      </w:r>
      <w:r w:rsidRPr="002B1E20">
        <w:rPr>
          <w:rFonts w:ascii="Arial" w:hAnsi="Arial" w:cs="Arial"/>
          <w:b/>
        </w:rPr>
        <w:t>se v květnu přiblížila k</w:t>
      </w:r>
      <w:r w:rsidR="00A37A20" w:rsidRPr="002B1E20">
        <w:rPr>
          <w:rFonts w:ascii="Arial" w:hAnsi="Arial" w:cs="Arial"/>
          <w:b/>
        </w:rPr>
        <w:t xml:space="preserve"> h</w:t>
      </w:r>
      <w:r w:rsidR="003555BB" w:rsidRPr="002B1E20">
        <w:rPr>
          <w:rFonts w:ascii="Arial" w:hAnsi="Arial" w:cs="Arial"/>
          <w:b/>
        </w:rPr>
        <w:t xml:space="preserve">ranici 5 %. </w:t>
      </w:r>
      <w:r w:rsidRPr="002B1E20">
        <w:rPr>
          <w:rFonts w:ascii="Arial" w:hAnsi="Arial" w:cs="Arial"/>
          <w:b/>
        </w:rPr>
        <w:t>Dokládají to výsledky</w:t>
      </w:r>
      <w:r w:rsidR="003555BB" w:rsidRPr="002B1E20">
        <w:rPr>
          <w:rFonts w:ascii="Arial" w:hAnsi="Arial" w:cs="Arial"/>
          <w:b/>
        </w:rPr>
        <w:t xml:space="preserve"> </w:t>
      </w:r>
      <w:r w:rsidR="00CF2033">
        <w:rPr>
          <w:rFonts w:ascii="Arial" w:hAnsi="Arial" w:cs="Arial"/>
          <w:b/>
        </w:rPr>
        <w:t xml:space="preserve">Broker </w:t>
      </w:r>
      <w:proofErr w:type="spellStart"/>
      <w:r w:rsidR="00CF2033">
        <w:rPr>
          <w:rFonts w:ascii="Arial" w:hAnsi="Arial" w:cs="Arial"/>
          <w:b/>
        </w:rPr>
        <w:t>Consulting</w:t>
      </w:r>
      <w:proofErr w:type="spellEnd"/>
      <w:r w:rsidR="00CF2033">
        <w:rPr>
          <w:rFonts w:ascii="Arial" w:hAnsi="Arial" w:cs="Arial"/>
          <w:b/>
        </w:rPr>
        <w:t xml:space="preserve"> I</w:t>
      </w:r>
      <w:r w:rsidRPr="002B1E20">
        <w:rPr>
          <w:rFonts w:ascii="Arial" w:hAnsi="Arial" w:cs="Arial"/>
          <w:b/>
        </w:rPr>
        <w:t>ndexu hypotečních úvěrů</w:t>
      </w:r>
      <w:r w:rsidR="003555BB" w:rsidRPr="002B1E20">
        <w:rPr>
          <w:rFonts w:ascii="Arial" w:hAnsi="Arial" w:cs="Arial"/>
          <w:b/>
        </w:rPr>
        <w:t>, jeho</w:t>
      </w:r>
      <w:r w:rsidR="008F2226" w:rsidRPr="002B1E20">
        <w:rPr>
          <w:rFonts w:ascii="Arial" w:hAnsi="Arial" w:cs="Arial"/>
          <w:b/>
        </w:rPr>
        <w:t>ž</w:t>
      </w:r>
      <w:r w:rsidR="003555BB" w:rsidRPr="002B1E20">
        <w:rPr>
          <w:rFonts w:ascii="Arial" w:hAnsi="Arial" w:cs="Arial"/>
          <w:b/>
        </w:rPr>
        <w:t xml:space="preserve"> hodnota meziměsíčně vzrostla </w:t>
      </w:r>
      <w:r w:rsidR="00A553A9" w:rsidRPr="002B1E20">
        <w:rPr>
          <w:rFonts w:ascii="Arial" w:hAnsi="Arial" w:cs="Arial"/>
          <w:b/>
        </w:rPr>
        <w:br/>
      </w:r>
      <w:r w:rsidR="003555BB" w:rsidRPr="002B1E20">
        <w:rPr>
          <w:rFonts w:ascii="Arial" w:hAnsi="Arial" w:cs="Arial"/>
          <w:b/>
        </w:rPr>
        <w:t>o 0,</w:t>
      </w:r>
      <w:r w:rsidRPr="002B1E20">
        <w:rPr>
          <w:rFonts w:ascii="Arial" w:hAnsi="Arial" w:cs="Arial"/>
          <w:b/>
        </w:rPr>
        <w:t>14</w:t>
      </w:r>
      <w:r w:rsidR="003555BB" w:rsidRPr="002B1E20">
        <w:rPr>
          <w:rFonts w:ascii="Arial" w:hAnsi="Arial" w:cs="Arial"/>
          <w:b/>
        </w:rPr>
        <w:t xml:space="preserve"> procentního bodu na </w:t>
      </w:r>
      <w:r w:rsidRPr="002B1E20">
        <w:rPr>
          <w:rFonts w:ascii="Arial" w:hAnsi="Arial" w:cs="Arial"/>
          <w:b/>
        </w:rPr>
        <w:t>4,75</w:t>
      </w:r>
      <w:r w:rsidR="003555BB" w:rsidRPr="002B1E20">
        <w:rPr>
          <w:rFonts w:ascii="Arial" w:hAnsi="Arial" w:cs="Arial"/>
          <w:b/>
        </w:rPr>
        <w:t xml:space="preserve"> %.</w:t>
      </w:r>
      <w:r w:rsidR="00CD4A18" w:rsidRPr="002B1E20">
        <w:rPr>
          <w:rFonts w:ascii="Arial" w:hAnsi="Arial" w:cs="Arial"/>
          <w:b/>
        </w:rPr>
        <w:t xml:space="preserve"> Odborníci spojují prognózu</w:t>
      </w:r>
      <w:r w:rsidR="003529EF" w:rsidRPr="002B1E20">
        <w:rPr>
          <w:rFonts w:ascii="Arial" w:hAnsi="Arial" w:cs="Arial"/>
          <w:b/>
        </w:rPr>
        <w:t xml:space="preserve"> budoucího vývoje </w:t>
      </w:r>
      <w:r w:rsidR="00CD4A18" w:rsidRPr="002B1E20">
        <w:rPr>
          <w:rFonts w:ascii="Arial" w:hAnsi="Arial" w:cs="Arial"/>
          <w:b/>
        </w:rPr>
        <w:t xml:space="preserve">s dalším zvyšováním sazeb. </w:t>
      </w:r>
      <w:r w:rsidR="00400A5A" w:rsidRPr="002B1E20">
        <w:rPr>
          <w:rFonts w:ascii="Arial" w:hAnsi="Arial" w:cs="Arial"/>
          <w:b/>
        </w:rPr>
        <w:t>Navýšení</w:t>
      </w:r>
      <w:r w:rsidR="00A553A9" w:rsidRPr="002B1E20">
        <w:rPr>
          <w:rFonts w:ascii="Arial" w:hAnsi="Arial" w:cs="Arial"/>
          <w:b/>
        </w:rPr>
        <w:t xml:space="preserve"> úrokových sazeb slibuje </w:t>
      </w:r>
      <w:r w:rsidR="00A11B93" w:rsidRPr="002B1E20">
        <w:rPr>
          <w:rFonts w:ascii="Arial" w:hAnsi="Arial" w:cs="Arial"/>
          <w:b/>
        </w:rPr>
        <w:t xml:space="preserve">taktéž končící guvernér ČNB. </w:t>
      </w:r>
      <w:r w:rsidR="008F2226" w:rsidRPr="002B1E20">
        <w:rPr>
          <w:rFonts w:ascii="Arial" w:hAnsi="Arial" w:cs="Arial"/>
          <w:b/>
        </w:rPr>
        <w:t xml:space="preserve">V důsledku přísnějších podmínek a růstu sazby klesá </w:t>
      </w:r>
      <w:r w:rsidR="00400A5A" w:rsidRPr="002B1E20">
        <w:rPr>
          <w:rFonts w:ascii="Arial" w:hAnsi="Arial" w:cs="Arial"/>
          <w:b/>
        </w:rPr>
        <w:t xml:space="preserve">celková </w:t>
      </w:r>
      <w:r w:rsidR="008F2226" w:rsidRPr="002B1E20">
        <w:rPr>
          <w:rFonts w:ascii="Arial" w:hAnsi="Arial" w:cs="Arial"/>
          <w:b/>
        </w:rPr>
        <w:t>p</w:t>
      </w:r>
      <w:r w:rsidR="00EF61B5" w:rsidRPr="002B1E20">
        <w:rPr>
          <w:rFonts w:ascii="Arial" w:hAnsi="Arial" w:cs="Arial"/>
          <w:b/>
        </w:rPr>
        <w:t xml:space="preserve">optávka </w:t>
      </w:r>
      <w:r w:rsidR="00400A5A" w:rsidRPr="002B1E20">
        <w:rPr>
          <w:rFonts w:ascii="Arial" w:hAnsi="Arial" w:cs="Arial"/>
          <w:b/>
        </w:rPr>
        <w:t xml:space="preserve">po hypotékách. </w:t>
      </w:r>
    </w:p>
    <w:p w14:paraId="073B0C5D" w14:textId="77777777" w:rsidR="008F2226" w:rsidRDefault="008F2226" w:rsidP="008F2226">
      <w:pPr>
        <w:rPr>
          <w:rStyle w:val="Siln"/>
          <w:rFonts w:ascii="Arial" w:eastAsiaTheme="minorHAnsi" w:hAnsi="Arial" w:cs="Arial"/>
          <w:b w:val="0"/>
          <w:bCs w:val="0"/>
          <w:color w:val="000000"/>
        </w:rPr>
      </w:pPr>
    </w:p>
    <w:p w14:paraId="6ADD696F" w14:textId="6BCC4776" w:rsidR="00686E01" w:rsidRPr="002B1E20" w:rsidRDefault="006C2696" w:rsidP="00686E01">
      <w:pPr>
        <w:jc w:val="both"/>
        <w:rPr>
          <w:rFonts w:ascii="Arial" w:hAnsi="Arial" w:cs="Arial"/>
          <w:sz w:val="20"/>
          <w:szCs w:val="20"/>
        </w:rPr>
      </w:pPr>
      <w:r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 xml:space="preserve">S růstem </w:t>
      </w:r>
      <w:r w:rsidR="00D016C3"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>cen nemovitostí pokračuje</w:t>
      </w:r>
      <w:r w:rsidR="00686E01"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 xml:space="preserve"> nadále</w:t>
      </w:r>
      <w:r w:rsidR="00D016C3"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 xml:space="preserve"> trend </w:t>
      </w:r>
      <w:r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>růst</w:t>
      </w:r>
      <w:r w:rsidR="00D016C3"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 xml:space="preserve">u </w:t>
      </w:r>
      <w:r w:rsidR="00686E01" w:rsidRPr="002B1E20">
        <w:rPr>
          <w:rStyle w:val="Siln"/>
          <w:rFonts w:ascii="Arial" w:hAnsi="Arial" w:cs="Arial"/>
          <w:b w:val="0"/>
          <w:bCs w:val="0"/>
          <w:sz w:val="20"/>
          <w:szCs w:val="20"/>
        </w:rPr>
        <w:t>sazeb u hypotečních úvěrů. „</w:t>
      </w:r>
      <w:r w:rsidRPr="002B1E20">
        <w:rPr>
          <w:rStyle w:val="Siln"/>
          <w:rFonts w:ascii="Arial" w:hAnsi="Arial" w:cs="Arial"/>
          <w:b w:val="0"/>
          <w:bCs w:val="0"/>
          <w:i/>
          <w:sz w:val="20"/>
          <w:szCs w:val="20"/>
        </w:rPr>
        <w:t xml:space="preserve">Česká národní banka v čele s končícím guvernérem </w:t>
      </w:r>
      <w:r w:rsidR="00686E01" w:rsidRPr="002B1E20">
        <w:rPr>
          <w:rStyle w:val="Siln"/>
          <w:rFonts w:ascii="Arial" w:hAnsi="Arial" w:cs="Arial"/>
          <w:b w:val="0"/>
          <w:bCs w:val="0"/>
          <w:i/>
          <w:sz w:val="20"/>
          <w:szCs w:val="20"/>
        </w:rPr>
        <w:t xml:space="preserve">navíc </w:t>
      </w:r>
      <w:r w:rsidRPr="002B1E20">
        <w:rPr>
          <w:rStyle w:val="Siln"/>
          <w:rFonts w:ascii="Arial" w:hAnsi="Arial" w:cs="Arial"/>
          <w:b w:val="0"/>
          <w:bCs w:val="0"/>
          <w:i/>
          <w:sz w:val="20"/>
          <w:szCs w:val="20"/>
        </w:rPr>
        <w:t>slibuje na dalším zasedání navýšení úrokových sazeb o t</w:t>
      </w:r>
      <w:r w:rsidRPr="002B1E20">
        <w:rPr>
          <w:rFonts w:ascii="Arial" w:hAnsi="Arial" w:cs="Arial"/>
          <w:i/>
          <w:sz w:val="20"/>
          <w:szCs w:val="20"/>
          <w:shd w:val="clear" w:color="auto" w:fill="FFFFFF"/>
        </w:rPr>
        <w:t>ři čtvr</w:t>
      </w:r>
      <w:r w:rsidR="00686E01" w:rsidRPr="002B1E20">
        <w:rPr>
          <w:rFonts w:ascii="Arial" w:hAnsi="Arial" w:cs="Arial"/>
          <w:i/>
          <w:sz w:val="20"/>
          <w:szCs w:val="20"/>
          <w:shd w:val="clear" w:color="auto" w:fill="FFFFFF"/>
        </w:rPr>
        <w:t>tě procentního bodu či více. N</w:t>
      </w:r>
      <w:r w:rsidRPr="002B1E20">
        <w:rPr>
          <w:rFonts w:ascii="Arial" w:hAnsi="Arial" w:cs="Arial"/>
          <w:i/>
          <w:sz w:val="20"/>
          <w:szCs w:val="20"/>
          <w:shd w:val="clear" w:color="auto" w:fill="FFFFFF"/>
        </w:rPr>
        <w:t>ásledně</w:t>
      </w:r>
      <w:r w:rsidR="00686E01" w:rsidRPr="002B1E20">
        <w:rPr>
          <w:rFonts w:ascii="Arial" w:hAnsi="Arial" w:cs="Arial"/>
          <w:i/>
          <w:sz w:val="20"/>
          <w:szCs w:val="20"/>
          <w:shd w:val="clear" w:color="auto" w:fill="FFFFFF"/>
        </w:rPr>
        <w:t xml:space="preserve"> je třeba počítat také s navýšením</w:t>
      </w:r>
      <w:r w:rsidRPr="002B1E20">
        <w:rPr>
          <w:rFonts w:ascii="Arial" w:hAnsi="Arial" w:cs="Arial"/>
          <w:i/>
          <w:sz w:val="20"/>
          <w:szCs w:val="20"/>
          <w:shd w:val="clear" w:color="auto" w:fill="FFFFFF"/>
        </w:rPr>
        <w:t xml:space="preserve"> </w:t>
      </w:r>
      <w:r w:rsidR="00686E01" w:rsidRPr="002B1E20">
        <w:rPr>
          <w:rFonts w:ascii="Arial" w:hAnsi="Arial" w:cs="Arial"/>
          <w:i/>
          <w:sz w:val="20"/>
          <w:szCs w:val="20"/>
          <w:shd w:val="clear" w:color="auto" w:fill="FFFFFF"/>
        </w:rPr>
        <w:t>úroků u bankovních společností</w:t>
      </w:r>
      <w:r w:rsidR="008A663F">
        <w:rPr>
          <w:rFonts w:ascii="Arial" w:hAnsi="Arial" w:cs="Arial"/>
          <w:sz w:val="20"/>
          <w:szCs w:val="20"/>
          <w:shd w:val="clear" w:color="auto" w:fill="FFFFFF"/>
        </w:rPr>
        <w:t>“</w:t>
      </w:r>
      <w:r w:rsidR="00686E01" w:rsidRPr="002B1E20">
        <w:rPr>
          <w:rFonts w:ascii="Arial" w:hAnsi="Arial" w:cs="Arial"/>
          <w:sz w:val="20"/>
          <w:szCs w:val="20"/>
          <w:shd w:val="clear" w:color="auto" w:fill="FFFFFF"/>
        </w:rPr>
        <w:t xml:space="preserve">, říká </w:t>
      </w:r>
      <w:r w:rsidR="00686E01" w:rsidRPr="002B1E20">
        <w:rPr>
          <w:rFonts w:ascii="Arial" w:hAnsi="Arial" w:cs="Arial"/>
          <w:b/>
          <w:color w:val="000000"/>
          <w:sz w:val="20"/>
          <w:szCs w:val="20"/>
        </w:rPr>
        <w:t>Michaela Pudilová, analytička hypotečních a spotřebitelských úvěrů</w:t>
      </w:r>
      <w:r w:rsidR="002B1E20" w:rsidRPr="002B1E20">
        <w:rPr>
          <w:rFonts w:ascii="Arial" w:hAnsi="Arial" w:cs="Arial"/>
          <w:b/>
          <w:color w:val="000000"/>
          <w:sz w:val="20"/>
          <w:szCs w:val="20"/>
        </w:rPr>
        <w:t xml:space="preserve"> ze</w:t>
      </w:r>
      <w:r w:rsidR="00686E01" w:rsidRPr="002B1E20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B1E20" w:rsidRPr="002B1E20">
        <w:rPr>
          <w:rFonts w:ascii="Arial" w:hAnsi="Arial" w:cs="Arial"/>
          <w:b/>
          <w:color w:val="000000"/>
          <w:sz w:val="20"/>
          <w:szCs w:val="20"/>
        </w:rPr>
        <w:t xml:space="preserve">společnosti </w:t>
      </w:r>
      <w:r w:rsidR="00686E01" w:rsidRPr="002B1E20">
        <w:rPr>
          <w:rFonts w:ascii="Arial" w:hAnsi="Arial" w:cs="Arial"/>
          <w:b/>
          <w:color w:val="000000"/>
          <w:sz w:val="20"/>
          <w:szCs w:val="20"/>
        </w:rPr>
        <w:t xml:space="preserve">Broker </w:t>
      </w:r>
      <w:proofErr w:type="spellStart"/>
      <w:r w:rsidR="00686E01" w:rsidRPr="002B1E20">
        <w:rPr>
          <w:rFonts w:ascii="Arial" w:hAnsi="Arial" w:cs="Arial"/>
          <w:b/>
          <w:color w:val="000000"/>
          <w:sz w:val="20"/>
          <w:szCs w:val="20"/>
        </w:rPr>
        <w:t>Consulting</w:t>
      </w:r>
      <w:proofErr w:type="spellEnd"/>
      <w:r w:rsidR="000823D3" w:rsidRPr="002B1E20">
        <w:rPr>
          <w:rFonts w:ascii="Arial" w:hAnsi="Arial" w:cs="Arial"/>
          <w:color w:val="000000"/>
          <w:sz w:val="20"/>
          <w:szCs w:val="20"/>
        </w:rPr>
        <w:t xml:space="preserve">. Negativní prognóza na trhu hypoték bude podle ní trvat nadále, </w:t>
      </w:r>
      <w:r w:rsidR="00686E01" w:rsidRPr="002B1E20">
        <w:rPr>
          <w:rFonts w:ascii="Arial" w:hAnsi="Arial" w:cs="Arial"/>
          <w:sz w:val="20"/>
          <w:szCs w:val="20"/>
        </w:rPr>
        <w:t xml:space="preserve">pokles úrokových sazeb </w:t>
      </w:r>
      <w:r w:rsidR="002B1E20" w:rsidRPr="002B1E20">
        <w:rPr>
          <w:rFonts w:ascii="Arial" w:hAnsi="Arial" w:cs="Arial"/>
          <w:sz w:val="20"/>
          <w:szCs w:val="20"/>
        </w:rPr>
        <w:t xml:space="preserve">se </w:t>
      </w:r>
      <w:r w:rsidR="00686E01" w:rsidRPr="002B1E20">
        <w:rPr>
          <w:rFonts w:ascii="Arial" w:hAnsi="Arial" w:cs="Arial"/>
          <w:sz w:val="20"/>
          <w:szCs w:val="20"/>
        </w:rPr>
        <w:t>dá očekávat nejdříve počátkem příštího roku.</w:t>
      </w:r>
    </w:p>
    <w:p w14:paraId="475FDE1F" w14:textId="43D92387" w:rsidR="00BA7722" w:rsidRPr="002B1E20" w:rsidRDefault="00BA7722" w:rsidP="00686E01">
      <w:pPr>
        <w:jc w:val="both"/>
        <w:rPr>
          <w:rFonts w:ascii="Arial" w:hAnsi="Arial" w:cs="Arial"/>
          <w:sz w:val="20"/>
          <w:szCs w:val="20"/>
        </w:rPr>
      </w:pPr>
    </w:p>
    <w:p w14:paraId="2E478291" w14:textId="7B672501" w:rsidR="00973C62" w:rsidRPr="00120113" w:rsidRDefault="00BA7722" w:rsidP="00BA7722">
      <w:pPr>
        <w:jc w:val="both"/>
        <w:rPr>
          <w:rFonts w:ascii="Arial" w:hAnsi="Arial" w:cs="Arial"/>
          <w:i/>
          <w:sz w:val="20"/>
          <w:szCs w:val="20"/>
        </w:rPr>
      </w:pPr>
      <w:r w:rsidRPr="002B1E20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>„</w:t>
      </w:r>
      <w:r w:rsidR="0016771F" w:rsidRPr="002B1E20">
        <w:rPr>
          <w:rStyle w:val="Siln"/>
          <w:rFonts w:ascii="Arial" w:hAnsi="Arial" w:cs="Arial"/>
          <w:b w:val="0"/>
          <w:bCs w:val="0"/>
          <w:i/>
          <w:color w:val="000000"/>
          <w:sz w:val="20"/>
          <w:szCs w:val="20"/>
        </w:rPr>
        <w:t>Přesto</w:t>
      </w:r>
      <w:r w:rsidRPr="002B1E20">
        <w:rPr>
          <w:rStyle w:val="Siln"/>
          <w:rFonts w:ascii="Arial" w:hAnsi="Arial" w:cs="Arial"/>
          <w:b w:val="0"/>
          <w:bCs w:val="0"/>
          <w:i/>
          <w:color w:val="000000"/>
          <w:sz w:val="20"/>
          <w:szCs w:val="20"/>
        </w:rPr>
        <w:t xml:space="preserve">že Česká národní banka změnila v dubnu podmínky pro poskytování úvěrů na bydlení klientům starším 36 let, hlavním důvodem klesajícího počtu poskytnutých hypoték </w:t>
      </w:r>
      <w:r w:rsidR="00120113">
        <w:rPr>
          <w:rStyle w:val="Siln"/>
          <w:rFonts w:ascii="Arial" w:hAnsi="Arial" w:cs="Arial"/>
          <w:b w:val="0"/>
          <w:bCs w:val="0"/>
          <w:i/>
          <w:color w:val="000000"/>
          <w:sz w:val="20"/>
          <w:szCs w:val="20"/>
        </w:rPr>
        <w:t xml:space="preserve">je právě úroková sazba“, </w:t>
      </w:r>
      <w:r w:rsidR="00120113" w:rsidRPr="00731B6F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>dodává</w:t>
      </w:r>
      <w:r w:rsidRPr="00731B6F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 xml:space="preserve"> Pudilová</w:t>
      </w:r>
      <w:r w:rsidRPr="002B1E20">
        <w:rPr>
          <w:rStyle w:val="Siln"/>
          <w:rFonts w:ascii="Arial" w:hAnsi="Arial" w:cs="Arial"/>
          <w:b w:val="0"/>
          <w:bCs w:val="0"/>
          <w:i/>
          <w:color w:val="000000"/>
          <w:sz w:val="20"/>
          <w:szCs w:val="20"/>
        </w:rPr>
        <w:t xml:space="preserve">. </w:t>
      </w:r>
      <w:r w:rsidR="00120113">
        <w:rPr>
          <w:rFonts w:ascii="Arial" w:hAnsi="Arial" w:cs="Arial"/>
          <w:color w:val="000000"/>
          <w:sz w:val="20"/>
          <w:szCs w:val="20"/>
        </w:rPr>
        <w:t>Přes menší dostupnost tohoto typu úvěru na bydlení, existuje u tuzemské veřejnosti stále silná touha po vlastní nemovito</w:t>
      </w:r>
      <w:r w:rsidR="003C1344">
        <w:rPr>
          <w:rFonts w:ascii="Arial" w:hAnsi="Arial" w:cs="Arial"/>
          <w:color w:val="000000"/>
          <w:sz w:val="20"/>
          <w:szCs w:val="20"/>
        </w:rPr>
        <w:t>sti, jíž</w:t>
      </w:r>
      <w:r w:rsidR="00120113">
        <w:rPr>
          <w:rFonts w:ascii="Arial" w:hAnsi="Arial" w:cs="Arial"/>
          <w:color w:val="000000"/>
          <w:sz w:val="20"/>
          <w:szCs w:val="20"/>
        </w:rPr>
        <w:t xml:space="preserve"> dokládají</w:t>
      </w:r>
      <w:r w:rsidR="00F8617B">
        <w:rPr>
          <w:rFonts w:ascii="Arial" w:hAnsi="Arial" w:cs="Arial"/>
          <w:color w:val="000000"/>
          <w:sz w:val="20"/>
          <w:szCs w:val="20"/>
        </w:rPr>
        <w:t xml:space="preserve"> výsledky</w:t>
      </w:r>
      <w:r w:rsidR="00120113">
        <w:rPr>
          <w:rFonts w:ascii="Arial" w:hAnsi="Arial" w:cs="Arial"/>
          <w:color w:val="000000"/>
          <w:sz w:val="20"/>
          <w:szCs w:val="20"/>
        </w:rPr>
        <w:t xml:space="preserve"> aktuální</w:t>
      </w:r>
      <w:r w:rsidR="00F8617B">
        <w:rPr>
          <w:rFonts w:ascii="Arial" w:hAnsi="Arial" w:cs="Arial"/>
          <w:color w:val="000000"/>
          <w:sz w:val="20"/>
          <w:szCs w:val="20"/>
        </w:rPr>
        <w:t>ch průzkumů</w:t>
      </w:r>
      <w:r w:rsidR="00120113">
        <w:rPr>
          <w:rFonts w:ascii="Arial" w:hAnsi="Arial" w:cs="Arial"/>
          <w:color w:val="000000"/>
          <w:sz w:val="20"/>
          <w:szCs w:val="20"/>
        </w:rPr>
        <w:t xml:space="preserve">. </w:t>
      </w:r>
      <w:r w:rsidR="00F8617B">
        <w:rPr>
          <w:rFonts w:ascii="Arial" w:hAnsi="Arial" w:cs="Arial"/>
          <w:color w:val="000000"/>
          <w:sz w:val="20"/>
          <w:szCs w:val="20"/>
        </w:rPr>
        <w:t>V případě, že se</w:t>
      </w:r>
      <w:r w:rsidR="00F22A26">
        <w:rPr>
          <w:rFonts w:ascii="Arial" w:hAnsi="Arial" w:cs="Arial"/>
          <w:color w:val="000000"/>
          <w:sz w:val="20"/>
          <w:szCs w:val="20"/>
        </w:rPr>
        <w:t xml:space="preserve"> klient</w:t>
      </w:r>
      <w:r w:rsidR="00F8617B">
        <w:rPr>
          <w:rFonts w:ascii="Arial" w:hAnsi="Arial" w:cs="Arial"/>
          <w:color w:val="000000"/>
          <w:sz w:val="20"/>
          <w:szCs w:val="20"/>
        </w:rPr>
        <w:t xml:space="preserve"> rozhodne požádat o </w:t>
      </w:r>
      <w:r w:rsidR="00F22A26">
        <w:rPr>
          <w:rFonts w:ascii="Arial" w:hAnsi="Arial" w:cs="Arial"/>
          <w:color w:val="000000"/>
          <w:sz w:val="20"/>
          <w:szCs w:val="20"/>
        </w:rPr>
        <w:t>hypoteční úvěr</w:t>
      </w:r>
      <w:r w:rsidR="00F8617B">
        <w:rPr>
          <w:rFonts w:ascii="Arial" w:hAnsi="Arial" w:cs="Arial"/>
          <w:color w:val="000000"/>
          <w:sz w:val="20"/>
          <w:szCs w:val="20"/>
        </w:rPr>
        <w:t>, musí ovšem nutně</w:t>
      </w:r>
      <w:r w:rsidR="00120113">
        <w:rPr>
          <w:rFonts w:ascii="Arial" w:hAnsi="Arial" w:cs="Arial"/>
          <w:color w:val="000000"/>
          <w:sz w:val="20"/>
          <w:szCs w:val="20"/>
        </w:rPr>
        <w:t xml:space="preserve"> počítat </w:t>
      </w:r>
      <w:r w:rsidR="00F8617B">
        <w:rPr>
          <w:rFonts w:ascii="Arial" w:hAnsi="Arial" w:cs="Arial"/>
          <w:color w:val="000000"/>
          <w:sz w:val="20"/>
          <w:szCs w:val="20"/>
        </w:rPr>
        <w:t>se</w:t>
      </w:r>
      <w:r w:rsidR="00120113">
        <w:rPr>
          <w:rFonts w:ascii="Arial" w:hAnsi="Arial" w:cs="Arial"/>
          <w:color w:val="000000"/>
          <w:sz w:val="20"/>
          <w:szCs w:val="20"/>
        </w:rPr>
        <w:t xml:space="preserve"> zajištěním kupované nemovitosti a prokázáním minimálních 20</w:t>
      </w:r>
      <w:r w:rsidR="009A544A">
        <w:rPr>
          <w:rFonts w:ascii="Arial" w:hAnsi="Arial" w:cs="Arial"/>
          <w:color w:val="000000"/>
          <w:sz w:val="20"/>
          <w:szCs w:val="20"/>
        </w:rPr>
        <w:t xml:space="preserve"> </w:t>
      </w:r>
      <w:r w:rsidR="00120113">
        <w:rPr>
          <w:rFonts w:ascii="Arial" w:hAnsi="Arial" w:cs="Arial"/>
          <w:color w:val="000000"/>
          <w:sz w:val="20"/>
          <w:szCs w:val="20"/>
        </w:rPr>
        <w:t>%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 </w:t>
      </w:r>
      <w:r w:rsidR="00120113">
        <w:rPr>
          <w:rFonts w:ascii="Arial" w:hAnsi="Arial" w:cs="Arial"/>
          <w:color w:val="000000"/>
          <w:sz w:val="20"/>
          <w:szCs w:val="20"/>
        </w:rPr>
        <w:t xml:space="preserve">vlastních zdrojů. </w:t>
      </w:r>
      <w:r w:rsidR="00F8617B">
        <w:rPr>
          <w:rFonts w:ascii="Arial" w:hAnsi="Arial" w:cs="Arial"/>
          <w:color w:val="000000"/>
          <w:sz w:val="20"/>
          <w:szCs w:val="20"/>
        </w:rPr>
        <w:t xml:space="preserve">K hypotékám se váže také fixace úrokové sazby, která se pohybuje nejčastěji od jednoho do deseti let. V případě </w:t>
      </w:r>
      <w:proofErr w:type="spellStart"/>
      <w:r w:rsidR="00F8617B">
        <w:rPr>
          <w:rFonts w:ascii="Arial" w:hAnsi="Arial" w:cs="Arial"/>
          <w:color w:val="000000"/>
          <w:sz w:val="20"/>
          <w:szCs w:val="20"/>
        </w:rPr>
        <w:t>refixace</w:t>
      </w:r>
      <w:proofErr w:type="spellEnd"/>
      <w:r w:rsidR="00F8617B">
        <w:rPr>
          <w:rFonts w:ascii="Arial" w:hAnsi="Arial" w:cs="Arial"/>
          <w:color w:val="000000"/>
          <w:sz w:val="20"/>
          <w:szCs w:val="20"/>
        </w:rPr>
        <w:t xml:space="preserve"> odborníci aktuálně radí zvolit raději nižší dobu fixace, a to kvůli aktuální výši úrokových sazeb. </w:t>
      </w:r>
      <w:r w:rsidR="003C1344">
        <w:rPr>
          <w:rFonts w:ascii="Arial" w:hAnsi="Arial" w:cs="Arial"/>
          <w:color w:val="000000"/>
          <w:sz w:val="20"/>
          <w:szCs w:val="20"/>
        </w:rPr>
        <w:t>Racionální volbou je</w:t>
      </w:r>
      <w:r w:rsidR="00F8617B">
        <w:rPr>
          <w:rFonts w:ascii="Arial" w:hAnsi="Arial" w:cs="Arial"/>
          <w:color w:val="000000"/>
          <w:sz w:val="20"/>
          <w:szCs w:val="20"/>
        </w:rPr>
        <w:t xml:space="preserve"> fixace na tři toky, nejvíce žádáno je ale o pětileté období pevného stanovení úroku 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u </w:t>
      </w:r>
      <w:r w:rsidR="00F8617B">
        <w:rPr>
          <w:rFonts w:ascii="Arial" w:hAnsi="Arial" w:cs="Arial"/>
          <w:color w:val="000000"/>
          <w:sz w:val="20"/>
          <w:szCs w:val="20"/>
        </w:rPr>
        <w:t xml:space="preserve">hypotečního úvěru. 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Velkou výhodou </w:t>
      </w:r>
      <w:r w:rsidR="003C1344">
        <w:rPr>
          <w:rFonts w:ascii="Arial" w:hAnsi="Arial" w:cs="Arial"/>
          <w:color w:val="000000"/>
          <w:sz w:val="20"/>
          <w:szCs w:val="20"/>
        </w:rPr>
        <w:t xml:space="preserve">hypoték je </w:t>
      </w:r>
      <w:r w:rsidR="00C4086A">
        <w:rPr>
          <w:rFonts w:ascii="Arial" w:hAnsi="Arial" w:cs="Arial"/>
          <w:color w:val="000000"/>
          <w:sz w:val="20"/>
          <w:szCs w:val="20"/>
        </w:rPr>
        <w:t xml:space="preserve">platba </w:t>
      </w:r>
      <w:r w:rsidR="003C1344">
        <w:rPr>
          <w:rFonts w:ascii="Arial" w:hAnsi="Arial" w:cs="Arial"/>
          <w:color w:val="000000"/>
          <w:sz w:val="20"/>
          <w:szCs w:val="20"/>
        </w:rPr>
        <w:t>řád</w:t>
      </w:r>
      <w:r w:rsidR="00C4086A">
        <w:rPr>
          <w:rFonts w:ascii="Arial" w:hAnsi="Arial" w:cs="Arial"/>
          <w:color w:val="000000"/>
          <w:sz w:val="20"/>
          <w:szCs w:val="20"/>
        </w:rPr>
        <w:t xml:space="preserve">ného úroku i jistiny od počátku splácení úvěru. </w:t>
      </w:r>
    </w:p>
    <w:p w14:paraId="597E864B" w14:textId="65F2D412" w:rsidR="00F22A26" w:rsidRDefault="00F22A26" w:rsidP="00BA7722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503E808D" w14:textId="4E002FDA" w:rsidR="00A74A1E" w:rsidRPr="002B1E20" w:rsidRDefault="00C4086A" w:rsidP="00A74A1E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 přibývajícími limity na hypotečním trhu,</w:t>
      </w:r>
      <w:r w:rsidR="0030207B">
        <w:rPr>
          <w:rFonts w:ascii="Arial" w:hAnsi="Arial" w:cs="Arial"/>
          <w:color w:val="000000"/>
          <w:sz w:val="20"/>
          <w:szCs w:val="20"/>
        </w:rPr>
        <w:t xml:space="preserve"> se zvyšuje možnost pro sjednání </w:t>
      </w:r>
      <w:r>
        <w:rPr>
          <w:rFonts w:ascii="Arial" w:hAnsi="Arial" w:cs="Arial"/>
          <w:color w:val="000000"/>
          <w:sz w:val="20"/>
          <w:szCs w:val="20"/>
        </w:rPr>
        <w:t>jiných typů úvěrů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 na bydlení</w:t>
      </w:r>
      <w:r>
        <w:rPr>
          <w:rFonts w:ascii="Arial" w:hAnsi="Arial" w:cs="Arial"/>
          <w:color w:val="000000"/>
          <w:sz w:val="20"/>
          <w:szCs w:val="20"/>
        </w:rPr>
        <w:t>, například úvěr ze stavebního spoření.</w:t>
      </w:r>
      <w:r w:rsidR="00C04F1A">
        <w:rPr>
          <w:rFonts w:ascii="Arial" w:hAnsi="Arial" w:cs="Arial"/>
          <w:color w:val="000000"/>
          <w:sz w:val="20"/>
          <w:szCs w:val="20"/>
        </w:rPr>
        <w:t xml:space="preserve"> O ten však může klient žádat až po splnění stanovených podmínek, zejména naspoření</w:t>
      </w:r>
      <w:r w:rsidR="00506098">
        <w:rPr>
          <w:rFonts w:ascii="Arial" w:hAnsi="Arial" w:cs="Arial"/>
          <w:color w:val="000000"/>
          <w:sz w:val="20"/>
          <w:szCs w:val="20"/>
        </w:rPr>
        <w:t xml:space="preserve"> sjednané</w:t>
      </w:r>
      <w:r w:rsidR="00C04F1A">
        <w:rPr>
          <w:rFonts w:ascii="Arial" w:hAnsi="Arial" w:cs="Arial"/>
          <w:color w:val="000000"/>
          <w:sz w:val="20"/>
          <w:szCs w:val="20"/>
        </w:rPr>
        <w:t xml:space="preserve"> výše </w:t>
      </w:r>
      <w:r w:rsidR="00506098">
        <w:rPr>
          <w:rFonts w:ascii="Arial" w:hAnsi="Arial" w:cs="Arial"/>
          <w:color w:val="000000"/>
          <w:sz w:val="20"/>
          <w:szCs w:val="20"/>
        </w:rPr>
        <w:t>a délka trvání spoření. Před splněním lze financování bydlení řešit tzv. překlenovacím úvěrem, jehož největší výhodou je rychlé nače</w:t>
      </w:r>
      <w:r w:rsidR="00A74A1E">
        <w:rPr>
          <w:rFonts w:ascii="Arial" w:hAnsi="Arial" w:cs="Arial"/>
          <w:color w:val="000000"/>
          <w:sz w:val="20"/>
          <w:szCs w:val="20"/>
        </w:rPr>
        <w:t>rpání finančních prostředků, t</w:t>
      </w:r>
      <w:r w:rsidR="00506098">
        <w:rPr>
          <w:rFonts w:ascii="Arial" w:hAnsi="Arial" w:cs="Arial"/>
          <w:color w:val="000000"/>
          <w:sz w:val="20"/>
          <w:szCs w:val="20"/>
        </w:rPr>
        <w:t xml:space="preserve">y lze poskytnout ihned po uzavření smlouvy o stavebním spoření, a to bez nutnosti naspoření. Nevýhodou pro některé klienty může být u tohoto typu úvěru skutečnost, že při splácení překlenovacího úvěru je většinou splácen pouze úrok nikoli jistina, plus má klient zároveň povinnost </w:t>
      </w:r>
      <w:proofErr w:type="spellStart"/>
      <w:r w:rsidR="00506098">
        <w:rPr>
          <w:rFonts w:ascii="Arial" w:hAnsi="Arial" w:cs="Arial"/>
          <w:color w:val="000000"/>
          <w:sz w:val="20"/>
          <w:szCs w:val="20"/>
        </w:rPr>
        <w:t>dospořovat</w:t>
      </w:r>
      <w:proofErr w:type="spellEnd"/>
      <w:r w:rsidR="00506098">
        <w:rPr>
          <w:rFonts w:ascii="Arial" w:hAnsi="Arial" w:cs="Arial"/>
          <w:color w:val="000000"/>
          <w:sz w:val="20"/>
          <w:szCs w:val="20"/>
        </w:rPr>
        <w:t xml:space="preserve"> do cílové částky. Po překlopení na řádný úvěr ze stavebního spoření, tzn. po splnění výše uvedených podmínek, je splácení stejné jako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 u hypotéky. Hlavním lákadlem můžou být také úrokové sazby, jejichž nabídka je</w:t>
      </w:r>
      <w:r w:rsidR="00506098">
        <w:rPr>
          <w:rFonts w:ascii="Arial" w:hAnsi="Arial" w:cs="Arial"/>
          <w:color w:val="000000"/>
          <w:sz w:val="20"/>
          <w:szCs w:val="20"/>
        </w:rPr>
        <w:t xml:space="preserve"> v době 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rostoucích úroků s hypotékami téměř srovnatelná. </w:t>
      </w:r>
      <w:r w:rsidR="00A74A1E" w:rsidRPr="002B1E20">
        <w:rPr>
          <w:rFonts w:ascii="Arial" w:hAnsi="Arial" w:cs="Arial"/>
          <w:color w:val="000000"/>
          <w:sz w:val="20"/>
          <w:szCs w:val="20"/>
        </w:rPr>
        <w:t xml:space="preserve">Odborníci z oblasti realit doporučují tento typ financování mimo jiné </w:t>
      </w:r>
      <w:r w:rsidR="00A74A1E">
        <w:rPr>
          <w:rFonts w:ascii="Arial" w:hAnsi="Arial" w:cs="Arial"/>
          <w:color w:val="000000"/>
          <w:sz w:val="20"/>
          <w:szCs w:val="20"/>
        </w:rPr>
        <w:t xml:space="preserve">při nákupu družstevního bydlení, </w:t>
      </w:r>
      <w:r w:rsidR="00D0526B">
        <w:rPr>
          <w:rFonts w:ascii="Arial" w:hAnsi="Arial" w:cs="Arial"/>
          <w:color w:val="000000"/>
          <w:sz w:val="20"/>
          <w:szCs w:val="20"/>
        </w:rPr>
        <w:t>u tohoto typu úvěru</w:t>
      </w:r>
      <w:r w:rsidR="00AE05ED">
        <w:rPr>
          <w:rFonts w:ascii="Arial" w:hAnsi="Arial" w:cs="Arial"/>
          <w:color w:val="000000"/>
          <w:sz w:val="20"/>
          <w:szCs w:val="20"/>
        </w:rPr>
        <w:t xml:space="preserve"> nemusí být zajištění </w:t>
      </w:r>
      <w:r w:rsidR="00D0526B">
        <w:rPr>
          <w:rFonts w:ascii="Arial" w:hAnsi="Arial" w:cs="Arial"/>
          <w:color w:val="000000"/>
          <w:sz w:val="20"/>
          <w:szCs w:val="20"/>
        </w:rPr>
        <w:t>nemovitostí</w:t>
      </w:r>
      <w:r w:rsidR="00A74A1E">
        <w:rPr>
          <w:rFonts w:ascii="Arial" w:hAnsi="Arial" w:cs="Arial"/>
          <w:color w:val="000000"/>
          <w:sz w:val="20"/>
          <w:szCs w:val="20"/>
        </w:rPr>
        <w:t>.</w:t>
      </w:r>
    </w:p>
    <w:p w14:paraId="13CE711F" w14:textId="71D66D14" w:rsidR="00A74A1E" w:rsidRDefault="00A74A1E" w:rsidP="00F22A26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8B4F4DA" w14:textId="63EA691D" w:rsidR="00651B79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3A5D6043" w:rsidR="00651B79" w:rsidRDefault="00883131" w:rsidP="001B7936">
      <w:pPr>
        <w:jc w:val="both"/>
        <w:rPr>
          <w:rFonts w:ascii="Arial" w:hAnsi="Arial" w:cs="Arial"/>
          <w:sz w:val="20"/>
          <w:szCs w:val="20"/>
        </w:rPr>
      </w:pPr>
      <w:r w:rsidRPr="00883131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7A0D79B4" wp14:editId="0F702F0B">
            <wp:extent cx="6635750" cy="2136867"/>
            <wp:effectExtent l="0" t="0" r="0" b="0"/>
            <wp:docPr id="2" name="Obrázek 2" descr="C:\Users\msahulova\Desktop\Hypo indexy\BC Index hypotečních úvěrů - květ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Hypo indexy\BC Index hypotečních úvěrů - květen 20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1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C7F495" w14:textId="77777777" w:rsidR="00C42CA5" w:rsidRPr="00651B79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091B67BB" w:rsidR="00AB4842" w:rsidRPr="009345C9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9345C9">
        <w:rPr>
          <w:rFonts w:ascii="Arial" w:hAnsi="Arial" w:cs="Arial"/>
          <w:sz w:val="20"/>
          <w:szCs w:val="20"/>
        </w:rPr>
        <w:t xml:space="preserve"> znázorňující</w:t>
      </w:r>
      <w:r w:rsidRPr="009345C9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9345C9">
        <w:rPr>
          <w:rFonts w:ascii="Arial" w:hAnsi="Arial" w:cs="Arial"/>
          <w:sz w:val="20"/>
          <w:szCs w:val="20"/>
        </w:rPr>
        <w:t>které</w:t>
      </w:r>
      <w:r w:rsidRPr="009345C9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9345C9">
        <w:rPr>
          <w:rFonts w:ascii="Arial" w:hAnsi="Arial" w:cs="Arial"/>
          <w:sz w:val="20"/>
          <w:szCs w:val="20"/>
        </w:rPr>
        <w:t xml:space="preserve">vstupuje </w:t>
      </w:r>
      <w:r w:rsidRPr="009345C9">
        <w:rPr>
          <w:rFonts w:ascii="Arial" w:hAnsi="Arial" w:cs="Arial"/>
          <w:sz w:val="20"/>
          <w:szCs w:val="20"/>
        </w:rPr>
        <w:t xml:space="preserve">do indexu větší vahou. </w:t>
      </w:r>
      <w:r w:rsidRPr="009345C9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9345C9">
        <w:rPr>
          <w:rFonts w:ascii="Arial" w:hAnsi="Arial" w:cs="Arial"/>
          <w:b/>
          <w:sz w:val="20"/>
          <w:szCs w:val="20"/>
        </w:rPr>
        <w:t xml:space="preserve">indexu </w:t>
      </w:r>
      <w:r w:rsidRPr="009345C9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9345C9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>
        <w:rPr>
          <w:rFonts w:ascii="Arial" w:hAnsi="Arial" w:cs="Arial"/>
          <w:sz w:val="20"/>
          <w:szCs w:val="20"/>
        </w:rPr>
        <w:br/>
      </w:r>
      <w:r w:rsidRPr="009345C9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9345C9" w:rsidRDefault="00236A37" w:rsidP="00B479EB"/>
    <w:p w14:paraId="464B118E" w14:textId="23EA35C8" w:rsidR="00C42CA5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9345C9">
        <w:rPr>
          <w:rFonts w:ascii="Arial" w:hAnsi="Arial" w:cs="Arial"/>
          <w:sz w:val="20"/>
          <w:szCs w:val="20"/>
        </w:rPr>
        <w:t>,</w:t>
      </w:r>
      <w:r w:rsidRPr="009345C9">
        <w:rPr>
          <w:rFonts w:ascii="Arial" w:hAnsi="Arial" w:cs="Arial"/>
          <w:sz w:val="20"/>
          <w:szCs w:val="20"/>
        </w:rPr>
        <w:t xml:space="preserve"> </w:t>
      </w:r>
      <w:r w:rsidR="00FA2D1E" w:rsidRPr="009345C9">
        <w:rPr>
          <w:rFonts w:ascii="Arial" w:hAnsi="Arial" w:cs="Arial"/>
          <w:sz w:val="20"/>
          <w:szCs w:val="20"/>
        </w:rPr>
        <w:t>a</w:t>
      </w:r>
      <w:r w:rsidRPr="009345C9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6B1DF12D" w14:textId="77777777" w:rsidR="009345C9" w:rsidRPr="009345C9" w:rsidRDefault="009345C9" w:rsidP="009345C9">
      <w:pPr>
        <w:jc w:val="both"/>
        <w:rPr>
          <w:rFonts w:ascii="Arial" w:hAnsi="Arial" w:cs="Arial"/>
          <w:sz w:val="20"/>
          <w:szCs w:val="20"/>
        </w:rPr>
      </w:pP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89E1C" w14:textId="77777777" w:rsidR="00866791" w:rsidRDefault="00866791">
      <w:r>
        <w:separator/>
      </w:r>
    </w:p>
  </w:endnote>
  <w:endnote w:type="continuationSeparator" w:id="0">
    <w:p w14:paraId="31ED1859" w14:textId="77777777" w:rsidR="00866791" w:rsidRDefault="00866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866791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86679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866791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1FE44" w14:textId="77777777" w:rsidR="00866791" w:rsidRDefault="00866791">
      <w:r>
        <w:separator/>
      </w:r>
    </w:p>
  </w:footnote>
  <w:footnote w:type="continuationSeparator" w:id="0">
    <w:p w14:paraId="4A78B026" w14:textId="77777777" w:rsidR="00866791" w:rsidRDefault="00866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14FB5"/>
    <w:rsid w:val="00020EC7"/>
    <w:rsid w:val="0002230E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611E3"/>
    <w:rsid w:val="000766E7"/>
    <w:rsid w:val="00081616"/>
    <w:rsid w:val="000823D3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D14E2"/>
    <w:rsid w:val="000D7158"/>
    <w:rsid w:val="000E01C2"/>
    <w:rsid w:val="000E19B2"/>
    <w:rsid w:val="000E3D86"/>
    <w:rsid w:val="000E568C"/>
    <w:rsid w:val="000E5D32"/>
    <w:rsid w:val="000E6E14"/>
    <w:rsid w:val="000F4B6C"/>
    <w:rsid w:val="000F6249"/>
    <w:rsid w:val="001117DE"/>
    <w:rsid w:val="00111C28"/>
    <w:rsid w:val="00113603"/>
    <w:rsid w:val="00120113"/>
    <w:rsid w:val="001214E7"/>
    <w:rsid w:val="00122CEB"/>
    <w:rsid w:val="00126BEC"/>
    <w:rsid w:val="0013044E"/>
    <w:rsid w:val="00131A69"/>
    <w:rsid w:val="00136D8D"/>
    <w:rsid w:val="00137003"/>
    <w:rsid w:val="0013717C"/>
    <w:rsid w:val="00140987"/>
    <w:rsid w:val="001524FB"/>
    <w:rsid w:val="00156082"/>
    <w:rsid w:val="00160686"/>
    <w:rsid w:val="00161352"/>
    <w:rsid w:val="00162D8E"/>
    <w:rsid w:val="001675AF"/>
    <w:rsid w:val="0016771F"/>
    <w:rsid w:val="00174317"/>
    <w:rsid w:val="00175545"/>
    <w:rsid w:val="001767A5"/>
    <w:rsid w:val="00192716"/>
    <w:rsid w:val="00194831"/>
    <w:rsid w:val="00194B5D"/>
    <w:rsid w:val="001A1A56"/>
    <w:rsid w:val="001A2D08"/>
    <w:rsid w:val="001A54DD"/>
    <w:rsid w:val="001A5AC8"/>
    <w:rsid w:val="001A7D2F"/>
    <w:rsid w:val="001B3B31"/>
    <w:rsid w:val="001B501B"/>
    <w:rsid w:val="001B7936"/>
    <w:rsid w:val="001D015A"/>
    <w:rsid w:val="001D3DFC"/>
    <w:rsid w:val="001D45F5"/>
    <w:rsid w:val="001D5EFC"/>
    <w:rsid w:val="001E02C2"/>
    <w:rsid w:val="001E1597"/>
    <w:rsid w:val="001E4209"/>
    <w:rsid w:val="001F7194"/>
    <w:rsid w:val="001F71BA"/>
    <w:rsid w:val="002019F3"/>
    <w:rsid w:val="0020207A"/>
    <w:rsid w:val="00202F22"/>
    <w:rsid w:val="00212C2E"/>
    <w:rsid w:val="0021395D"/>
    <w:rsid w:val="002141AF"/>
    <w:rsid w:val="0022052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264B"/>
    <w:rsid w:val="00253C9E"/>
    <w:rsid w:val="0025428A"/>
    <w:rsid w:val="002555D2"/>
    <w:rsid w:val="00257978"/>
    <w:rsid w:val="002619DC"/>
    <w:rsid w:val="00270DB3"/>
    <w:rsid w:val="00277D20"/>
    <w:rsid w:val="00280730"/>
    <w:rsid w:val="00281C61"/>
    <w:rsid w:val="00285767"/>
    <w:rsid w:val="002863CE"/>
    <w:rsid w:val="002A1185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F002B"/>
    <w:rsid w:val="002F46B0"/>
    <w:rsid w:val="002F485A"/>
    <w:rsid w:val="002F7EC2"/>
    <w:rsid w:val="003015E0"/>
    <w:rsid w:val="0030207B"/>
    <w:rsid w:val="00303A6E"/>
    <w:rsid w:val="0030751A"/>
    <w:rsid w:val="00307E95"/>
    <w:rsid w:val="00307FEB"/>
    <w:rsid w:val="003128F8"/>
    <w:rsid w:val="00322E5E"/>
    <w:rsid w:val="003243A6"/>
    <w:rsid w:val="003247B0"/>
    <w:rsid w:val="00330918"/>
    <w:rsid w:val="003337A9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3DC5"/>
    <w:rsid w:val="00385EED"/>
    <w:rsid w:val="00390B58"/>
    <w:rsid w:val="00395F41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F07E8"/>
    <w:rsid w:val="003F79EC"/>
    <w:rsid w:val="00400A5A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40ED"/>
    <w:rsid w:val="00454843"/>
    <w:rsid w:val="004627B9"/>
    <w:rsid w:val="00466329"/>
    <w:rsid w:val="00473219"/>
    <w:rsid w:val="00477FFA"/>
    <w:rsid w:val="00481D66"/>
    <w:rsid w:val="00487B6B"/>
    <w:rsid w:val="004928CB"/>
    <w:rsid w:val="004B5104"/>
    <w:rsid w:val="004B5797"/>
    <w:rsid w:val="004B64B3"/>
    <w:rsid w:val="004C0CEF"/>
    <w:rsid w:val="004C3F71"/>
    <w:rsid w:val="004D3578"/>
    <w:rsid w:val="004D4D9F"/>
    <w:rsid w:val="004F1934"/>
    <w:rsid w:val="00506098"/>
    <w:rsid w:val="0050659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729F4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A37E5"/>
    <w:rsid w:val="005A4497"/>
    <w:rsid w:val="005A5BBA"/>
    <w:rsid w:val="005A5F08"/>
    <w:rsid w:val="005B0E8E"/>
    <w:rsid w:val="005B31D7"/>
    <w:rsid w:val="005B5427"/>
    <w:rsid w:val="005D189A"/>
    <w:rsid w:val="005D6963"/>
    <w:rsid w:val="005E45D8"/>
    <w:rsid w:val="005F18D4"/>
    <w:rsid w:val="005F65A1"/>
    <w:rsid w:val="00600788"/>
    <w:rsid w:val="00600BA3"/>
    <w:rsid w:val="00612DC2"/>
    <w:rsid w:val="006135FD"/>
    <w:rsid w:val="006212F9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45F8"/>
    <w:rsid w:val="00656312"/>
    <w:rsid w:val="0066135D"/>
    <w:rsid w:val="00663C36"/>
    <w:rsid w:val="00667012"/>
    <w:rsid w:val="00673DDB"/>
    <w:rsid w:val="006768F0"/>
    <w:rsid w:val="00677078"/>
    <w:rsid w:val="00677C07"/>
    <w:rsid w:val="0068617E"/>
    <w:rsid w:val="00686E01"/>
    <w:rsid w:val="00692610"/>
    <w:rsid w:val="006939E4"/>
    <w:rsid w:val="00693A07"/>
    <w:rsid w:val="00695DE8"/>
    <w:rsid w:val="00697A40"/>
    <w:rsid w:val="00697F28"/>
    <w:rsid w:val="006A0BD0"/>
    <w:rsid w:val="006A150C"/>
    <w:rsid w:val="006A2F6C"/>
    <w:rsid w:val="006A3BE2"/>
    <w:rsid w:val="006A6601"/>
    <w:rsid w:val="006B2EA9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232E"/>
    <w:rsid w:val="007B358E"/>
    <w:rsid w:val="007C6288"/>
    <w:rsid w:val="007D085C"/>
    <w:rsid w:val="007D2280"/>
    <w:rsid w:val="007D3EF7"/>
    <w:rsid w:val="007E5614"/>
    <w:rsid w:val="007F0754"/>
    <w:rsid w:val="007F3198"/>
    <w:rsid w:val="007F515C"/>
    <w:rsid w:val="00800CEA"/>
    <w:rsid w:val="008104E0"/>
    <w:rsid w:val="0081387C"/>
    <w:rsid w:val="008269F5"/>
    <w:rsid w:val="00830105"/>
    <w:rsid w:val="0083053E"/>
    <w:rsid w:val="00830CE8"/>
    <w:rsid w:val="00831B5E"/>
    <w:rsid w:val="0083338E"/>
    <w:rsid w:val="00833A44"/>
    <w:rsid w:val="0083519D"/>
    <w:rsid w:val="00844420"/>
    <w:rsid w:val="00845A34"/>
    <w:rsid w:val="00850445"/>
    <w:rsid w:val="00866791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556"/>
    <w:rsid w:val="00896FD6"/>
    <w:rsid w:val="008A04D3"/>
    <w:rsid w:val="008A0C76"/>
    <w:rsid w:val="008A663F"/>
    <w:rsid w:val="008B05F2"/>
    <w:rsid w:val="008C1795"/>
    <w:rsid w:val="008C4B0D"/>
    <w:rsid w:val="008D1E94"/>
    <w:rsid w:val="008E19F3"/>
    <w:rsid w:val="008E58ED"/>
    <w:rsid w:val="008F2226"/>
    <w:rsid w:val="008F4980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A98"/>
    <w:rsid w:val="00932625"/>
    <w:rsid w:val="00934141"/>
    <w:rsid w:val="009344C2"/>
    <w:rsid w:val="009345C9"/>
    <w:rsid w:val="0093538A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A544A"/>
    <w:rsid w:val="009A69B1"/>
    <w:rsid w:val="009A6CDB"/>
    <w:rsid w:val="009B52C2"/>
    <w:rsid w:val="009C0ECA"/>
    <w:rsid w:val="009C283B"/>
    <w:rsid w:val="009C3544"/>
    <w:rsid w:val="009C45BA"/>
    <w:rsid w:val="009D7AFB"/>
    <w:rsid w:val="009E0C76"/>
    <w:rsid w:val="009E2833"/>
    <w:rsid w:val="009E317D"/>
    <w:rsid w:val="009E3B52"/>
    <w:rsid w:val="009E3D89"/>
    <w:rsid w:val="009F2CB2"/>
    <w:rsid w:val="009F2CEE"/>
    <w:rsid w:val="009F59EE"/>
    <w:rsid w:val="009F5CD5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93638"/>
    <w:rsid w:val="00AA218A"/>
    <w:rsid w:val="00AB3D30"/>
    <w:rsid w:val="00AB4794"/>
    <w:rsid w:val="00AB4842"/>
    <w:rsid w:val="00AC614D"/>
    <w:rsid w:val="00AC7F1C"/>
    <w:rsid w:val="00AE05ED"/>
    <w:rsid w:val="00AE44CB"/>
    <w:rsid w:val="00AE55D4"/>
    <w:rsid w:val="00AE72D7"/>
    <w:rsid w:val="00B01F39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5FD"/>
    <w:rsid w:val="00BA7722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5A47"/>
    <w:rsid w:val="00BD6E76"/>
    <w:rsid w:val="00BF4092"/>
    <w:rsid w:val="00BF44F1"/>
    <w:rsid w:val="00C02E39"/>
    <w:rsid w:val="00C04F1A"/>
    <w:rsid w:val="00C05CCC"/>
    <w:rsid w:val="00C07F35"/>
    <w:rsid w:val="00C17C49"/>
    <w:rsid w:val="00C23E32"/>
    <w:rsid w:val="00C2555B"/>
    <w:rsid w:val="00C31E67"/>
    <w:rsid w:val="00C33A4A"/>
    <w:rsid w:val="00C4086A"/>
    <w:rsid w:val="00C42CA5"/>
    <w:rsid w:val="00C42FAF"/>
    <w:rsid w:val="00C47E7D"/>
    <w:rsid w:val="00C52DA0"/>
    <w:rsid w:val="00C668FF"/>
    <w:rsid w:val="00C7532A"/>
    <w:rsid w:val="00C864DC"/>
    <w:rsid w:val="00C908E5"/>
    <w:rsid w:val="00C9156E"/>
    <w:rsid w:val="00C947C0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65C5"/>
    <w:rsid w:val="00CC73AB"/>
    <w:rsid w:val="00CD12BC"/>
    <w:rsid w:val="00CD3324"/>
    <w:rsid w:val="00CD46EA"/>
    <w:rsid w:val="00CD4A18"/>
    <w:rsid w:val="00CE6C6E"/>
    <w:rsid w:val="00CE76FD"/>
    <w:rsid w:val="00CF2033"/>
    <w:rsid w:val="00D012CF"/>
    <w:rsid w:val="00D016C3"/>
    <w:rsid w:val="00D01832"/>
    <w:rsid w:val="00D0526B"/>
    <w:rsid w:val="00D07AA2"/>
    <w:rsid w:val="00D1081A"/>
    <w:rsid w:val="00D21C96"/>
    <w:rsid w:val="00D30854"/>
    <w:rsid w:val="00D31127"/>
    <w:rsid w:val="00D320FC"/>
    <w:rsid w:val="00D333B4"/>
    <w:rsid w:val="00D3359F"/>
    <w:rsid w:val="00D40C89"/>
    <w:rsid w:val="00D47B55"/>
    <w:rsid w:val="00D47B8A"/>
    <w:rsid w:val="00D50703"/>
    <w:rsid w:val="00D531E4"/>
    <w:rsid w:val="00D53E59"/>
    <w:rsid w:val="00D60444"/>
    <w:rsid w:val="00D605B1"/>
    <w:rsid w:val="00D60D98"/>
    <w:rsid w:val="00D61FAA"/>
    <w:rsid w:val="00D62038"/>
    <w:rsid w:val="00D628D2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422E"/>
    <w:rsid w:val="00DD67DA"/>
    <w:rsid w:val="00DD7940"/>
    <w:rsid w:val="00DE1840"/>
    <w:rsid w:val="00DE1B89"/>
    <w:rsid w:val="00DE59C6"/>
    <w:rsid w:val="00DF2E5A"/>
    <w:rsid w:val="00DF4305"/>
    <w:rsid w:val="00E00DC6"/>
    <w:rsid w:val="00E04B02"/>
    <w:rsid w:val="00E058A3"/>
    <w:rsid w:val="00E130CB"/>
    <w:rsid w:val="00E151F3"/>
    <w:rsid w:val="00E17539"/>
    <w:rsid w:val="00E244E6"/>
    <w:rsid w:val="00E27028"/>
    <w:rsid w:val="00E32C50"/>
    <w:rsid w:val="00E423C3"/>
    <w:rsid w:val="00E4323F"/>
    <w:rsid w:val="00E5280E"/>
    <w:rsid w:val="00E52CEE"/>
    <w:rsid w:val="00E563FC"/>
    <w:rsid w:val="00E57F9B"/>
    <w:rsid w:val="00E60634"/>
    <w:rsid w:val="00E6319B"/>
    <w:rsid w:val="00E6726D"/>
    <w:rsid w:val="00E80764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EF61B5"/>
    <w:rsid w:val="00F00A40"/>
    <w:rsid w:val="00F05773"/>
    <w:rsid w:val="00F0773E"/>
    <w:rsid w:val="00F14982"/>
    <w:rsid w:val="00F22A26"/>
    <w:rsid w:val="00F2598D"/>
    <w:rsid w:val="00F32739"/>
    <w:rsid w:val="00F336A2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A70"/>
    <w:rsid w:val="00FE1EC8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7EE34-7E47-4C25-9658-99C5CA564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896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10</cp:revision>
  <dcterms:created xsi:type="dcterms:W3CDTF">2022-06-14T11:57:00Z</dcterms:created>
  <dcterms:modified xsi:type="dcterms:W3CDTF">2022-06-28T12:46:00Z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