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Navštivte </w:t>
          </w:r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také náš </w:t>
          </w:r>
          <w:hyperlink r:id="rId13" w:history="1"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6545F8" w:rsidRDefault="005B000E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10EA3566" w14:textId="1120BA32" w:rsidR="00D40C89" w:rsidRPr="00A37A20" w:rsidRDefault="00CD12BC" w:rsidP="00CD12BC">
      <w:pPr>
        <w:jc w:val="center"/>
        <w:rPr>
          <w:rFonts w:ascii="Arial" w:hAnsi="Arial" w:cs="Arial"/>
          <w:b/>
          <w:sz w:val="30"/>
          <w:szCs w:val="30"/>
        </w:rPr>
      </w:pPr>
      <w:r w:rsidRPr="00A37A20">
        <w:rPr>
          <w:rFonts w:ascii="Arial" w:hAnsi="Arial" w:cs="Arial"/>
          <w:b/>
          <w:sz w:val="30"/>
          <w:szCs w:val="30"/>
        </w:rPr>
        <w:t>Růst hypotečních sazeb nabral v dubnu dvojnásobnou rychlost</w:t>
      </w:r>
      <w:r w:rsidR="00A37A20">
        <w:rPr>
          <w:rFonts w:ascii="Arial" w:hAnsi="Arial" w:cs="Arial"/>
          <w:b/>
          <w:sz w:val="30"/>
          <w:szCs w:val="30"/>
        </w:rPr>
        <w:t>. Z</w:t>
      </w:r>
      <w:r w:rsidRPr="00A37A20">
        <w:rPr>
          <w:rFonts w:ascii="Arial" w:hAnsi="Arial" w:cs="Arial"/>
          <w:b/>
          <w:sz w:val="30"/>
          <w:szCs w:val="30"/>
        </w:rPr>
        <w:t>astavil se na hodnotě 4,61 %</w:t>
      </w:r>
    </w:p>
    <w:p w14:paraId="2394C9D1" w14:textId="77777777" w:rsidR="00896FD6" w:rsidRPr="006545F8" w:rsidRDefault="00896FD6" w:rsidP="00D74A93">
      <w:pPr>
        <w:jc w:val="both"/>
        <w:rPr>
          <w:rFonts w:ascii="Arial" w:hAnsi="Arial" w:cs="Arial"/>
          <w:i/>
          <w:sz w:val="20"/>
          <w:szCs w:val="20"/>
        </w:rPr>
      </w:pPr>
    </w:p>
    <w:p w14:paraId="59766C93" w14:textId="77777777" w:rsidR="00917F21" w:rsidRDefault="00917F21" w:rsidP="001B7936">
      <w:pPr>
        <w:jc w:val="both"/>
        <w:rPr>
          <w:rFonts w:ascii="Arial" w:hAnsi="Arial" w:cs="Arial"/>
          <w:i/>
          <w:sz w:val="20"/>
          <w:szCs w:val="20"/>
        </w:rPr>
      </w:pPr>
    </w:p>
    <w:p w14:paraId="55410E5A" w14:textId="1FF973C7" w:rsidR="00651B79" w:rsidRPr="00651B79" w:rsidRDefault="00651B79" w:rsidP="009345C9">
      <w:pPr>
        <w:jc w:val="both"/>
        <w:rPr>
          <w:rFonts w:ascii="Arial" w:hAnsi="Arial" w:cs="Arial"/>
          <w:sz w:val="20"/>
          <w:szCs w:val="20"/>
        </w:rPr>
      </w:pPr>
      <w:r w:rsidRPr="00651B79">
        <w:rPr>
          <w:rFonts w:ascii="Arial" w:hAnsi="Arial" w:cs="Arial"/>
          <w:i/>
          <w:sz w:val="20"/>
          <w:szCs w:val="20"/>
        </w:rPr>
        <w:t xml:space="preserve">Praha, </w:t>
      </w:r>
      <w:r w:rsidR="00BA4EFF">
        <w:rPr>
          <w:rFonts w:ascii="Arial" w:hAnsi="Arial" w:cs="Arial"/>
          <w:i/>
          <w:sz w:val="20"/>
          <w:szCs w:val="20"/>
        </w:rPr>
        <w:t>12</w:t>
      </w:r>
      <w:bookmarkStart w:id="0" w:name="_GoBack"/>
      <w:bookmarkEnd w:id="0"/>
      <w:r w:rsidR="00D47B8A" w:rsidRPr="00651B79">
        <w:rPr>
          <w:rFonts w:ascii="Arial" w:hAnsi="Arial" w:cs="Arial"/>
          <w:i/>
          <w:sz w:val="20"/>
          <w:szCs w:val="20"/>
        </w:rPr>
        <w:t xml:space="preserve">. </w:t>
      </w:r>
      <w:r w:rsidRPr="00651B79">
        <w:rPr>
          <w:rFonts w:ascii="Arial" w:hAnsi="Arial" w:cs="Arial"/>
          <w:i/>
          <w:sz w:val="20"/>
          <w:szCs w:val="20"/>
        </w:rPr>
        <w:t>května</w:t>
      </w:r>
      <w:r w:rsidR="009C283B" w:rsidRPr="00651B79">
        <w:rPr>
          <w:rFonts w:ascii="Arial" w:hAnsi="Arial" w:cs="Arial"/>
          <w:i/>
          <w:sz w:val="20"/>
          <w:szCs w:val="20"/>
        </w:rPr>
        <w:t xml:space="preserve"> 2022</w:t>
      </w:r>
      <w:r w:rsidR="00E6319B" w:rsidRPr="00651B79">
        <w:rPr>
          <w:rFonts w:ascii="Arial" w:hAnsi="Arial" w:cs="Arial"/>
          <w:sz w:val="20"/>
          <w:szCs w:val="20"/>
        </w:rPr>
        <w:t xml:space="preserve"> </w:t>
      </w:r>
      <w:r w:rsidR="000851AC" w:rsidRPr="00651B79">
        <w:rPr>
          <w:rFonts w:ascii="Arial" w:hAnsi="Arial" w:cs="Arial"/>
          <w:sz w:val="20"/>
          <w:szCs w:val="20"/>
        </w:rPr>
        <w:t>–</w:t>
      </w:r>
      <w:r w:rsidR="00A37A20">
        <w:rPr>
          <w:rFonts w:ascii="Arial" w:hAnsi="Arial" w:cs="Arial"/>
          <w:b/>
          <w:sz w:val="20"/>
          <w:szCs w:val="20"/>
        </w:rPr>
        <w:t xml:space="preserve"> P</w:t>
      </w:r>
      <w:r w:rsidR="003555BB" w:rsidRPr="00917F21">
        <w:rPr>
          <w:rFonts w:ascii="Arial" w:hAnsi="Arial" w:cs="Arial"/>
          <w:b/>
          <w:sz w:val="20"/>
          <w:szCs w:val="20"/>
        </w:rPr>
        <w:t>růměrn</w:t>
      </w:r>
      <w:r w:rsidR="00A37A20">
        <w:rPr>
          <w:rFonts w:ascii="Arial" w:hAnsi="Arial" w:cs="Arial"/>
          <w:b/>
          <w:sz w:val="20"/>
          <w:szCs w:val="20"/>
        </w:rPr>
        <w:t>á</w:t>
      </w:r>
      <w:r w:rsidR="003555BB" w:rsidRPr="00917F21">
        <w:rPr>
          <w:rFonts w:ascii="Arial" w:hAnsi="Arial" w:cs="Arial"/>
          <w:b/>
          <w:sz w:val="20"/>
          <w:szCs w:val="20"/>
        </w:rPr>
        <w:t xml:space="preserve"> úrokov</w:t>
      </w:r>
      <w:r w:rsidR="00A37A20">
        <w:rPr>
          <w:rFonts w:ascii="Arial" w:hAnsi="Arial" w:cs="Arial"/>
          <w:b/>
          <w:sz w:val="20"/>
          <w:szCs w:val="20"/>
        </w:rPr>
        <w:t>á</w:t>
      </w:r>
      <w:r w:rsidR="003555BB" w:rsidRPr="00917F21">
        <w:rPr>
          <w:rFonts w:ascii="Arial" w:hAnsi="Arial" w:cs="Arial"/>
          <w:b/>
          <w:sz w:val="20"/>
          <w:szCs w:val="20"/>
        </w:rPr>
        <w:t xml:space="preserve"> sazb</w:t>
      </w:r>
      <w:r w:rsidR="00A37A20">
        <w:rPr>
          <w:rFonts w:ascii="Arial" w:hAnsi="Arial" w:cs="Arial"/>
          <w:b/>
          <w:sz w:val="20"/>
          <w:szCs w:val="20"/>
        </w:rPr>
        <w:t>a</w:t>
      </w:r>
      <w:r w:rsidR="003555BB" w:rsidRPr="00917F21">
        <w:rPr>
          <w:rFonts w:ascii="Arial" w:hAnsi="Arial" w:cs="Arial"/>
          <w:b/>
          <w:sz w:val="20"/>
          <w:szCs w:val="20"/>
        </w:rPr>
        <w:t xml:space="preserve"> hypoték </w:t>
      </w:r>
      <w:r w:rsidR="00A37A20">
        <w:rPr>
          <w:rFonts w:ascii="Arial" w:hAnsi="Arial" w:cs="Arial"/>
          <w:b/>
          <w:sz w:val="20"/>
          <w:szCs w:val="20"/>
        </w:rPr>
        <w:t>se v dubnu ještě více přiblížila h</w:t>
      </w:r>
      <w:r w:rsidR="003555BB" w:rsidRPr="00917F21">
        <w:rPr>
          <w:rFonts w:ascii="Arial" w:hAnsi="Arial" w:cs="Arial"/>
          <w:b/>
          <w:sz w:val="20"/>
          <w:szCs w:val="20"/>
        </w:rPr>
        <w:t xml:space="preserve">ranici 5 %. Jak ukázal Broker Consulting Index hypotečních úvěrů, jeho hodnota meziměsíčně vzrostla o 0,31 procentního bodu na 4,61 %. </w:t>
      </w:r>
      <w:r w:rsidR="00917F21" w:rsidRPr="00917F21">
        <w:rPr>
          <w:rFonts w:ascii="Arial" w:hAnsi="Arial" w:cs="Arial"/>
          <w:b/>
          <w:sz w:val="20"/>
          <w:szCs w:val="20"/>
        </w:rPr>
        <w:t>V porovnání s březnem j</w:t>
      </w:r>
      <w:r w:rsidR="003555BB" w:rsidRPr="00917F21">
        <w:rPr>
          <w:rFonts w:ascii="Arial" w:hAnsi="Arial" w:cs="Arial"/>
          <w:b/>
          <w:sz w:val="20"/>
          <w:szCs w:val="20"/>
        </w:rPr>
        <w:t xml:space="preserve">de </w:t>
      </w:r>
      <w:r w:rsidR="00917F21" w:rsidRPr="00917F21">
        <w:rPr>
          <w:rFonts w:ascii="Arial" w:hAnsi="Arial" w:cs="Arial"/>
          <w:b/>
          <w:sz w:val="20"/>
          <w:szCs w:val="20"/>
        </w:rPr>
        <w:t xml:space="preserve">o dvojnásobně rychlejší tempo, než jakým hodnota rostla z února na březen. Podle odborníků se pokles úrokových sazeb dá očekávat nejdříve počátkem </w:t>
      </w:r>
      <w:r w:rsidR="00830105">
        <w:rPr>
          <w:rFonts w:ascii="Arial" w:hAnsi="Arial" w:cs="Arial"/>
          <w:b/>
          <w:sz w:val="20"/>
          <w:szCs w:val="20"/>
        </w:rPr>
        <w:t>příštího roku</w:t>
      </w:r>
      <w:r w:rsidR="00917F21" w:rsidRPr="00917F21">
        <w:rPr>
          <w:rFonts w:ascii="Arial" w:hAnsi="Arial" w:cs="Arial"/>
          <w:b/>
          <w:sz w:val="20"/>
          <w:szCs w:val="20"/>
        </w:rPr>
        <w:t>.</w:t>
      </w:r>
    </w:p>
    <w:p w14:paraId="7E81E903" w14:textId="77777777" w:rsidR="00917F21" w:rsidRDefault="00917F21" w:rsidP="009345C9">
      <w:pPr>
        <w:jc w:val="both"/>
        <w:rPr>
          <w:rFonts w:ascii="Arial" w:hAnsi="Arial" w:cs="Arial"/>
          <w:sz w:val="20"/>
          <w:szCs w:val="20"/>
        </w:rPr>
      </w:pPr>
    </w:p>
    <w:p w14:paraId="7FD5B574" w14:textId="1A07B188" w:rsidR="00651B79" w:rsidRPr="009345C9" w:rsidRDefault="00917F21" w:rsidP="009345C9">
      <w:pPr>
        <w:jc w:val="both"/>
        <w:rPr>
          <w:rFonts w:ascii="Arial" w:hAnsi="Arial" w:cs="Arial"/>
          <w:i/>
          <w:sz w:val="20"/>
          <w:szCs w:val="20"/>
        </w:rPr>
      </w:pPr>
      <w:r w:rsidRPr="00973C62">
        <w:rPr>
          <w:rFonts w:ascii="Arial" w:hAnsi="Arial" w:cs="Arial"/>
          <w:i/>
          <w:sz w:val="20"/>
          <w:szCs w:val="20"/>
        </w:rPr>
        <w:t>„</w:t>
      </w:r>
      <w:r w:rsidR="00973C62" w:rsidRPr="00973C62">
        <w:rPr>
          <w:rFonts w:ascii="Arial" w:hAnsi="Arial" w:cs="Arial"/>
          <w:i/>
          <w:sz w:val="20"/>
          <w:szCs w:val="20"/>
        </w:rPr>
        <w:t xml:space="preserve">Na začátku května proběhne další </w:t>
      </w:r>
      <w:r w:rsidR="00651B79" w:rsidRPr="00973C62">
        <w:rPr>
          <w:rFonts w:ascii="Arial" w:hAnsi="Arial" w:cs="Arial"/>
          <w:i/>
          <w:sz w:val="20"/>
          <w:szCs w:val="20"/>
        </w:rPr>
        <w:t>zasedání České n</w:t>
      </w:r>
      <w:r w:rsidR="00973C62" w:rsidRPr="00973C62">
        <w:rPr>
          <w:rFonts w:ascii="Arial" w:hAnsi="Arial" w:cs="Arial"/>
          <w:i/>
          <w:sz w:val="20"/>
          <w:szCs w:val="20"/>
        </w:rPr>
        <w:t>árodní banky, která nevyloučila, že i tentokrát přistoupí k na</w:t>
      </w:r>
      <w:r w:rsidR="00651B79" w:rsidRPr="00973C62">
        <w:rPr>
          <w:rFonts w:ascii="Arial" w:hAnsi="Arial" w:cs="Arial"/>
          <w:i/>
          <w:sz w:val="20"/>
          <w:szCs w:val="20"/>
        </w:rPr>
        <w:t>výšení</w:t>
      </w:r>
      <w:r w:rsidR="00973C62" w:rsidRPr="00973C62">
        <w:rPr>
          <w:rFonts w:ascii="Arial" w:hAnsi="Arial" w:cs="Arial"/>
          <w:i/>
          <w:sz w:val="20"/>
          <w:szCs w:val="20"/>
        </w:rPr>
        <w:t xml:space="preserve"> základních</w:t>
      </w:r>
      <w:r w:rsidR="00651B79" w:rsidRPr="00973C62">
        <w:rPr>
          <w:rFonts w:ascii="Arial" w:hAnsi="Arial" w:cs="Arial"/>
          <w:i/>
          <w:sz w:val="20"/>
          <w:szCs w:val="20"/>
        </w:rPr>
        <w:t xml:space="preserve"> úrokových sazeb. Zároveň se nechala slyšet, že vyšší úrokové sazby ponechá delší dobu.</w:t>
      </w:r>
      <w:r w:rsidR="00973C62" w:rsidRPr="00973C62">
        <w:rPr>
          <w:rFonts w:ascii="Arial" w:hAnsi="Arial" w:cs="Arial"/>
          <w:i/>
          <w:sz w:val="20"/>
          <w:szCs w:val="20"/>
        </w:rPr>
        <w:t xml:space="preserve"> </w:t>
      </w:r>
      <w:r w:rsidR="00651B79" w:rsidRPr="00973C62">
        <w:rPr>
          <w:rFonts w:ascii="Arial" w:hAnsi="Arial" w:cs="Arial"/>
          <w:i/>
          <w:color w:val="000000"/>
          <w:sz w:val="20"/>
          <w:szCs w:val="20"/>
        </w:rPr>
        <w:t>Banky tento vývoj</w:t>
      </w:r>
      <w:r w:rsidR="00973C62" w:rsidRPr="00973C62">
        <w:rPr>
          <w:rFonts w:ascii="Arial" w:hAnsi="Arial" w:cs="Arial"/>
          <w:i/>
          <w:color w:val="000000"/>
          <w:sz w:val="20"/>
          <w:szCs w:val="20"/>
        </w:rPr>
        <w:t xml:space="preserve"> samozřejmě bedlivě sledují. Odhaduji, že v krátké době jej promítnou i do úrokových sazeb hypoték,“</w:t>
      </w:r>
      <w:r w:rsidR="00973C62">
        <w:rPr>
          <w:rFonts w:ascii="Arial" w:hAnsi="Arial" w:cs="Arial"/>
          <w:color w:val="000000"/>
          <w:sz w:val="20"/>
          <w:szCs w:val="20"/>
        </w:rPr>
        <w:t xml:space="preserve"> uvádí </w:t>
      </w:r>
      <w:r w:rsidR="00973C62" w:rsidRPr="00973C62">
        <w:rPr>
          <w:rFonts w:ascii="Arial" w:hAnsi="Arial" w:cs="Arial"/>
          <w:b/>
          <w:color w:val="000000"/>
          <w:sz w:val="20"/>
          <w:szCs w:val="20"/>
        </w:rPr>
        <w:t>Michaela Pudilová, analytička hypotečních a spotřebitelských úvěrů Broker Consulting</w:t>
      </w:r>
      <w:r w:rsidR="00973C62" w:rsidRPr="00973C62">
        <w:rPr>
          <w:rFonts w:ascii="Arial" w:hAnsi="Arial" w:cs="Arial"/>
          <w:color w:val="000000"/>
          <w:sz w:val="20"/>
          <w:szCs w:val="20"/>
        </w:rPr>
        <w:t xml:space="preserve">.  </w:t>
      </w:r>
    </w:p>
    <w:p w14:paraId="2E478291" w14:textId="77777777" w:rsidR="00973C62" w:rsidRPr="00651B79" w:rsidRDefault="00973C62" w:rsidP="009345C9">
      <w:pPr>
        <w:jc w:val="both"/>
        <w:rPr>
          <w:rFonts w:ascii="Arial" w:hAnsi="Arial" w:cs="Arial"/>
          <w:sz w:val="20"/>
          <w:szCs w:val="20"/>
        </w:rPr>
      </w:pPr>
    </w:p>
    <w:p w14:paraId="449F1CF9" w14:textId="3E8787BE" w:rsidR="00651B79" w:rsidRPr="00651B79" w:rsidRDefault="00651B79" w:rsidP="009345C9">
      <w:pPr>
        <w:jc w:val="both"/>
        <w:rPr>
          <w:rFonts w:ascii="Arial" w:hAnsi="Arial" w:cs="Arial"/>
          <w:sz w:val="20"/>
          <w:szCs w:val="20"/>
        </w:rPr>
      </w:pPr>
      <w:r w:rsidRPr="00651B79">
        <w:rPr>
          <w:rFonts w:ascii="Arial" w:hAnsi="Arial" w:cs="Arial"/>
          <w:sz w:val="20"/>
          <w:szCs w:val="20"/>
        </w:rPr>
        <w:t>Kroky České národní banky, v kombinaci s</w:t>
      </w:r>
      <w:r w:rsidR="00973C62">
        <w:rPr>
          <w:rFonts w:ascii="Arial" w:hAnsi="Arial" w:cs="Arial"/>
          <w:sz w:val="20"/>
          <w:szCs w:val="20"/>
        </w:rPr>
        <w:t> rekordně vysokou</w:t>
      </w:r>
      <w:r w:rsidRPr="00651B79">
        <w:rPr>
          <w:rFonts w:ascii="Arial" w:hAnsi="Arial" w:cs="Arial"/>
          <w:sz w:val="20"/>
          <w:szCs w:val="20"/>
        </w:rPr>
        <w:t> inflací a dopady války na Ukrajině</w:t>
      </w:r>
      <w:r w:rsidR="00973C62">
        <w:rPr>
          <w:rFonts w:ascii="Arial" w:hAnsi="Arial" w:cs="Arial"/>
          <w:sz w:val="20"/>
          <w:szCs w:val="20"/>
        </w:rPr>
        <w:t>,</w:t>
      </w:r>
      <w:r w:rsidRPr="00651B79">
        <w:rPr>
          <w:rFonts w:ascii="Arial" w:hAnsi="Arial" w:cs="Arial"/>
          <w:sz w:val="20"/>
          <w:szCs w:val="20"/>
        </w:rPr>
        <w:t xml:space="preserve"> ukazují, že doby nízkých úrokových sazeb jsou již definitivně </w:t>
      </w:r>
      <w:r w:rsidR="00973C62">
        <w:rPr>
          <w:rFonts w:ascii="Arial" w:hAnsi="Arial" w:cs="Arial"/>
          <w:sz w:val="20"/>
          <w:szCs w:val="20"/>
        </w:rPr>
        <w:t>minulostí</w:t>
      </w:r>
      <w:r w:rsidRPr="00651B79">
        <w:rPr>
          <w:rFonts w:ascii="Arial" w:hAnsi="Arial" w:cs="Arial"/>
          <w:sz w:val="20"/>
          <w:szCs w:val="20"/>
        </w:rPr>
        <w:t xml:space="preserve">. </w:t>
      </w:r>
      <w:r w:rsidR="00973C62">
        <w:rPr>
          <w:rFonts w:ascii="Arial" w:hAnsi="Arial" w:cs="Arial"/>
          <w:sz w:val="20"/>
          <w:szCs w:val="20"/>
        </w:rPr>
        <w:t>Pod</w:t>
      </w:r>
      <w:r w:rsidR="009345C9">
        <w:rPr>
          <w:rFonts w:ascii="Arial" w:hAnsi="Arial" w:cs="Arial"/>
          <w:sz w:val="20"/>
          <w:szCs w:val="20"/>
        </w:rPr>
        <w:t xml:space="preserve">le Michaely Pudilové se sazby </w:t>
      </w:r>
      <w:r w:rsidR="00973C62">
        <w:rPr>
          <w:rFonts w:ascii="Arial" w:hAnsi="Arial" w:cs="Arial"/>
          <w:sz w:val="20"/>
          <w:szCs w:val="20"/>
        </w:rPr>
        <w:t>hypotečních úvěrů budou b</w:t>
      </w:r>
      <w:r w:rsidRPr="00651B79">
        <w:rPr>
          <w:rFonts w:ascii="Arial" w:hAnsi="Arial" w:cs="Arial"/>
          <w:sz w:val="20"/>
          <w:szCs w:val="20"/>
        </w:rPr>
        <w:t xml:space="preserve">ěhem letošního roku </w:t>
      </w:r>
      <w:r w:rsidR="00973C62">
        <w:rPr>
          <w:rFonts w:ascii="Arial" w:hAnsi="Arial" w:cs="Arial"/>
          <w:sz w:val="20"/>
          <w:szCs w:val="20"/>
        </w:rPr>
        <w:t xml:space="preserve">pohybovat </w:t>
      </w:r>
      <w:r w:rsidRPr="00651B79">
        <w:rPr>
          <w:rFonts w:ascii="Arial" w:hAnsi="Arial" w:cs="Arial"/>
          <w:sz w:val="20"/>
          <w:szCs w:val="20"/>
        </w:rPr>
        <w:t>v rozmezí 4</w:t>
      </w:r>
      <w:r w:rsidR="00830105">
        <w:rPr>
          <w:rFonts w:ascii="Arial" w:hAnsi="Arial" w:cs="Arial"/>
          <w:sz w:val="20"/>
          <w:szCs w:val="20"/>
        </w:rPr>
        <w:t xml:space="preserve"> až </w:t>
      </w:r>
      <w:r w:rsidRPr="00651B79">
        <w:rPr>
          <w:rFonts w:ascii="Arial" w:hAnsi="Arial" w:cs="Arial"/>
          <w:sz w:val="20"/>
          <w:szCs w:val="20"/>
        </w:rPr>
        <w:t>5 %</w:t>
      </w:r>
      <w:r w:rsidR="00830105">
        <w:rPr>
          <w:rFonts w:ascii="Arial" w:hAnsi="Arial" w:cs="Arial"/>
          <w:sz w:val="20"/>
          <w:szCs w:val="20"/>
        </w:rPr>
        <w:t>, možná i lehce nad touto hranicí</w:t>
      </w:r>
      <w:r w:rsidR="009345C9">
        <w:rPr>
          <w:rFonts w:ascii="Arial" w:hAnsi="Arial" w:cs="Arial"/>
          <w:sz w:val="20"/>
          <w:szCs w:val="20"/>
        </w:rPr>
        <w:t>,</w:t>
      </w:r>
      <w:r w:rsidR="00830105">
        <w:rPr>
          <w:rFonts w:ascii="Arial" w:hAnsi="Arial" w:cs="Arial"/>
          <w:sz w:val="20"/>
          <w:szCs w:val="20"/>
        </w:rPr>
        <w:t xml:space="preserve"> vzhledem k aktuální hodnotě 4,61 %. Pudilová dále očekává, že k poklesu sazeb dojde </w:t>
      </w:r>
      <w:r w:rsidRPr="00651B79">
        <w:rPr>
          <w:rFonts w:ascii="Arial" w:hAnsi="Arial" w:cs="Arial"/>
          <w:sz w:val="20"/>
          <w:szCs w:val="20"/>
        </w:rPr>
        <w:t>nejdříve počátkem příštího roku.</w:t>
      </w:r>
    </w:p>
    <w:p w14:paraId="272763C9" w14:textId="77777777" w:rsidR="00651B79" w:rsidRPr="00651B79" w:rsidRDefault="00651B79" w:rsidP="009345C9">
      <w:pPr>
        <w:jc w:val="both"/>
        <w:rPr>
          <w:rFonts w:ascii="Arial" w:hAnsi="Arial" w:cs="Arial"/>
          <w:sz w:val="20"/>
          <w:szCs w:val="20"/>
        </w:rPr>
      </w:pPr>
    </w:p>
    <w:p w14:paraId="2D2BDC01" w14:textId="0E1F9DF3" w:rsidR="00651B79" w:rsidRPr="00651B79" w:rsidRDefault="00830105" w:rsidP="009345C9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 důsledku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 dubnové</w:t>
      </w:r>
      <w:r>
        <w:rPr>
          <w:rFonts w:ascii="Arial" w:hAnsi="Arial" w:cs="Arial"/>
          <w:color w:val="000000"/>
          <w:sz w:val="20"/>
          <w:szCs w:val="20"/>
        </w:rPr>
        <w:t>ho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 zpřísnění podmínek Č</w:t>
      </w:r>
      <w:r>
        <w:rPr>
          <w:rFonts w:ascii="Arial" w:hAnsi="Arial" w:cs="Arial"/>
          <w:color w:val="000000"/>
          <w:sz w:val="20"/>
          <w:szCs w:val="20"/>
        </w:rPr>
        <w:t xml:space="preserve">NB 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pro poskytování hypoték </w:t>
      </w:r>
      <w:r w:rsidR="00122CEB">
        <w:rPr>
          <w:rFonts w:ascii="Arial" w:hAnsi="Arial" w:cs="Arial"/>
          <w:color w:val="000000"/>
          <w:sz w:val="20"/>
          <w:szCs w:val="20"/>
        </w:rPr>
        <w:t xml:space="preserve">žadatelům nad 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36 let musí mít </w:t>
      </w:r>
      <w:r w:rsidR="00122CEB">
        <w:rPr>
          <w:rFonts w:ascii="Arial" w:hAnsi="Arial" w:cs="Arial"/>
          <w:color w:val="000000"/>
          <w:sz w:val="20"/>
          <w:szCs w:val="20"/>
        </w:rPr>
        <w:t xml:space="preserve">již 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>klient naspořeno více vlastních zdrojů</w:t>
      </w:r>
      <w:r>
        <w:rPr>
          <w:rFonts w:ascii="Arial" w:hAnsi="Arial" w:cs="Arial"/>
          <w:color w:val="000000"/>
          <w:sz w:val="20"/>
          <w:szCs w:val="20"/>
        </w:rPr>
        <w:t xml:space="preserve">, a to nejméně 20 % z hodnoty nemovitosti. Nicméně ještě větší roli sehrávají 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vysoké úrokové sazby, které nutí </w:t>
      </w:r>
      <w:r>
        <w:rPr>
          <w:rFonts w:ascii="Arial" w:hAnsi="Arial" w:cs="Arial"/>
          <w:color w:val="000000"/>
          <w:sz w:val="20"/>
          <w:szCs w:val="20"/>
        </w:rPr>
        <w:t xml:space="preserve">mnoho 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domácností vyčkávat. Nejde totiž </w:t>
      </w:r>
      <w:r>
        <w:rPr>
          <w:rFonts w:ascii="Arial" w:hAnsi="Arial" w:cs="Arial"/>
          <w:color w:val="000000"/>
          <w:sz w:val="20"/>
          <w:szCs w:val="20"/>
        </w:rPr>
        <w:t>pouze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 o pořízení nemovitosti nebo koupi pozemku, s náklady navíc musí klient</w:t>
      </w:r>
      <w:r>
        <w:rPr>
          <w:rFonts w:ascii="Arial" w:hAnsi="Arial" w:cs="Arial"/>
          <w:color w:val="000000"/>
          <w:sz w:val="20"/>
          <w:szCs w:val="20"/>
        </w:rPr>
        <w:t>i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 počítat </w:t>
      </w:r>
      <w:r>
        <w:rPr>
          <w:rFonts w:ascii="Arial" w:hAnsi="Arial" w:cs="Arial"/>
          <w:color w:val="000000"/>
          <w:sz w:val="20"/>
          <w:szCs w:val="20"/>
        </w:rPr>
        <w:t>také v případě</w:t>
      </w:r>
      <w:r w:rsidR="00122CEB">
        <w:rPr>
          <w:rFonts w:ascii="Arial" w:hAnsi="Arial" w:cs="Arial"/>
          <w:color w:val="000000"/>
          <w:sz w:val="20"/>
          <w:szCs w:val="20"/>
        </w:rPr>
        <w:t xml:space="preserve"> stavebních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 materiál</w:t>
      </w:r>
      <w:r w:rsidR="00122CEB">
        <w:rPr>
          <w:rFonts w:ascii="Arial" w:hAnsi="Arial" w:cs="Arial"/>
          <w:color w:val="000000"/>
          <w:sz w:val="20"/>
          <w:szCs w:val="20"/>
        </w:rPr>
        <w:t>ů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 xml:space="preserve"> a energií.</w:t>
      </w:r>
    </w:p>
    <w:p w14:paraId="06A3DEDE" w14:textId="77777777" w:rsidR="00651B79" w:rsidRPr="00651B79" w:rsidRDefault="00651B79" w:rsidP="009345C9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57A9AF95" w14:textId="18194BC5" w:rsidR="00651B79" w:rsidRPr="00651B79" w:rsidRDefault="00695DE8" w:rsidP="009345C9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695DE8">
        <w:rPr>
          <w:rFonts w:ascii="Arial" w:hAnsi="Arial" w:cs="Arial"/>
          <w:i/>
          <w:color w:val="000000"/>
          <w:sz w:val="20"/>
          <w:szCs w:val="20"/>
        </w:rPr>
        <w:t>„</w:t>
      </w:r>
      <w:r w:rsidR="00651B79" w:rsidRPr="00695DE8">
        <w:rPr>
          <w:rFonts w:ascii="Arial" w:hAnsi="Arial" w:cs="Arial"/>
          <w:i/>
          <w:color w:val="000000"/>
          <w:sz w:val="20"/>
          <w:szCs w:val="20"/>
        </w:rPr>
        <w:t>Ještě komplikov</w:t>
      </w:r>
      <w:r w:rsidR="00830105" w:rsidRPr="00695DE8">
        <w:rPr>
          <w:rFonts w:ascii="Arial" w:hAnsi="Arial" w:cs="Arial"/>
          <w:i/>
          <w:color w:val="000000"/>
          <w:sz w:val="20"/>
          <w:szCs w:val="20"/>
        </w:rPr>
        <w:t>anější situaci nyní čelí ti, kteří u</w:t>
      </w:r>
      <w:r w:rsidR="00651B79" w:rsidRPr="00695DE8">
        <w:rPr>
          <w:rFonts w:ascii="Arial" w:hAnsi="Arial" w:cs="Arial"/>
          <w:i/>
          <w:color w:val="000000"/>
          <w:sz w:val="20"/>
          <w:szCs w:val="20"/>
        </w:rPr>
        <w:t xml:space="preserve">ž hypotéku mají a </w:t>
      </w:r>
      <w:r w:rsidR="00830105" w:rsidRPr="00695DE8">
        <w:rPr>
          <w:rFonts w:ascii="Arial" w:hAnsi="Arial" w:cs="Arial"/>
          <w:i/>
          <w:color w:val="000000"/>
          <w:sz w:val="20"/>
          <w:szCs w:val="20"/>
        </w:rPr>
        <w:t>v této době</w:t>
      </w:r>
      <w:r w:rsidR="00651B79" w:rsidRPr="00695DE8">
        <w:rPr>
          <w:rFonts w:ascii="Arial" w:hAnsi="Arial" w:cs="Arial"/>
          <w:i/>
          <w:color w:val="000000"/>
          <w:sz w:val="20"/>
          <w:szCs w:val="20"/>
        </w:rPr>
        <w:t xml:space="preserve"> jim končí fixace úrokové sazby. Pokud </w:t>
      </w:r>
      <w:r w:rsidR="00830105" w:rsidRPr="00695DE8">
        <w:rPr>
          <w:rFonts w:ascii="Arial" w:hAnsi="Arial" w:cs="Arial"/>
          <w:i/>
          <w:color w:val="000000"/>
          <w:sz w:val="20"/>
          <w:szCs w:val="20"/>
        </w:rPr>
        <w:t xml:space="preserve">si </w:t>
      </w:r>
      <w:r w:rsidR="00651B79" w:rsidRPr="00695DE8">
        <w:rPr>
          <w:rFonts w:ascii="Arial" w:hAnsi="Arial" w:cs="Arial"/>
          <w:i/>
          <w:color w:val="000000"/>
          <w:sz w:val="20"/>
          <w:szCs w:val="20"/>
        </w:rPr>
        <w:t xml:space="preserve">nefixovali úrokovou sazbu na další období několik měsíců předem, musí počítat s vyššími výdaji </w:t>
      </w:r>
      <w:r w:rsidR="00122CEB">
        <w:rPr>
          <w:rFonts w:ascii="Arial" w:hAnsi="Arial" w:cs="Arial"/>
          <w:i/>
          <w:color w:val="000000"/>
          <w:sz w:val="20"/>
          <w:szCs w:val="20"/>
        </w:rPr>
        <w:t>až o několik</w:t>
      </w:r>
      <w:r w:rsidR="00651B79" w:rsidRPr="00695DE8">
        <w:rPr>
          <w:rFonts w:ascii="Arial" w:hAnsi="Arial" w:cs="Arial"/>
          <w:i/>
          <w:color w:val="000000"/>
          <w:sz w:val="20"/>
          <w:szCs w:val="20"/>
        </w:rPr>
        <w:t xml:space="preserve"> tisíc</w:t>
      </w:r>
      <w:r w:rsidR="00830105" w:rsidRPr="00695DE8">
        <w:rPr>
          <w:rFonts w:ascii="Arial" w:hAnsi="Arial" w:cs="Arial"/>
          <w:i/>
          <w:color w:val="000000"/>
          <w:sz w:val="20"/>
          <w:szCs w:val="20"/>
        </w:rPr>
        <w:t xml:space="preserve"> korun měsíčně</w:t>
      </w:r>
      <w:r w:rsidR="00651B79" w:rsidRPr="00695DE8">
        <w:rPr>
          <w:rFonts w:ascii="Arial" w:hAnsi="Arial" w:cs="Arial"/>
          <w:i/>
          <w:color w:val="000000"/>
          <w:sz w:val="20"/>
          <w:szCs w:val="20"/>
        </w:rPr>
        <w:t xml:space="preserve">. </w:t>
      </w:r>
      <w:r w:rsidR="00830105" w:rsidRPr="00695DE8">
        <w:rPr>
          <w:rFonts w:ascii="Arial" w:hAnsi="Arial" w:cs="Arial"/>
          <w:i/>
          <w:color w:val="000000"/>
          <w:sz w:val="20"/>
          <w:szCs w:val="20"/>
        </w:rPr>
        <w:t>Zejména</w:t>
      </w:r>
      <w:r w:rsidR="00651B79" w:rsidRPr="00695DE8">
        <w:rPr>
          <w:rFonts w:ascii="Arial" w:hAnsi="Arial" w:cs="Arial"/>
          <w:i/>
          <w:color w:val="000000"/>
          <w:sz w:val="20"/>
          <w:szCs w:val="20"/>
        </w:rPr>
        <w:t xml:space="preserve"> pro rodiny s napjatým rozpočtem může být </w:t>
      </w:r>
      <w:r w:rsidR="00830105" w:rsidRPr="00695DE8">
        <w:rPr>
          <w:rFonts w:ascii="Arial" w:hAnsi="Arial" w:cs="Arial"/>
          <w:i/>
          <w:color w:val="000000"/>
          <w:sz w:val="20"/>
          <w:szCs w:val="20"/>
        </w:rPr>
        <w:t xml:space="preserve">nastalá situace obtížně </w:t>
      </w:r>
      <w:r w:rsidR="00651B79" w:rsidRPr="00695DE8">
        <w:rPr>
          <w:rFonts w:ascii="Arial" w:hAnsi="Arial" w:cs="Arial"/>
          <w:i/>
          <w:color w:val="000000"/>
          <w:sz w:val="20"/>
          <w:szCs w:val="20"/>
        </w:rPr>
        <w:t>řešitelný problém</w:t>
      </w:r>
      <w:r w:rsidR="00830105" w:rsidRPr="00695DE8">
        <w:rPr>
          <w:rFonts w:ascii="Arial" w:hAnsi="Arial" w:cs="Arial"/>
          <w:i/>
          <w:color w:val="000000"/>
          <w:sz w:val="20"/>
          <w:szCs w:val="20"/>
        </w:rPr>
        <w:t>,“</w:t>
      </w:r>
      <w:r w:rsidR="00830105">
        <w:rPr>
          <w:rFonts w:ascii="Arial" w:hAnsi="Arial" w:cs="Arial"/>
          <w:color w:val="000000"/>
          <w:sz w:val="20"/>
          <w:szCs w:val="20"/>
        </w:rPr>
        <w:t xml:space="preserve"> upozorňuje </w:t>
      </w:r>
      <w:r w:rsidRPr="00695DE8">
        <w:rPr>
          <w:rFonts w:ascii="Arial" w:hAnsi="Arial" w:cs="Arial"/>
          <w:b/>
          <w:color w:val="000000"/>
          <w:sz w:val="20"/>
          <w:szCs w:val="20"/>
        </w:rPr>
        <w:t>Lukáš Kubík, ředitel poboček OK POINT v Ostravě a Olomouci</w:t>
      </w:r>
      <w:r w:rsidR="00651B79" w:rsidRPr="00651B79">
        <w:rPr>
          <w:rFonts w:ascii="Arial" w:hAnsi="Arial" w:cs="Arial"/>
          <w:color w:val="000000"/>
          <w:sz w:val="20"/>
          <w:szCs w:val="20"/>
        </w:rPr>
        <w:t>.</w:t>
      </w:r>
    </w:p>
    <w:p w14:paraId="23C1C52A" w14:textId="77777777" w:rsidR="00651B79" w:rsidRPr="00651B79" w:rsidRDefault="00651B79" w:rsidP="009345C9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5BB5B486" w14:textId="4BD2320D" w:rsidR="00651B79" w:rsidRPr="00651B79" w:rsidRDefault="00651B79" w:rsidP="009345C9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651B79">
        <w:rPr>
          <w:rFonts w:ascii="Arial" w:hAnsi="Arial" w:cs="Arial"/>
          <w:color w:val="000000"/>
          <w:sz w:val="20"/>
          <w:szCs w:val="20"/>
        </w:rPr>
        <w:t>V české společnosti přesto stále rezonuje názor, že vlastní bydlení je nezbytnou věcí</w:t>
      </w:r>
      <w:r w:rsidR="009345C9">
        <w:rPr>
          <w:rFonts w:ascii="Arial" w:hAnsi="Arial" w:cs="Arial"/>
          <w:color w:val="000000"/>
          <w:sz w:val="20"/>
          <w:szCs w:val="20"/>
        </w:rPr>
        <w:t>, která přináší jistotu</w:t>
      </w:r>
      <w:r w:rsidRPr="00651B79">
        <w:rPr>
          <w:rFonts w:ascii="Arial" w:hAnsi="Arial" w:cs="Arial"/>
          <w:color w:val="000000"/>
          <w:sz w:val="20"/>
          <w:szCs w:val="20"/>
        </w:rPr>
        <w:t>.</w:t>
      </w:r>
      <w:r w:rsidR="009345C9">
        <w:rPr>
          <w:rFonts w:ascii="Arial" w:hAnsi="Arial" w:cs="Arial"/>
          <w:color w:val="000000"/>
          <w:sz w:val="20"/>
          <w:szCs w:val="20"/>
        </w:rPr>
        <w:t xml:space="preserve"> Statistiky uvádějí, že až 70 % </w:t>
      </w:r>
      <w:r w:rsidRPr="00651B79">
        <w:rPr>
          <w:rFonts w:ascii="Arial" w:hAnsi="Arial" w:cs="Arial"/>
          <w:color w:val="000000"/>
          <w:sz w:val="20"/>
          <w:szCs w:val="20"/>
        </w:rPr>
        <w:t>Čechů bydlí nebo chce bydlet ve vlastním. A na řeš</w:t>
      </w:r>
      <w:r w:rsidR="009345C9">
        <w:rPr>
          <w:rFonts w:ascii="Arial" w:hAnsi="Arial" w:cs="Arial"/>
          <w:color w:val="000000"/>
          <w:sz w:val="20"/>
          <w:szCs w:val="20"/>
        </w:rPr>
        <w:t xml:space="preserve">ení vlastního bydlení je </w:t>
      </w:r>
      <w:r w:rsidRPr="00651B79">
        <w:rPr>
          <w:rFonts w:ascii="Arial" w:hAnsi="Arial" w:cs="Arial"/>
          <w:color w:val="000000"/>
          <w:sz w:val="20"/>
          <w:szCs w:val="20"/>
        </w:rPr>
        <w:t>vhodná doba</w:t>
      </w:r>
      <w:r w:rsidR="009345C9">
        <w:rPr>
          <w:rFonts w:ascii="Arial" w:hAnsi="Arial" w:cs="Arial"/>
          <w:color w:val="000000"/>
          <w:sz w:val="20"/>
          <w:szCs w:val="20"/>
        </w:rPr>
        <w:t xml:space="preserve"> vždy</w:t>
      </w:r>
      <w:r w:rsidRPr="00651B79">
        <w:rPr>
          <w:rFonts w:ascii="Arial" w:hAnsi="Arial" w:cs="Arial"/>
          <w:color w:val="000000"/>
          <w:sz w:val="20"/>
          <w:szCs w:val="20"/>
        </w:rPr>
        <w:t>.</w:t>
      </w:r>
    </w:p>
    <w:p w14:paraId="48B4F4DA" w14:textId="63EA691D" w:rsidR="00651B79" w:rsidRDefault="00651B79" w:rsidP="001B7936">
      <w:pPr>
        <w:jc w:val="both"/>
        <w:rPr>
          <w:rFonts w:ascii="Arial" w:hAnsi="Arial" w:cs="Arial"/>
          <w:sz w:val="20"/>
          <w:szCs w:val="20"/>
        </w:rPr>
      </w:pPr>
    </w:p>
    <w:p w14:paraId="32CF5D72" w14:textId="4CFC841F" w:rsidR="00651B79" w:rsidRDefault="00225CEC" w:rsidP="001B793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AE7FF24" wp14:editId="52102037">
            <wp:extent cx="6635750" cy="2361748"/>
            <wp:effectExtent l="0" t="0" r="0" b="635"/>
            <wp:docPr id="2" name="Obrázek 2" descr="C:\Users\tkunova\AppData\Local\Microsoft\Windows\INetCache\Content.Word\GRAF BC Index hypotecnich uveru - duben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unova\AppData\Local\Microsoft\Windows\INetCache\Content.Word\GRAF BC Index hypotecnich uveru - duben 2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3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F495" w14:textId="77777777" w:rsidR="00C42CA5" w:rsidRPr="00651B79" w:rsidRDefault="00C42CA5" w:rsidP="001B7936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42D8034" w14:textId="72B1A3EA" w:rsidR="00AB4842" w:rsidRPr="009345C9" w:rsidRDefault="00C42CA5" w:rsidP="00092BB7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>Broker Consulting Index hypotečních úvěrů je analytický nástroj</w:t>
      </w:r>
      <w:r w:rsidR="00113603" w:rsidRPr="009345C9">
        <w:rPr>
          <w:rFonts w:ascii="Arial" w:hAnsi="Arial" w:cs="Arial"/>
          <w:sz w:val="20"/>
          <w:szCs w:val="20"/>
        </w:rPr>
        <w:t xml:space="preserve"> znázorňující</w:t>
      </w:r>
      <w:r w:rsidRPr="009345C9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9345C9">
        <w:rPr>
          <w:rFonts w:ascii="Arial" w:hAnsi="Arial" w:cs="Arial"/>
          <w:sz w:val="20"/>
          <w:szCs w:val="20"/>
        </w:rPr>
        <w:t>které</w:t>
      </w:r>
      <w:r w:rsidRPr="009345C9">
        <w:rPr>
          <w:rFonts w:ascii="Arial" w:hAnsi="Arial" w:cs="Arial"/>
          <w:sz w:val="20"/>
          <w:szCs w:val="20"/>
        </w:rPr>
        <w:t xml:space="preserve"> zprostředkovali konzultanti Broker Consulting a pobočky OK POINT u kteréhokoli poskytovatele hypotečních úvěrů. Jedná se o vážený aritmetický průměr, kdy hlavní vahou je objem úvěru. Tedy čím vyšší úvěr, tím jeho sazba </w:t>
      </w:r>
      <w:r w:rsidR="00113603" w:rsidRPr="009345C9">
        <w:rPr>
          <w:rFonts w:ascii="Arial" w:hAnsi="Arial" w:cs="Arial"/>
          <w:sz w:val="20"/>
          <w:szCs w:val="20"/>
        </w:rPr>
        <w:t xml:space="preserve">vstupuje </w:t>
      </w:r>
      <w:r w:rsidRPr="009345C9">
        <w:rPr>
          <w:rFonts w:ascii="Arial" w:hAnsi="Arial" w:cs="Arial"/>
          <w:sz w:val="20"/>
          <w:szCs w:val="20"/>
        </w:rPr>
        <w:t xml:space="preserve">do indexu větší vahou. </w:t>
      </w:r>
      <w:r w:rsidRPr="009345C9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 w:rsidRPr="009345C9">
        <w:rPr>
          <w:rFonts w:ascii="Arial" w:hAnsi="Arial" w:cs="Arial"/>
          <w:b/>
          <w:sz w:val="20"/>
          <w:szCs w:val="20"/>
        </w:rPr>
        <w:t xml:space="preserve">indexu </w:t>
      </w:r>
      <w:r w:rsidRPr="009345C9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Pr="009345C9">
        <w:rPr>
          <w:rFonts w:ascii="Arial" w:hAnsi="Arial" w:cs="Arial"/>
          <w:sz w:val="20"/>
          <w:szCs w:val="20"/>
        </w:rPr>
        <w:t xml:space="preserve"> Nemůže tak dojít ke zkreslení informací a index není závislý na dodávkách třetích stran. </w:t>
      </w:r>
    </w:p>
    <w:p w14:paraId="06153168" w14:textId="741061EE" w:rsidR="00236A37" w:rsidRPr="009345C9" w:rsidRDefault="00236A37" w:rsidP="00B479EB"/>
    <w:p w14:paraId="464B118E" w14:textId="23EA35C8" w:rsidR="00C42CA5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>V principu se Broker Consulting Index hypotečních úvěrů počítá ze sazeb, které jsou v danou chvíli pro daného klienta nejnižší na trhu</w:t>
      </w:r>
      <w:r w:rsidR="00FA2D1E" w:rsidRPr="009345C9">
        <w:rPr>
          <w:rFonts w:ascii="Arial" w:hAnsi="Arial" w:cs="Arial"/>
          <w:sz w:val="20"/>
          <w:szCs w:val="20"/>
        </w:rPr>
        <w:t>,</w:t>
      </w:r>
      <w:r w:rsidRPr="009345C9">
        <w:rPr>
          <w:rFonts w:ascii="Arial" w:hAnsi="Arial" w:cs="Arial"/>
          <w:sz w:val="20"/>
          <w:szCs w:val="20"/>
        </w:rPr>
        <w:t xml:space="preserve"> </w:t>
      </w:r>
      <w:r w:rsidR="00FA2D1E" w:rsidRPr="009345C9">
        <w:rPr>
          <w:rFonts w:ascii="Arial" w:hAnsi="Arial" w:cs="Arial"/>
          <w:sz w:val="20"/>
          <w:szCs w:val="20"/>
        </w:rPr>
        <w:t>a</w:t>
      </w:r>
      <w:r w:rsidRPr="009345C9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6B1DF12D" w14:textId="77777777" w:rsidR="009345C9" w:rsidRPr="009345C9" w:rsidRDefault="009345C9" w:rsidP="009345C9">
      <w:pPr>
        <w:jc w:val="both"/>
        <w:rPr>
          <w:rFonts w:ascii="Arial" w:hAnsi="Arial" w:cs="Arial"/>
          <w:sz w:val="20"/>
          <w:szCs w:val="20"/>
        </w:rPr>
      </w:pP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 w:rsidRPr="0073009C">
        <w:rPr>
          <w:rFonts w:ascii="Arial" w:eastAsia="Calibri" w:hAnsi="Arial" w:cs="Arial"/>
          <w:bCs/>
          <w:noProof/>
          <w:sz w:val="18"/>
          <w:szCs w:val="18"/>
        </w:rPr>
        <w:t>Tereza Kunová</w:t>
      </w:r>
    </w:p>
    <w:p w14:paraId="679794E2" w14:textId="77777777" w:rsidR="00692610" w:rsidRPr="0073009C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3D378A07" w14:textId="77777777" w:rsidR="00692610" w:rsidRPr="0073009C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Mobil: +420 731 537 716</w:t>
      </w:r>
    </w:p>
    <w:p w14:paraId="16B705EA" w14:textId="77777777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Pr="0073009C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tereza.kunova@bcas.cz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66332" w16cex:dateUtc="2021-05-12T12:22:00Z"/>
  <w16cex:commentExtensible w16cex:durableId="244663CA" w16cex:dateUtc="2021-05-12T12:25:00Z"/>
  <w16cex:commentExtensible w16cex:durableId="244663FE" w16cex:dateUtc="2021-05-12T12:26:00Z"/>
  <w16cex:commentExtensible w16cex:durableId="2446640F" w16cex:dateUtc="2021-05-12T12:26:00Z"/>
  <w16cex:commentExtensible w16cex:durableId="24466467" w16cex:dateUtc="2021-05-12T12:27:00Z"/>
  <w16cex:commentExtensible w16cex:durableId="244664CD" w16cex:dateUtc="2021-05-12T12:29:00Z"/>
  <w16cex:commentExtensible w16cex:durableId="24466562" w16cex:dateUtc="2021-05-12T12:32:00Z"/>
  <w16cex:commentExtensible w16cex:durableId="24466590" w16cex:dateUtc="2021-05-12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1C0C29" w16cid:durableId="24466332"/>
  <w16cid:commentId w16cid:paraId="6E758CA0" w16cid:durableId="244663CA"/>
  <w16cid:commentId w16cid:paraId="682081AB" w16cid:durableId="244663FE"/>
  <w16cid:commentId w16cid:paraId="15737A89" w16cid:durableId="2446640F"/>
  <w16cid:commentId w16cid:paraId="704D4E12" w16cid:durableId="24466467"/>
  <w16cid:commentId w16cid:paraId="4EE48CFB" w16cid:durableId="244664CD"/>
  <w16cid:commentId w16cid:paraId="6A8E62A2" w16cid:durableId="24466562"/>
  <w16cid:commentId w16cid:paraId="76876CCC" w16cid:durableId="244665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01709" w14:textId="77777777" w:rsidR="005B000E" w:rsidRDefault="005B000E">
      <w:r>
        <w:separator/>
      </w:r>
    </w:p>
  </w:endnote>
  <w:endnote w:type="continuationSeparator" w:id="0">
    <w:p w14:paraId="43167CD1" w14:textId="77777777" w:rsidR="005B000E" w:rsidRDefault="005B0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5B000E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5B000E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5B000E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75140" w14:textId="77777777" w:rsidR="005B000E" w:rsidRDefault="005B000E">
      <w:r>
        <w:separator/>
      </w:r>
    </w:p>
  </w:footnote>
  <w:footnote w:type="continuationSeparator" w:id="0">
    <w:p w14:paraId="42F10A58" w14:textId="77777777" w:rsidR="005B000E" w:rsidRDefault="005B0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14FB5"/>
    <w:rsid w:val="00020EC7"/>
    <w:rsid w:val="0002230E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5423A"/>
    <w:rsid w:val="000611E3"/>
    <w:rsid w:val="000766E7"/>
    <w:rsid w:val="00081616"/>
    <w:rsid w:val="0008331F"/>
    <w:rsid w:val="000845CA"/>
    <w:rsid w:val="000851AC"/>
    <w:rsid w:val="000853D4"/>
    <w:rsid w:val="00092BB7"/>
    <w:rsid w:val="00096425"/>
    <w:rsid w:val="0009776B"/>
    <w:rsid w:val="000A080B"/>
    <w:rsid w:val="000B187C"/>
    <w:rsid w:val="000B6DD9"/>
    <w:rsid w:val="000C181E"/>
    <w:rsid w:val="000C2DA6"/>
    <w:rsid w:val="000D14E2"/>
    <w:rsid w:val="000D7158"/>
    <w:rsid w:val="000E01C2"/>
    <w:rsid w:val="000E19B2"/>
    <w:rsid w:val="000E3D86"/>
    <w:rsid w:val="000E568C"/>
    <w:rsid w:val="000E5D32"/>
    <w:rsid w:val="000E6E14"/>
    <w:rsid w:val="000F4B6C"/>
    <w:rsid w:val="000F6249"/>
    <w:rsid w:val="001117DE"/>
    <w:rsid w:val="00111C28"/>
    <w:rsid w:val="00113603"/>
    <w:rsid w:val="001214E7"/>
    <w:rsid w:val="00122CEB"/>
    <w:rsid w:val="00126BEC"/>
    <w:rsid w:val="0013044E"/>
    <w:rsid w:val="00131A69"/>
    <w:rsid w:val="00136D8D"/>
    <w:rsid w:val="00137003"/>
    <w:rsid w:val="0013717C"/>
    <w:rsid w:val="00140987"/>
    <w:rsid w:val="001524FB"/>
    <w:rsid w:val="00156082"/>
    <w:rsid w:val="00160686"/>
    <w:rsid w:val="00161352"/>
    <w:rsid w:val="00162D8E"/>
    <w:rsid w:val="001675AF"/>
    <w:rsid w:val="00174317"/>
    <w:rsid w:val="001767A5"/>
    <w:rsid w:val="00192716"/>
    <w:rsid w:val="00194831"/>
    <w:rsid w:val="00194B5D"/>
    <w:rsid w:val="001A1A56"/>
    <w:rsid w:val="001A2D08"/>
    <w:rsid w:val="001A54DD"/>
    <w:rsid w:val="001A5AC8"/>
    <w:rsid w:val="001A7D2F"/>
    <w:rsid w:val="001B3B31"/>
    <w:rsid w:val="001B501B"/>
    <w:rsid w:val="001B7936"/>
    <w:rsid w:val="001D015A"/>
    <w:rsid w:val="001D3DFC"/>
    <w:rsid w:val="001D5EFC"/>
    <w:rsid w:val="001E02C2"/>
    <w:rsid w:val="001E1597"/>
    <w:rsid w:val="001E4209"/>
    <w:rsid w:val="001F7194"/>
    <w:rsid w:val="001F71BA"/>
    <w:rsid w:val="002019F3"/>
    <w:rsid w:val="0020207A"/>
    <w:rsid w:val="00202F22"/>
    <w:rsid w:val="0021395D"/>
    <w:rsid w:val="002141AF"/>
    <w:rsid w:val="0022052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212A"/>
    <w:rsid w:val="0025080B"/>
    <w:rsid w:val="0025264B"/>
    <w:rsid w:val="00253C9E"/>
    <w:rsid w:val="0025428A"/>
    <w:rsid w:val="002555D2"/>
    <w:rsid w:val="00257978"/>
    <w:rsid w:val="002619DC"/>
    <w:rsid w:val="00270DB3"/>
    <w:rsid w:val="00277D20"/>
    <w:rsid w:val="00280730"/>
    <w:rsid w:val="00281C61"/>
    <w:rsid w:val="00285767"/>
    <w:rsid w:val="002863CE"/>
    <w:rsid w:val="002A1185"/>
    <w:rsid w:val="002B094E"/>
    <w:rsid w:val="002B2A94"/>
    <w:rsid w:val="002B3C6D"/>
    <w:rsid w:val="002B4919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F002B"/>
    <w:rsid w:val="002F46B0"/>
    <w:rsid w:val="002F485A"/>
    <w:rsid w:val="002F7EC2"/>
    <w:rsid w:val="003015E0"/>
    <w:rsid w:val="00303A6E"/>
    <w:rsid w:val="0030751A"/>
    <w:rsid w:val="00307E95"/>
    <w:rsid w:val="00307FEB"/>
    <w:rsid w:val="003128F8"/>
    <w:rsid w:val="00322E5E"/>
    <w:rsid w:val="003243A6"/>
    <w:rsid w:val="003247B0"/>
    <w:rsid w:val="00330918"/>
    <w:rsid w:val="003337A9"/>
    <w:rsid w:val="00340E70"/>
    <w:rsid w:val="00342F85"/>
    <w:rsid w:val="00347557"/>
    <w:rsid w:val="00355366"/>
    <w:rsid w:val="003555BB"/>
    <w:rsid w:val="003629B6"/>
    <w:rsid w:val="003640C8"/>
    <w:rsid w:val="003721AD"/>
    <w:rsid w:val="003761D9"/>
    <w:rsid w:val="00380608"/>
    <w:rsid w:val="00380E0A"/>
    <w:rsid w:val="00383DC5"/>
    <w:rsid w:val="00385EED"/>
    <w:rsid w:val="00390B58"/>
    <w:rsid w:val="00395F41"/>
    <w:rsid w:val="003A4D47"/>
    <w:rsid w:val="003A6435"/>
    <w:rsid w:val="003A7D32"/>
    <w:rsid w:val="003B0E4F"/>
    <w:rsid w:val="003B1966"/>
    <w:rsid w:val="003B5B25"/>
    <w:rsid w:val="003C0CBE"/>
    <w:rsid w:val="003C3421"/>
    <w:rsid w:val="003C5D0A"/>
    <w:rsid w:val="003D1987"/>
    <w:rsid w:val="003D3AE8"/>
    <w:rsid w:val="003D69A7"/>
    <w:rsid w:val="003F07E8"/>
    <w:rsid w:val="003F79EC"/>
    <w:rsid w:val="0042193A"/>
    <w:rsid w:val="00431631"/>
    <w:rsid w:val="00432FD5"/>
    <w:rsid w:val="00434C5D"/>
    <w:rsid w:val="00435115"/>
    <w:rsid w:val="00441028"/>
    <w:rsid w:val="00444432"/>
    <w:rsid w:val="00445D0A"/>
    <w:rsid w:val="004540ED"/>
    <w:rsid w:val="00454843"/>
    <w:rsid w:val="004627B9"/>
    <w:rsid w:val="00466329"/>
    <w:rsid w:val="00473219"/>
    <w:rsid w:val="00477FFA"/>
    <w:rsid w:val="00481D66"/>
    <w:rsid w:val="00487B6B"/>
    <w:rsid w:val="004B5104"/>
    <w:rsid w:val="004B5797"/>
    <w:rsid w:val="004B64B3"/>
    <w:rsid w:val="004C0CEF"/>
    <w:rsid w:val="004C3F71"/>
    <w:rsid w:val="004D3578"/>
    <w:rsid w:val="004D4D9F"/>
    <w:rsid w:val="004F1934"/>
    <w:rsid w:val="0050659B"/>
    <w:rsid w:val="005153F7"/>
    <w:rsid w:val="0052216B"/>
    <w:rsid w:val="005224C1"/>
    <w:rsid w:val="0052338B"/>
    <w:rsid w:val="00523D4C"/>
    <w:rsid w:val="005275F9"/>
    <w:rsid w:val="0053153F"/>
    <w:rsid w:val="00534E75"/>
    <w:rsid w:val="00536954"/>
    <w:rsid w:val="00540606"/>
    <w:rsid w:val="00541870"/>
    <w:rsid w:val="005436EC"/>
    <w:rsid w:val="00544A37"/>
    <w:rsid w:val="005455B0"/>
    <w:rsid w:val="0055263D"/>
    <w:rsid w:val="00553369"/>
    <w:rsid w:val="00554574"/>
    <w:rsid w:val="0056150F"/>
    <w:rsid w:val="005729F4"/>
    <w:rsid w:val="005773B2"/>
    <w:rsid w:val="00577D19"/>
    <w:rsid w:val="0058062A"/>
    <w:rsid w:val="005834AE"/>
    <w:rsid w:val="0058666A"/>
    <w:rsid w:val="005875EC"/>
    <w:rsid w:val="00590434"/>
    <w:rsid w:val="00594050"/>
    <w:rsid w:val="0059432A"/>
    <w:rsid w:val="005A37E5"/>
    <w:rsid w:val="005A4497"/>
    <w:rsid w:val="005A5BBA"/>
    <w:rsid w:val="005A5F08"/>
    <w:rsid w:val="005B000E"/>
    <w:rsid w:val="005B0E8E"/>
    <w:rsid w:val="005B31D7"/>
    <w:rsid w:val="005B5427"/>
    <w:rsid w:val="005D189A"/>
    <w:rsid w:val="005D6963"/>
    <w:rsid w:val="005E45D8"/>
    <w:rsid w:val="005F18D4"/>
    <w:rsid w:val="005F65A1"/>
    <w:rsid w:val="00600788"/>
    <w:rsid w:val="00600BA3"/>
    <w:rsid w:val="00612DC2"/>
    <w:rsid w:val="006135FD"/>
    <w:rsid w:val="006212F9"/>
    <w:rsid w:val="0062747C"/>
    <w:rsid w:val="00633136"/>
    <w:rsid w:val="00636E70"/>
    <w:rsid w:val="0064020E"/>
    <w:rsid w:val="0064160C"/>
    <w:rsid w:val="0064209A"/>
    <w:rsid w:val="00645BA9"/>
    <w:rsid w:val="00651B79"/>
    <w:rsid w:val="00652695"/>
    <w:rsid w:val="006529D7"/>
    <w:rsid w:val="006545F8"/>
    <w:rsid w:val="00656312"/>
    <w:rsid w:val="0066135D"/>
    <w:rsid w:val="00663C36"/>
    <w:rsid w:val="00667012"/>
    <w:rsid w:val="00673DDB"/>
    <w:rsid w:val="006768F0"/>
    <w:rsid w:val="00677078"/>
    <w:rsid w:val="00677C07"/>
    <w:rsid w:val="0068617E"/>
    <w:rsid w:val="00692610"/>
    <w:rsid w:val="006939E4"/>
    <w:rsid w:val="00693A07"/>
    <w:rsid w:val="00695DE8"/>
    <w:rsid w:val="00697A40"/>
    <w:rsid w:val="00697F28"/>
    <w:rsid w:val="006A0BD0"/>
    <w:rsid w:val="006A150C"/>
    <w:rsid w:val="006A2F6C"/>
    <w:rsid w:val="006A3BE2"/>
    <w:rsid w:val="006A6601"/>
    <w:rsid w:val="006B2EA9"/>
    <w:rsid w:val="006B3CB5"/>
    <w:rsid w:val="006C4193"/>
    <w:rsid w:val="006C61E8"/>
    <w:rsid w:val="006D1884"/>
    <w:rsid w:val="006D65EC"/>
    <w:rsid w:val="006E26DC"/>
    <w:rsid w:val="006E52B8"/>
    <w:rsid w:val="006F32FB"/>
    <w:rsid w:val="00705D83"/>
    <w:rsid w:val="0072112F"/>
    <w:rsid w:val="007253C3"/>
    <w:rsid w:val="00730047"/>
    <w:rsid w:val="0073009C"/>
    <w:rsid w:val="007316BB"/>
    <w:rsid w:val="00731E05"/>
    <w:rsid w:val="00736FB9"/>
    <w:rsid w:val="007424FC"/>
    <w:rsid w:val="00762254"/>
    <w:rsid w:val="00771B91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232E"/>
    <w:rsid w:val="007B358E"/>
    <w:rsid w:val="007C6288"/>
    <w:rsid w:val="007D085C"/>
    <w:rsid w:val="007D2280"/>
    <w:rsid w:val="007D3EF7"/>
    <w:rsid w:val="007E5614"/>
    <w:rsid w:val="007F0754"/>
    <w:rsid w:val="007F3198"/>
    <w:rsid w:val="007F515C"/>
    <w:rsid w:val="00800CEA"/>
    <w:rsid w:val="008104E0"/>
    <w:rsid w:val="0081387C"/>
    <w:rsid w:val="008269F5"/>
    <w:rsid w:val="00830105"/>
    <w:rsid w:val="0083053E"/>
    <w:rsid w:val="00830CE8"/>
    <w:rsid w:val="00831B5E"/>
    <w:rsid w:val="0083338E"/>
    <w:rsid w:val="00833A44"/>
    <w:rsid w:val="00844420"/>
    <w:rsid w:val="00845A34"/>
    <w:rsid w:val="00850445"/>
    <w:rsid w:val="008769D5"/>
    <w:rsid w:val="00883A3E"/>
    <w:rsid w:val="00885B2F"/>
    <w:rsid w:val="008868A5"/>
    <w:rsid w:val="00890A80"/>
    <w:rsid w:val="008926E5"/>
    <w:rsid w:val="008926F3"/>
    <w:rsid w:val="00892DB3"/>
    <w:rsid w:val="008957C5"/>
    <w:rsid w:val="00896014"/>
    <w:rsid w:val="00896FD6"/>
    <w:rsid w:val="008A04D3"/>
    <w:rsid w:val="008A0C76"/>
    <w:rsid w:val="008B05F2"/>
    <w:rsid w:val="008C1795"/>
    <w:rsid w:val="008C4B0D"/>
    <w:rsid w:val="008D1E94"/>
    <w:rsid w:val="008E19F3"/>
    <w:rsid w:val="008E58ED"/>
    <w:rsid w:val="008F4980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32625"/>
    <w:rsid w:val="00934141"/>
    <w:rsid w:val="009344C2"/>
    <w:rsid w:val="009345C9"/>
    <w:rsid w:val="0093538A"/>
    <w:rsid w:val="0094705C"/>
    <w:rsid w:val="009514FE"/>
    <w:rsid w:val="00957B41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A69B1"/>
    <w:rsid w:val="009A6CDB"/>
    <w:rsid w:val="009B52C2"/>
    <w:rsid w:val="009C0ECA"/>
    <w:rsid w:val="009C283B"/>
    <w:rsid w:val="009C3544"/>
    <w:rsid w:val="009C45BA"/>
    <w:rsid w:val="009D7AFB"/>
    <w:rsid w:val="009E2833"/>
    <w:rsid w:val="009E317D"/>
    <w:rsid w:val="009E3B52"/>
    <w:rsid w:val="009E3D89"/>
    <w:rsid w:val="009F2CB2"/>
    <w:rsid w:val="009F2CEE"/>
    <w:rsid w:val="009F59EE"/>
    <w:rsid w:val="009F5CD5"/>
    <w:rsid w:val="00A069E2"/>
    <w:rsid w:val="00A07431"/>
    <w:rsid w:val="00A07A9F"/>
    <w:rsid w:val="00A11C90"/>
    <w:rsid w:val="00A12821"/>
    <w:rsid w:val="00A23C45"/>
    <w:rsid w:val="00A25B10"/>
    <w:rsid w:val="00A36D79"/>
    <w:rsid w:val="00A37A20"/>
    <w:rsid w:val="00A4618A"/>
    <w:rsid w:val="00A5429B"/>
    <w:rsid w:val="00A61F80"/>
    <w:rsid w:val="00A62CCA"/>
    <w:rsid w:val="00A641DB"/>
    <w:rsid w:val="00A65B9D"/>
    <w:rsid w:val="00A70932"/>
    <w:rsid w:val="00A719A5"/>
    <w:rsid w:val="00A72F83"/>
    <w:rsid w:val="00A7372B"/>
    <w:rsid w:val="00A7509B"/>
    <w:rsid w:val="00A7796E"/>
    <w:rsid w:val="00A77F44"/>
    <w:rsid w:val="00A93638"/>
    <w:rsid w:val="00AA218A"/>
    <w:rsid w:val="00AB3D30"/>
    <w:rsid w:val="00AB4794"/>
    <w:rsid w:val="00AB4842"/>
    <w:rsid w:val="00AC614D"/>
    <w:rsid w:val="00AC7F1C"/>
    <w:rsid w:val="00AE44CB"/>
    <w:rsid w:val="00AE55D4"/>
    <w:rsid w:val="00AE72D7"/>
    <w:rsid w:val="00B01F39"/>
    <w:rsid w:val="00B11974"/>
    <w:rsid w:val="00B12CF8"/>
    <w:rsid w:val="00B15519"/>
    <w:rsid w:val="00B15922"/>
    <w:rsid w:val="00B244B9"/>
    <w:rsid w:val="00B27178"/>
    <w:rsid w:val="00B30A9E"/>
    <w:rsid w:val="00B3265A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72652"/>
    <w:rsid w:val="00B815A3"/>
    <w:rsid w:val="00B91CEE"/>
    <w:rsid w:val="00B94777"/>
    <w:rsid w:val="00B95BB2"/>
    <w:rsid w:val="00B95EBA"/>
    <w:rsid w:val="00BA0BC1"/>
    <w:rsid w:val="00BA1D82"/>
    <w:rsid w:val="00BA1FA3"/>
    <w:rsid w:val="00BA23D8"/>
    <w:rsid w:val="00BA45FD"/>
    <w:rsid w:val="00BA4EFF"/>
    <w:rsid w:val="00BB4512"/>
    <w:rsid w:val="00BB4D49"/>
    <w:rsid w:val="00BB51F4"/>
    <w:rsid w:val="00BB58F0"/>
    <w:rsid w:val="00BB6439"/>
    <w:rsid w:val="00BB675F"/>
    <w:rsid w:val="00BD0936"/>
    <w:rsid w:val="00BD17B0"/>
    <w:rsid w:val="00BD3715"/>
    <w:rsid w:val="00BD5A47"/>
    <w:rsid w:val="00BD6E76"/>
    <w:rsid w:val="00BF4092"/>
    <w:rsid w:val="00BF44F1"/>
    <w:rsid w:val="00C05CCC"/>
    <w:rsid w:val="00C07F35"/>
    <w:rsid w:val="00C17C49"/>
    <w:rsid w:val="00C23E32"/>
    <w:rsid w:val="00C2555B"/>
    <w:rsid w:val="00C31E67"/>
    <w:rsid w:val="00C33A4A"/>
    <w:rsid w:val="00C42CA5"/>
    <w:rsid w:val="00C42FAF"/>
    <w:rsid w:val="00C47E7D"/>
    <w:rsid w:val="00C52DA0"/>
    <w:rsid w:val="00C668FF"/>
    <w:rsid w:val="00C7532A"/>
    <w:rsid w:val="00C864DC"/>
    <w:rsid w:val="00C908E5"/>
    <w:rsid w:val="00C9156E"/>
    <w:rsid w:val="00C947C0"/>
    <w:rsid w:val="00CA1722"/>
    <w:rsid w:val="00CA1806"/>
    <w:rsid w:val="00CA5872"/>
    <w:rsid w:val="00CA7CAF"/>
    <w:rsid w:val="00CB06F8"/>
    <w:rsid w:val="00CB18B1"/>
    <w:rsid w:val="00CB38CA"/>
    <w:rsid w:val="00CB6F2B"/>
    <w:rsid w:val="00CB7254"/>
    <w:rsid w:val="00CC0CB0"/>
    <w:rsid w:val="00CC1067"/>
    <w:rsid w:val="00CC65C5"/>
    <w:rsid w:val="00CC73AB"/>
    <w:rsid w:val="00CD12BC"/>
    <w:rsid w:val="00CD3324"/>
    <w:rsid w:val="00CD46EA"/>
    <w:rsid w:val="00CE6C6E"/>
    <w:rsid w:val="00CE76FD"/>
    <w:rsid w:val="00D012CF"/>
    <w:rsid w:val="00D01832"/>
    <w:rsid w:val="00D07AA2"/>
    <w:rsid w:val="00D1081A"/>
    <w:rsid w:val="00D21C96"/>
    <w:rsid w:val="00D30854"/>
    <w:rsid w:val="00D31127"/>
    <w:rsid w:val="00D320FC"/>
    <w:rsid w:val="00D333B4"/>
    <w:rsid w:val="00D3359F"/>
    <w:rsid w:val="00D40C89"/>
    <w:rsid w:val="00D47B55"/>
    <w:rsid w:val="00D47B8A"/>
    <w:rsid w:val="00D50703"/>
    <w:rsid w:val="00D531E4"/>
    <w:rsid w:val="00D53E59"/>
    <w:rsid w:val="00D60444"/>
    <w:rsid w:val="00D605B1"/>
    <w:rsid w:val="00D60D98"/>
    <w:rsid w:val="00D61FAA"/>
    <w:rsid w:val="00D62038"/>
    <w:rsid w:val="00D628D2"/>
    <w:rsid w:val="00D67EA6"/>
    <w:rsid w:val="00D71EA0"/>
    <w:rsid w:val="00D721F1"/>
    <w:rsid w:val="00D73F33"/>
    <w:rsid w:val="00D74A93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5316"/>
    <w:rsid w:val="00DA7B87"/>
    <w:rsid w:val="00DB0343"/>
    <w:rsid w:val="00DB342A"/>
    <w:rsid w:val="00DB63D9"/>
    <w:rsid w:val="00DB7121"/>
    <w:rsid w:val="00DB7E77"/>
    <w:rsid w:val="00DC0BD6"/>
    <w:rsid w:val="00DC0F17"/>
    <w:rsid w:val="00DC30D0"/>
    <w:rsid w:val="00DC422E"/>
    <w:rsid w:val="00DD67DA"/>
    <w:rsid w:val="00DD7940"/>
    <w:rsid w:val="00DE1840"/>
    <w:rsid w:val="00DE59C6"/>
    <w:rsid w:val="00DF2E5A"/>
    <w:rsid w:val="00DF4305"/>
    <w:rsid w:val="00E00DC6"/>
    <w:rsid w:val="00E058A3"/>
    <w:rsid w:val="00E130CB"/>
    <w:rsid w:val="00E151F3"/>
    <w:rsid w:val="00E17539"/>
    <w:rsid w:val="00E244E6"/>
    <w:rsid w:val="00E27028"/>
    <w:rsid w:val="00E32C50"/>
    <w:rsid w:val="00E423C3"/>
    <w:rsid w:val="00E4323F"/>
    <w:rsid w:val="00E5280E"/>
    <w:rsid w:val="00E52CEE"/>
    <w:rsid w:val="00E563FC"/>
    <w:rsid w:val="00E57F9B"/>
    <w:rsid w:val="00E60634"/>
    <w:rsid w:val="00E6319B"/>
    <w:rsid w:val="00E6726D"/>
    <w:rsid w:val="00E80764"/>
    <w:rsid w:val="00E81433"/>
    <w:rsid w:val="00E81C95"/>
    <w:rsid w:val="00E845C0"/>
    <w:rsid w:val="00E852A3"/>
    <w:rsid w:val="00E93103"/>
    <w:rsid w:val="00EA0295"/>
    <w:rsid w:val="00EA0C1C"/>
    <w:rsid w:val="00EA477A"/>
    <w:rsid w:val="00EA5D92"/>
    <w:rsid w:val="00EB5354"/>
    <w:rsid w:val="00EC3779"/>
    <w:rsid w:val="00EC7F0E"/>
    <w:rsid w:val="00ED2D1F"/>
    <w:rsid w:val="00ED58E9"/>
    <w:rsid w:val="00ED79D6"/>
    <w:rsid w:val="00EE1831"/>
    <w:rsid w:val="00EE3DAD"/>
    <w:rsid w:val="00EF2F7C"/>
    <w:rsid w:val="00F00A40"/>
    <w:rsid w:val="00F05773"/>
    <w:rsid w:val="00F0773E"/>
    <w:rsid w:val="00F14982"/>
    <w:rsid w:val="00F2598D"/>
    <w:rsid w:val="00F32739"/>
    <w:rsid w:val="00F336A2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829B7"/>
    <w:rsid w:val="00F84A4F"/>
    <w:rsid w:val="00F9173C"/>
    <w:rsid w:val="00F975AD"/>
    <w:rsid w:val="00FA2D1E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4B12"/>
    <w:rsid w:val="00FD5009"/>
    <w:rsid w:val="00FD6A70"/>
    <w:rsid w:val="00FE1EC8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ereza.kun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DC8E2-5045-44AC-90CA-559FE1D61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3</Pages>
  <Words>787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13</cp:revision>
  <dcterms:created xsi:type="dcterms:W3CDTF">2022-03-03T16:29:00Z</dcterms:created>
  <dcterms:modified xsi:type="dcterms:W3CDTF">2022-05-12T09:37:00Z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