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highlight w:val="yellow"/>
        </w:rPr>
        <w:id w:val="120037484"/>
        <w:docPartObj>
          <w:docPartGallery w:val="Cover Pages"/>
          <w:docPartUnique/>
        </w:docPartObj>
      </w:sdtPr>
      <w:sdtEndPr>
        <w:rPr>
          <w:rFonts w:ascii="Arial" w:hAnsi="Arial" w:cs="Arial"/>
          <w:b/>
          <w:sz w:val="20"/>
          <w:szCs w:val="20"/>
        </w:rPr>
      </w:sdtEndPr>
      <w:sdtContent>
        <w:p w14:paraId="718E6546" w14:textId="3DEA865B" w:rsidR="00D80B6D" w:rsidRPr="00FC2522" w:rsidRDefault="00D80B6D">
          <w:pPr>
            <w:rPr>
              <w:highlight w:val="yellow"/>
            </w:rPr>
          </w:pPr>
        </w:p>
        <w:p w14:paraId="7ED014A1" w14:textId="77777777" w:rsidR="00D80B6D" w:rsidRPr="00FC2522" w:rsidRDefault="00D80B6D" w:rsidP="00D80B6D">
          <w:pPr>
            <w:pStyle w:val="Nadpis3"/>
            <w:spacing w:before="10"/>
            <w:rPr>
              <w:rFonts w:ascii="Arial" w:hAnsi="Arial" w:cs="Arial"/>
              <w:color w:val="1D1D1B"/>
              <w:highlight w:val="yellow"/>
            </w:rPr>
          </w:pPr>
        </w:p>
        <w:p w14:paraId="0FB45B67" w14:textId="77777777" w:rsidR="00D80B6D" w:rsidRPr="004B5797" w:rsidRDefault="00D80B6D" w:rsidP="00D80B6D">
          <w:pPr>
            <w:spacing w:before="230"/>
            <w:ind w:left="165"/>
            <w:jc w:val="center"/>
            <w:rPr>
              <w:rFonts w:ascii="Arial" w:hAnsi="Arial" w:cs="Arial"/>
              <w:color w:val="CD1719"/>
              <w:sz w:val="24"/>
            </w:rPr>
          </w:pPr>
          <w:r w:rsidRPr="004B5797">
            <w:rPr>
              <w:rFonts w:ascii="Arial" w:hAnsi="Arial" w:cs="Arial"/>
              <w:color w:val="1D1D1B"/>
              <w:sz w:val="24"/>
            </w:rPr>
            <w:t xml:space="preserve">INDEX HYPOTEČNÍCH ÚVĚRŮ </w:t>
          </w:r>
          <w:r w:rsidRPr="004B5797">
            <w:rPr>
              <w:rFonts w:ascii="Arial" w:hAnsi="Arial" w:cs="Arial"/>
              <w:color w:val="CD1719"/>
              <w:sz w:val="24"/>
            </w:rPr>
            <w:t xml:space="preserve">| </w:t>
          </w:r>
          <w:r w:rsidRPr="004B5797">
            <w:rPr>
              <w:rFonts w:ascii="Arial" w:hAnsi="Arial" w:cs="Arial"/>
              <w:color w:val="1D1D1B"/>
              <w:sz w:val="24"/>
            </w:rPr>
            <w:t xml:space="preserve">FIXINDEX </w:t>
          </w:r>
        </w:p>
        <w:p w14:paraId="32900BCE" w14:textId="2933662C" w:rsidR="00D80B6D" w:rsidRPr="004B5797" w:rsidRDefault="00A252BA" w:rsidP="00D80B6D">
          <w:pPr>
            <w:spacing w:before="230"/>
            <w:ind w:left="165"/>
            <w:jc w:val="center"/>
            <w:rPr>
              <w:rFonts w:ascii="Arial" w:hAnsi="Arial" w:cs="Arial"/>
              <w:color w:val="1D1D1B"/>
              <w:sz w:val="24"/>
            </w:rPr>
          </w:pPr>
          <w:r>
            <w:rPr>
              <w:rFonts w:ascii="Arial" w:hAnsi="Arial" w:cs="Arial"/>
              <w:color w:val="1D1D1B"/>
              <w:sz w:val="24"/>
            </w:rPr>
            <w:t>POV</w:t>
          </w:r>
          <w:r w:rsidR="00D80B6D" w:rsidRPr="004B5797">
            <w:rPr>
              <w:rFonts w:ascii="Arial" w:hAnsi="Arial" w:cs="Arial"/>
              <w:color w:val="1D1D1B"/>
              <w:sz w:val="24"/>
            </w:rPr>
            <w:t xml:space="preserve">INDEX </w:t>
          </w:r>
        </w:p>
        <w:p w14:paraId="5B21B8A6" w14:textId="77777777" w:rsidR="00D80B6D" w:rsidRPr="004B5797" w:rsidRDefault="00D80B6D" w:rsidP="00D80B6D">
          <w:pPr>
            <w:spacing w:before="230"/>
            <w:ind w:left="165"/>
            <w:jc w:val="center"/>
            <w:rPr>
              <w:rFonts w:ascii="Arial" w:hAnsi="Arial" w:cs="Arial"/>
              <w:b/>
              <w:color w:val="CD1719"/>
              <w:sz w:val="24"/>
            </w:rPr>
          </w:pPr>
          <w:r w:rsidRPr="004B5797">
            <w:rPr>
              <w:rFonts w:ascii="Arial" w:hAnsi="Arial" w:cs="Arial"/>
              <w:b/>
              <w:color w:val="1D1D1B"/>
              <w:sz w:val="24"/>
            </w:rPr>
            <w:t xml:space="preserve">INDEX SPOTŘEBITELSKÝCH ÚVĚRŮ </w:t>
          </w:r>
          <w:r w:rsidRPr="004B5797">
            <w:rPr>
              <w:rFonts w:ascii="Arial" w:hAnsi="Arial" w:cs="Arial"/>
              <w:b/>
              <w:color w:val="CD1719"/>
              <w:sz w:val="24"/>
            </w:rPr>
            <w:t xml:space="preserve"> </w:t>
          </w:r>
        </w:p>
        <w:p w14:paraId="37B597D7" w14:textId="030ED6D6" w:rsidR="00032D94" w:rsidRPr="004B5797" w:rsidRDefault="00CA7673" w:rsidP="00D80B6D">
          <w:pPr>
            <w:spacing w:before="240" w:line="288" w:lineRule="exact"/>
            <w:ind w:left="162"/>
            <w:jc w:val="center"/>
            <w:rPr>
              <w:rFonts w:ascii="Arial" w:hAnsi="Arial" w:cs="Arial"/>
              <w:color w:val="1D1D1B"/>
              <w:sz w:val="24"/>
            </w:rPr>
          </w:pPr>
          <w:r>
            <w:rPr>
              <w:rFonts w:ascii="Arial" w:hAnsi="Arial" w:cs="Arial"/>
              <w:color w:val="1D1D1B"/>
              <w:sz w:val="24"/>
            </w:rPr>
            <w:t>INDEX PODÍLOVÝCH FONDŮ</w:t>
          </w:r>
        </w:p>
        <w:p w14:paraId="1FCC0C9E" w14:textId="77777777" w:rsidR="00D80B6D" w:rsidRPr="00FC2522" w:rsidRDefault="00D80B6D" w:rsidP="00D80B6D">
          <w:pPr>
            <w:pStyle w:val="Zkladntext"/>
            <w:spacing w:before="240"/>
            <w:rPr>
              <w:sz w:val="20"/>
              <w:highlight w:val="yellow"/>
            </w:rPr>
          </w:pPr>
        </w:p>
        <w:p w14:paraId="720CCDBB" w14:textId="77777777" w:rsidR="00D80B6D" w:rsidRPr="00FC2522" w:rsidRDefault="00D80B6D" w:rsidP="00D80B6D">
          <w:pPr>
            <w:pStyle w:val="Zkladntext"/>
            <w:spacing w:before="240"/>
            <w:rPr>
              <w:sz w:val="20"/>
              <w:highlight w:val="yellow"/>
            </w:rPr>
          </w:pPr>
        </w:p>
        <w:p w14:paraId="703D71F2" w14:textId="77777777" w:rsidR="00D80B6D" w:rsidRPr="00FC2522" w:rsidRDefault="00D80B6D" w:rsidP="00D80B6D">
          <w:pPr>
            <w:pStyle w:val="Zkladntext"/>
            <w:rPr>
              <w:sz w:val="20"/>
              <w:highlight w:val="yellow"/>
            </w:rPr>
          </w:pPr>
        </w:p>
        <w:p w14:paraId="00494A3A" w14:textId="77777777" w:rsidR="00D80B6D" w:rsidRPr="00FC2522" w:rsidRDefault="00D80B6D" w:rsidP="00D80B6D">
          <w:pPr>
            <w:pStyle w:val="Zkladntext"/>
            <w:rPr>
              <w:sz w:val="20"/>
              <w:highlight w:val="yellow"/>
            </w:rPr>
          </w:pPr>
          <w:r w:rsidRPr="00FC2522">
            <w:rPr>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FC2522" w:rsidRDefault="00D80B6D" w:rsidP="00D80B6D">
          <w:pPr>
            <w:pStyle w:val="Zkladntext"/>
            <w:rPr>
              <w:sz w:val="20"/>
              <w:highlight w:val="yellow"/>
            </w:rPr>
          </w:pPr>
        </w:p>
        <w:p w14:paraId="2A5F355C" w14:textId="77777777" w:rsidR="00D80B6D" w:rsidRPr="00FC2522" w:rsidRDefault="00D80B6D" w:rsidP="00D80B6D">
          <w:pPr>
            <w:pStyle w:val="Zkladntext"/>
            <w:rPr>
              <w:sz w:val="20"/>
              <w:highlight w:val="yellow"/>
            </w:rPr>
          </w:pPr>
        </w:p>
        <w:p w14:paraId="218EE6CB" w14:textId="77777777" w:rsidR="00D80B6D" w:rsidRPr="00FC2522" w:rsidRDefault="00D80B6D" w:rsidP="00D80B6D">
          <w:pPr>
            <w:pStyle w:val="Zkladntext"/>
            <w:rPr>
              <w:sz w:val="20"/>
              <w:highlight w:val="yellow"/>
            </w:rPr>
          </w:pPr>
        </w:p>
        <w:p w14:paraId="0238B3AB" w14:textId="77777777" w:rsidR="00D80B6D" w:rsidRPr="00FC2522" w:rsidRDefault="00D80B6D" w:rsidP="00D80B6D">
          <w:pPr>
            <w:pStyle w:val="Zkladntext"/>
            <w:rPr>
              <w:sz w:val="20"/>
              <w:highlight w:val="yellow"/>
            </w:rPr>
          </w:pPr>
        </w:p>
        <w:p w14:paraId="54516A42" w14:textId="77777777" w:rsidR="00D80B6D" w:rsidRPr="00FC2522" w:rsidRDefault="00D80B6D" w:rsidP="00D80B6D">
          <w:pPr>
            <w:pStyle w:val="Zkladntext"/>
            <w:rPr>
              <w:sz w:val="20"/>
              <w:highlight w:val="yellow"/>
            </w:rPr>
          </w:pPr>
        </w:p>
        <w:p w14:paraId="5266363A" w14:textId="77777777" w:rsidR="00D80B6D" w:rsidRPr="00FC2522" w:rsidRDefault="00D80B6D" w:rsidP="00D80B6D">
          <w:pPr>
            <w:pStyle w:val="Zkladntext"/>
            <w:rPr>
              <w:sz w:val="20"/>
              <w:highlight w:val="yellow"/>
            </w:rPr>
          </w:pPr>
        </w:p>
        <w:p w14:paraId="363B2E28" w14:textId="77777777" w:rsidR="00D80B6D" w:rsidRPr="00FC2522" w:rsidRDefault="00D80B6D" w:rsidP="00D80B6D">
          <w:pPr>
            <w:pStyle w:val="Zkladntext"/>
            <w:rPr>
              <w:sz w:val="20"/>
              <w:highlight w:val="yellow"/>
            </w:rPr>
          </w:pPr>
        </w:p>
        <w:p w14:paraId="17667B44" w14:textId="77777777" w:rsidR="00D80B6D" w:rsidRPr="00FC2522" w:rsidRDefault="00D80B6D" w:rsidP="00D80B6D">
          <w:pPr>
            <w:pStyle w:val="Zkladntext"/>
            <w:jc w:val="both"/>
            <w:rPr>
              <w:rFonts w:ascii="Arial" w:hAnsi="Arial" w:cs="Arial"/>
              <w:color w:val="FFFFFF" w:themeColor="background1"/>
              <w:sz w:val="20"/>
              <w:highlight w:val="yellow"/>
            </w:rPr>
          </w:pPr>
        </w:p>
        <w:p w14:paraId="5193A529" w14:textId="77777777" w:rsidR="00D80B6D" w:rsidRPr="00FC2522" w:rsidRDefault="00D80B6D" w:rsidP="00D80B6D">
          <w:pPr>
            <w:pStyle w:val="Zkladntext"/>
            <w:jc w:val="both"/>
            <w:rPr>
              <w:rFonts w:ascii="Arial" w:hAnsi="Arial" w:cs="Arial"/>
              <w:b/>
              <w:sz w:val="20"/>
              <w:highlight w:val="yellow"/>
            </w:rPr>
          </w:pPr>
        </w:p>
        <w:p w14:paraId="2833FE59" w14:textId="77777777" w:rsidR="00D80B6D" w:rsidRPr="00FC2522" w:rsidRDefault="00D80B6D" w:rsidP="00D80B6D">
          <w:pPr>
            <w:pStyle w:val="Zkladntext"/>
            <w:jc w:val="both"/>
            <w:rPr>
              <w:rFonts w:ascii="Arial" w:hAnsi="Arial" w:cs="Arial"/>
              <w:b/>
              <w:sz w:val="20"/>
              <w:highlight w:val="yellow"/>
            </w:rPr>
          </w:pPr>
        </w:p>
        <w:p w14:paraId="6DB157BF" w14:textId="77777777" w:rsidR="00D80B6D" w:rsidRPr="00FC2522" w:rsidRDefault="00D80B6D" w:rsidP="00D80B6D">
          <w:pPr>
            <w:pStyle w:val="Zkladntext"/>
            <w:jc w:val="both"/>
            <w:rPr>
              <w:rFonts w:ascii="Arial" w:hAnsi="Arial" w:cs="Arial"/>
              <w:b/>
              <w:sz w:val="20"/>
              <w:highlight w:val="yellow"/>
            </w:rPr>
          </w:pPr>
        </w:p>
        <w:p w14:paraId="47803C2A" w14:textId="77777777" w:rsidR="00D80B6D" w:rsidRPr="00FC2522" w:rsidRDefault="00D80B6D" w:rsidP="00D80B6D">
          <w:pPr>
            <w:pStyle w:val="Zkladntext"/>
            <w:jc w:val="both"/>
            <w:rPr>
              <w:rFonts w:ascii="Arial" w:hAnsi="Arial" w:cs="Arial"/>
              <w:b/>
              <w:sz w:val="20"/>
              <w:highlight w:val="yellow"/>
            </w:rPr>
          </w:pPr>
        </w:p>
        <w:p w14:paraId="1D90E1D0" w14:textId="77777777" w:rsidR="00D80B6D" w:rsidRPr="00FC2522" w:rsidRDefault="00D80B6D" w:rsidP="00D80B6D">
          <w:pPr>
            <w:pStyle w:val="Zkladntext"/>
            <w:jc w:val="both"/>
            <w:rPr>
              <w:rFonts w:ascii="Arial" w:hAnsi="Arial" w:cs="Arial"/>
              <w:b/>
              <w:sz w:val="20"/>
              <w:highlight w:val="yellow"/>
            </w:rPr>
          </w:pPr>
        </w:p>
        <w:p w14:paraId="5A33B823" w14:textId="77777777" w:rsidR="00D80B6D" w:rsidRPr="00FC2522" w:rsidRDefault="00D80B6D" w:rsidP="00D80B6D">
          <w:pPr>
            <w:pStyle w:val="Zkladntext"/>
            <w:jc w:val="both"/>
            <w:rPr>
              <w:rFonts w:ascii="Arial" w:hAnsi="Arial" w:cs="Arial"/>
              <w:b/>
              <w:sz w:val="20"/>
              <w:highlight w:val="yellow"/>
            </w:rPr>
          </w:pPr>
        </w:p>
        <w:p w14:paraId="0D2BECD0" w14:textId="77777777" w:rsidR="00D80B6D" w:rsidRPr="00FC2522" w:rsidRDefault="00D80B6D" w:rsidP="00D80B6D">
          <w:pPr>
            <w:pStyle w:val="Zkladntext"/>
            <w:jc w:val="both"/>
            <w:rPr>
              <w:rFonts w:ascii="Arial" w:hAnsi="Arial" w:cs="Arial"/>
              <w:b/>
              <w:sz w:val="20"/>
              <w:highlight w:val="yellow"/>
            </w:rPr>
          </w:pPr>
        </w:p>
        <w:p w14:paraId="69288FB9" w14:textId="77777777" w:rsidR="00D80B6D" w:rsidRPr="00FC2522" w:rsidRDefault="00D80B6D" w:rsidP="00D80B6D">
          <w:pPr>
            <w:pStyle w:val="Zkladntext"/>
            <w:jc w:val="both"/>
            <w:rPr>
              <w:rFonts w:ascii="Arial" w:hAnsi="Arial" w:cs="Arial"/>
              <w:b/>
              <w:sz w:val="20"/>
              <w:highlight w:val="yellow"/>
            </w:rPr>
          </w:pPr>
        </w:p>
        <w:p w14:paraId="541E93D5" w14:textId="77777777" w:rsidR="00D80B6D" w:rsidRPr="00FC2522" w:rsidRDefault="00D80B6D" w:rsidP="00D80B6D">
          <w:pPr>
            <w:pStyle w:val="Zkladntext"/>
            <w:jc w:val="both"/>
            <w:rPr>
              <w:rFonts w:ascii="Arial" w:hAnsi="Arial" w:cs="Arial"/>
              <w:b/>
              <w:sz w:val="20"/>
              <w:highlight w:val="yellow"/>
            </w:rPr>
          </w:pPr>
        </w:p>
        <w:p w14:paraId="341A343C" w14:textId="77777777" w:rsidR="00D80B6D" w:rsidRPr="00FC2522" w:rsidRDefault="00D80B6D" w:rsidP="00D80B6D">
          <w:pPr>
            <w:pStyle w:val="Zkladntext"/>
            <w:jc w:val="both"/>
            <w:rPr>
              <w:rFonts w:ascii="Arial" w:hAnsi="Arial" w:cs="Arial"/>
              <w:b/>
              <w:sz w:val="20"/>
              <w:highlight w:val="yellow"/>
            </w:rPr>
          </w:pPr>
        </w:p>
        <w:p w14:paraId="6C52C42D" w14:textId="77777777" w:rsidR="00D80B6D" w:rsidRPr="00FC2522" w:rsidRDefault="00D80B6D" w:rsidP="00D80B6D">
          <w:pPr>
            <w:pStyle w:val="Zkladntext"/>
            <w:jc w:val="both"/>
            <w:rPr>
              <w:rFonts w:ascii="Arial" w:hAnsi="Arial" w:cs="Arial"/>
              <w:b/>
              <w:sz w:val="20"/>
              <w:highlight w:val="yellow"/>
            </w:rPr>
          </w:pPr>
        </w:p>
        <w:p w14:paraId="3E3CDF25" w14:textId="77777777" w:rsidR="00D80B6D" w:rsidRPr="00FC2522" w:rsidRDefault="00D80B6D" w:rsidP="00D80B6D">
          <w:pPr>
            <w:pStyle w:val="Zkladntext"/>
            <w:jc w:val="both"/>
            <w:rPr>
              <w:rFonts w:ascii="Arial" w:hAnsi="Arial" w:cs="Arial"/>
              <w:b/>
              <w:sz w:val="20"/>
              <w:highlight w:val="yellow"/>
            </w:rPr>
          </w:pPr>
        </w:p>
        <w:p w14:paraId="40495E64" w14:textId="77777777" w:rsidR="00D80B6D" w:rsidRPr="00FC2522" w:rsidRDefault="00D80B6D" w:rsidP="00D80B6D">
          <w:pPr>
            <w:pStyle w:val="Zkladntext"/>
            <w:jc w:val="both"/>
            <w:rPr>
              <w:rFonts w:ascii="Arial" w:hAnsi="Arial" w:cs="Arial"/>
              <w:b/>
              <w:sz w:val="20"/>
              <w:highlight w:val="yellow"/>
            </w:rPr>
          </w:pPr>
        </w:p>
        <w:p w14:paraId="59B6F4E6" w14:textId="77777777" w:rsidR="00D80B6D" w:rsidRPr="00FC2522" w:rsidRDefault="00D80B6D" w:rsidP="00D80B6D">
          <w:pPr>
            <w:pStyle w:val="Zkladntext"/>
            <w:jc w:val="both"/>
            <w:rPr>
              <w:rFonts w:ascii="Arial" w:hAnsi="Arial" w:cs="Arial"/>
              <w:b/>
              <w:sz w:val="20"/>
              <w:highlight w:val="yellow"/>
            </w:rPr>
          </w:pPr>
        </w:p>
        <w:p w14:paraId="5ADDFBD6" w14:textId="77777777" w:rsidR="00D80B6D" w:rsidRPr="00FC2522" w:rsidRDefault="00D80B6D" w:rsidP="00D80B6D">
          <w:pPr>
            <w:pStyle w:val="Zkladntext"/>
            <w:jc w:val="both"/>
            <w:rPr>
              <w:rFonts w:ascii="Arial" w:hAnsi="Arial" w:cs="Arial"/>
              <w:b/>
              <w:sz w:val="20"/>
              <w:highlight w:val="yellow"/>
            </w:rPr>
          </w:pPr>
        </w:p>
        <w:p w14:paraId="1CB27DF8" w14:textId="77777777" w:rsidR="007B358E" w:rsidRPr="00FC2522" w:rsidRDefault="007B358E" w:rsidP="00D80B6D">
          <w:pPr>
            <w:pStyle w:val="Zkladntext"/>
            <w:jc w:val="both"/>
            <w:rPr>
              <w:rFonts w:ascii="Arial" w:hAnsi="Arial" w:cs="Arial"/>
              <w:b/>
              <w:sz w:val="20"/>
              <w:highlight w:val="yellow"/>
            </w:rPr>
          </w:pPr>
        </w:p>
        <w:p w14:paraId="3A61C564" w14:textId="77777777" w:rsidR="0068617E" w:rsidRPr="00FC2522" w:rsidRDefault="0068617E" w:rsidP="00D80B6D">
          <w:pPr>
            <w:pStyle w:val="Zkladntext"/>
            <w:jc w:val="both"/>
            <w:rPr>
              <w:rFonts w:ascii="Arial" w:hAnsi="Arial" w:cs="Arial"/>
              <w:b/>
              <w:sz w:val="20"/>
              <w:highlight w:val="yellow"/>
            </w:rPr>
          </w:pPr>
        </w:p>
        <w:p w14:paraId="1414E639" w14:textId="77777777" w:rsidR="0068617E" w:rsidRPr="00FC2522" w:rsidRDefault="0068617E" w:rsidP="00D80B6D">
          <w:pPr>
            <w:pStyle w:val="Zkladntext"/>
            <w:jc w:val="both"/>
            <w:rPr>
              <w:rFonts w:ascii="Arial" w:hAnsi="Arial" w:cs="Arial"/>
              <w:b/>
              <w:sz w:val="20"/>
              <w:highlight w:val="yellow"/>
            </w:rPr>
          </w:pPr>
        </w:p>
        <w:p w14:paraId="11132A3F" w14:textId="53DE594E" w:rsidR="00D80B6D" w:rsidRPr="00FC2522" w:rsidRDefault="00D80B6D" w:rsidP="00D80B6D">
          <w:pPr>
            <w:pStyle w:val="Zkladntext"/>
            <w:jc w:val="both"/>
            <w:rPr>
              <w:rFonts w:ascii="Arial" w:hAnsi="Arial" w:cs="Arial"/>
              <w:b/>
              <w:sz w:val="20"/>
            </w:rPr>
          </w:pPr>
          <w:r w:rsidRPr="00FC2522">
            <w:rPr>
              <w:rFonts w:ascii="Arial" w:hAnsi="Arial" w:cs="Arial"/>
              <w:b/>
              <w:sz w:val="20"/>
            </w:rPr>
            <w:t>O společnosti Broker Consulting</w:t>
          </w:r>
        </w:p>
        <w:p w14:paraId="27485CC6" w14:textId="77777777" w:rsidR="00D80B6D" w:rsidRPr="00FC2522" w:rsidRDefault="00D80B6D" w:rsidP="00D80B6D">
          <w:pPr>
            <w:jc w:val="both"/>
            <w:rPr>
              <w:rFonts w:ascii="Arial" w:hAnsi="Arial" w:cs="Arial"/>
              <w:sz w:val="20"/>
            </w:rPr>
          </w:pPr>
        </w:p>
        <w:p w14:paraId="08070DCC" w14:textId="258F6DB2" w:rsidR="00792EE9" w:rsidRPr="00FC2522" w:rsidRDefault="00792EE9" w:rsidP="00792EE9">
          <w:pPr>
            <w:jc w:val="both"/>
            <w:rPr>
              <w:rStyle w:val="dn"/>
              <w:rFonts w:ascii="Arial" w:hAnsi="Arial" w:cs="Arial"/>
              <w:sz w:val="18"/>
              <w:szCs w:val="18"/>
            </w:rPr>
          </w:pPr>
          <w:r w:rsidRPr="00FC2522">
            <w:rPr>
              <w:rFonts w:ascii="Arial" w:hAnsi="Arial" w:cs="Arial"/>
              <w:sz w:val="18"/>
            </w:rPr>
            <w:t xml:space="preserve">Broker Consulting je jednou z největších společností na českém a slovenském trhu, která poskytuje služby v oblasti financí a realit. Od roku 1998 získala důvěru více než 600 000 klientů. Poskytuje také služby přes 4 000 firmám. Distribuci služeb zajišťuje přibližně 2 000 konzultantů (profesionální konzultanti, zaměstnanci, konzultanti v zapracování v ČR i SR) ve více než 100 kancelářích a </w:t>
          </w:r>
          <w:r w:rsidR="002141AF">
            <w:rPr>
              <w:rFonts w:ascii="Arial" w:hAnsi="Arial" w:cs="Arial"/>
              <w:sz w:val="18"/>
            </w:rPr>
            <w:t>4</w:t>
          </w:r>
          <w:r w:rsidR="00CA7673">
            <w:rPr>
              <w:rFonts w:ascii="Arial" w:hAnsi="Arial" w:cs="Arial"/>
              <w:sz w:val="18"/>
            </w:rPr>
            <w:t>2</w:t>
          </w:r>
          <w:r w:rsidRPr="00FC2522">
            <w:rPr>
              <w:rFonts w:ascii="Arial" w:hAnsi="Arial" w:cs="Arial"/>
              <w:sz w:val="18"/>
            </w:rPr>
            <w:t xml:space="preserve"> franšízových pobočkách OK POINT.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který přináší společnost Broker Consulting ve spolupráci s mBank a MONETA Money Bank. </w:t>
          </w:r>
          <w:r w:rsidRPr="00FC2522">
            <w:rPr>
              <w:rStyle w:val="dn"/>
              <w:rFonts w:ascii="Arial" w:hAnsi="Arial" w:cs="Arial"/>
              <w:sz w:val="18"/>
              <w:szCs w:val="18"/>
            </w:rPr>
            <w:t xml:space="preserve">Více na </w:t>
          </w:r>
          <w:hyperlink r:id="rId9" w:history="1">
            <w:r w:rsidRPr="00FC2522">
              <w:rPr>
                <w:rStyle w:val="Hypertextovodkaz"/>
                <w:rFonts w:ascii="Arial" w:hAnsi="Arial" w:cs="Arial"/>
                <w:color w:val="FF0000"/>
                <w:sz w:val="18"/>
                <w:szCs w:val="18"/>
              </w:rPr>
              <w:t>www.bcas.cz</w:t>
            </w:r>
          </w:hyperlink>
          <w:r w:rsidRPr="00FC2522">
            <w:rPr>
              <w:rStyle w:val="Hypertextovodkaz"/>
              <w:rFonts w:ascii="Arial" w:hAnsi="Arial" w:cs="Arial"/>
              <w:sz w:val="18"/>
              <w:szCs w:val="18"/>
            </w:rPr>
            <w:t xml:space="preserve">, </w:t>
          </w:r>
          <w:hyperlink r:id="rId10" w:history="1">
            <w:r w:rsidRPr="00FC2522">
              <w:rPr>
                <w:rStyle w:val="Hypertextovodkaz"/>
                <w:rFonts w:ascii="Arial" w:hAnsi="Arial" w:cs="Arial"/>
                <w:color w:val="FF0000"/>
                <w:sz w:val="18"/>
                <w:szCs w:val="18"/>
              </w:rPr>
              <w:t>www.okpointy.cz</w:t>
            </w:r>
          </w:hyperlink>
          <w:r w:rsidR="004F6195">
            <w:rPr>
              <w:rStyle w:val="Hypertextovodkaz"/>
              <w:rFonts w:ascii="Arial" w:hAnsi="Arial" w:cs="Arial"/>
              <w:color w:val="FF0000"/>
              <w:sz w:val="18"/>
              <w:szCs w:val="18"/>
            </w:rPr>
            <w:t>, www.okpoint.tv</w:t>
          </w:r>
          <w:r w:rsidRPr="00FC2522">
            <w:rPr>
              <w:rStyle w:val="dn"/>
              <w:rFonts w:ascii="Arial" w:hAnsi="Arial" w:cs="Arial"/>
              <w:sz w:val="18"/>
              <w:szCs w:val="18"/>
            </w:rPr>
            <w:t xml:space="preserve"> a na </w:t>
          </w:r>
          <w:hyperlink r:id="rId11" w:history="1">
            <w:r w:rsidRPr="00FC2522">
              <w:rPr>
                <w:rStyle w:val="Hypertextovodkaz"/>
                <w:rFonts w:ascii="Arial" w:hAnsi="Arial" w:cs="Arial"/>
                <w:color w:val="FF0000"/>
                <w:sz w:val="18"/>
                <w:szCs w:val="18"/>
              </w:rPr>
              <w:t>www.realityspolu.cz</w:t>
            </w:r>
          </w:hyperlink>
          <w:r w:rsidRPr="00FC2522">
            <w:rPr>
              <w:rStyle w:val="dn"/>
              <w:rFonts w:ascii="Arial" w:hAnsi="Arial" w:cs="Arial"/>
              <w:sz w:val="18"/>
              <w:szCs w:val="18"/>
            </w:rPr>
            <w:t xml:space="preserve">. Navštivte také náš </w:t>
          </w:r>
          <w:hyperlink r:id="rId12" w:history="1">
            <w:r w:rsidRPr="00FC2522">
              <w:rPr>
                <w:rStyle w:val="Hypertextovodkaz"/>
                <w:rFonts w:ascii="Arial" w:hAnsi="Arial" w:cs="Arial"/>
                <w:color w:val="FF0000"/>
                <w:sz w:val="18"/>
                <w:szCs w:val="18"/>
              </w:rPr>
              <w:t>Facebook</w:t>
            </w:r>
          </w:hyperlink>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a </w:t>
          </w:r>
          <w:hyperlink r:id="rId13" w:history="1">
            <w:r w:rsidRPr="00FC2522">
              <w:rPr>
                <w:rStyle w:val="Hypertextovodkaz"/>
                <w:rFonts w:ascii="Arial" w:hAnsi="Arial" w:cs="Arial"/>
                <w:color w:val="FF0000"/>
                <w:sz w:val="18"/>
                <w:szCs w:val="18"/>
              </w:rPr>
              <w:t>LinkedIN</w:t>
            </w:r>
          </w:hyperlink>
          <w:r w:rsidRPr="00FC2522">
            <w:rPr>
              <w:rStyle w:val="dn"/>
              <w:rFonts w:ascii="Arial" w:hAnsi="Arial" w:cs="Arial"/>
              <w:sz w:val="18"/>
              <w:szCs w:val="18"/>
            </w:rPr>
            <w:t xml:space="preserve"> Broker Consulting a </w:t>
          </w:r>
          <w:hyperlink r:id="rId14" w:history="1">
            <w:r w:rsidRPr="00FC2522">
              <w:rPr>
                <w:rStyle w:val="Hypertextovodkaz"/>
                <w:rFonts w:ascii="Arial" w:hAnsi="Arial" w:cs="Arial"/>
                <w:color w:val="FF0000"/>
                <w:sz w:val="18"/>
                <w:szCs w:val="18"/>
              </w:rPr>
              <w:t>Facebook</w:t>
            </w:r>
          </w:hyperlink>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a </w:t>
          </w:r>
          <w:hyperlink r:id="rId15" w:history="1">
            <w:r w:rsidRPr="00FC2522">
              <w:rPr>
                <w:rStyle w:val="Hypertextovodkaz"/>
                <w:rFonts w:ascii="Arial" w:hAnsi="Arial" w:cs="Arial"/>
                <w:color w:val="FF0000"/>
                <w:sz w:val="18"/>
                <w:szCs w:val="18"/>
              </w:rPr>
              <w:t>LinkedI</w:t>
            </w:r>
          </w:hyperlink>
          <w:r w:rsidRPr="00FC2522">
            <w:rPr>
              <w:rStyle w:val="Hypertextovodkaz"/>
              <w:rFonts w:ascii="Arial" w:hAnsi="Arial" w:cs="Arial"/>
              <w:color w:val="FF0000"/>
              <w:sz w:val="18"/>
              <w:szCs w:val="18"/>
            </w:rPr>
            <w:t>N</w:t>
          </w:r>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OK POINTů. </w:t>
          </w:r>
        </w:p>
        <w:p w14:paraId="3F0EC976" w14:textId="3496D289" w:rsidR="00D80B6D" w:rsidRPr="00FC2522" w:rsidRDefault="00D80B6D" w:rsidP="0068617E">
          <w:pPr>
            <w:pStyle w:val="Zkladntext"/>
            <w:jc w:val="both"/>
            <w:rPr>
              <w:rFonts w:ascii="Arial" w:hAnsi="Arial" w:cs="Arial"/>
              <w:sz w:val="20"/>
              <w:highlight w:val="yellow"/>
            </w:rPr>
            <w:sectPr w:rsidR="00D80B6D" w:rsidRPr="00FC2522" w:rsidSect="00D80B6D">
              <w:headerReference w:type="default" r:id="rId16"/>
              <w:footerReference w:type="default" r:id="rId17"/>
              <w:pgSz w:w="11910" w:h="16840"/>
              <w:pgMar w:top="960" w:right="740" w:bottom="0" w:left="720" w:header="708" w:footer="708" w:gutter="0"/>
              <w:cols w:space="708"/>
            </w:sectPr>
          </w:pPr>
        </w:p>
        <w:p w14:paraId="35539C65" w14:textId="7A3AAC27" w:rsidR="00D31127" w:rsidRPr="00FC2522" w:rsidRDefault="006B7185" w:rsidP="0025264B">
          <w:pPr>
            <w:rPr>
              <w:rFonts w:ascii="Arial" w:hAnsi="Arial" w:cs="Arial"/>
              <w:b/>
              <w:sz w:val="20"/>
              <w:szCs w:val="20"/>
              <w:highlight w:val="yellow"/>
            </w:rPr>
            <w:sectPr w:rsidR="00D31127" w:rsidRPr="00FC2522" w:rsidSect="00D80B6D">
              <w:headerReference w:type="even" r:id="rId18"/>
              <w:headerReference w:type="default" r:id="rId19"/>
              <w:footerReference w:type="even" r:id="rId20"/>
              <w:footerReference w:type="default" r:id="rId21"/>
              <w:headerReference w:type="first" r:id="rId22"/>
              <w:footerReference w:type="first" r:id="rId23"/>
              <w:pgSz w:w="11910" w:h="16840"/>
              <w:pgMar w:top="1418" w:right="740" w:bottom="420" w:left="720" w:header="340" w:footer="223" w:gutter="0"/>
              <w:pgNumType w:start="0"/>
              <w:cols w:space="708"/>
              <w:titlePg/>
              <w:docGrid w:linePitch="299"/>
            </w:sectPr>
          </w:pPr>
        </w:p>
      </w:sdtContent>
    </w:sdt>
    <w:p w14:paraId="541E060F" w14:textId="6480ACC3" w:rsidR="00724267" w:rsidRPr="00B91131" w:rsidRDefault="00724267" w:rsidP="00B91131">
      <w:pPr>
        <w:rPr>
          <w:rFonts w:ascii="Arial" w:hAnsi="Arial" w:cs="Arial"/>
          <w:b/>
          <w:sz w:val="28"/>
          <w:szCs w:val="28"/>
        </w:rPr>
      </w:pPr>
    </w:p>
    <w:p w14:paraId="36FF85DC" w14:textId="22A6814B" w:rsidR="00460FA7" w:rsidRPr="00AA0920" w:rsidRDefault="00460FA7" w:rsidP="00B91131">
      <w:pPr>
        <w:rPr>
          <w:rFonts w:ascii="Segoe UI" w:eastAsia="Times New Roman" w:hAnsi="Segoe UI" w:cs="Segoe UI"/>
          <w:b/>
        </w:rPr>
      </w:pPr>
    </w:p>
    <w:p w14:paraId="411DE227" w14:textId="16B63A6B" w:rsidR="004B2FF6" w:rsidRPr="00B03461" w:rsidRDefault="004B2FF6" w:rsidP="004B2FF6">
      <w:pPr>
        <w:jc w:val="center"/>
        <w:rPr>
          <w:rFonts w:ascii="Arial" w:hAnsi="Arial" w:cs="Arial"/>
          <w:b/>
          <w:sz w:val="28"/>
          <w:szCs w:val="28"/>
        </w:rPr>
      </w:pPr>
      <w:r w:rsidRPr="00B03461">
        <w:rPr>
          <w:rFonts w:ascii="Arial" w:hAnsi="Arial" w:cs="Arial"/>
          <w:b/>
          <w:sz w:val="28"/>
          <w:szCs w:val="28"/>
        </w:rPr>
        <w:t>Průměrn</w:t>
      </w:r>
      <w:r w:rsidR="003B0E4E" w:rsidRPr="00B03461">
        <w:rPr>
          <w:rFonts w:ascii="Arial" w:hAnsi="Arial" w:cs="Arial"/>
          <w:b/>
          <w:sz w:val="28"/>
          <w:szCs w:val="28"/>
        </w:rPr>
        <w:t xml:space="preserve">á sazba </w:t>
      </w:r>
      <w:r w:rsidRPr="00B03461">
        <w:rPr>
          <w:rFonts w:ascii="Arial" w:hAnsi="Arial" w:cs="Arial"/>
          <w:b/>
          <w:sz w:val="28"/>
          <w:szCs w:val="28"/>
        </w:rPr>
        <w:t>úvěr</w:t>
      </w:r>
      <w:r w:rsidR="003B0E4E" w:rsidRPr="00B03461">
        <w:rPr>
          <w:rFonts w:ascii="Arial" w:hAnsi="Arial" w:cs="Arial"/>
          <w:b/>
          <w:sz w:val="28"/>
          <w:szCs w:val="28"/>
        </w:rPr>
        <w:t xml:space="preserve">u </w:t>
      </w:r>
      <w:r w:rsidR="00F66B41">
        <w:rPr>
          <w:rFonts w:ascii="Arial" w:hAnsi="Arial" w:cs="Arial"/>
          <w:b/>
          <w:sz w:val="28"/>
          <w:szCs w:val="28"/>
        </w:rPr>
        <w:t>na spotřebu</w:t>
      </w:r>
      <w:r w:rsidR="00B03461" w:rsidRPr="00B03461">
        <w:rPr>
          <w:rFonts w:ascii="Arial" w:hAnsi="Arial" w:cs="Arial"/>
          <w:b/>
          <w:sz w:val="28"/>
          <w:szCs w:val="28"/>
        </w:rPr>
        <w:t xml:space="preserve"> v březnu </w:t>
      </w:r>
      <w:r w:rsidR="00F66B41">
        <w:rPr>
          <w:rFonts w:ascii="Arial" w:hAnsi="Arial" w:cs="Arial"/>
          <w:b/>
          <w:sz w:val="28"/>
          <w:szCs w:val="28"/>
        </w:rPr>
        <w:t>vzrostla</w:t>
      </w:r>
      <w:r w:rsidR="00B03461" w:rsidRPr="00B03461">
        <w:rPr>
          <w:rFonts w:ascii="Arial" w:hAnsi="Arial" w:cs="Arial"/>
          <w:b/>
          <w:sz w:val="28"/>
          <w:szCs w:val="28"/>
        </w:rPr>
        <w:t xml:space="preserve"> až na 6,79 % </w:t>
      </w:r>
    </w:p>
    <w:p w14:paraId="18EBA0CC" w14:textId="2756920F" w:rsidR="00DA50BA" w:rsidRPr="00664259" w:rsidRDefault="00DA50BA" w:rsidP="002A0285">
      <w:pPr>
        <w:jc w:val="center"/>
        <w:rPr>
          <w:rFonts w:ascii="Arial" w:eastAsia="Times New Roman" w:hAnsi="Arial" w:cs="Arial"/>
          <w:b/>
          <w:color w:val="FF0000"/>
          <w:sz w:val="28"/>
          <w:szCs w:val="28"/>
        </w:rPr>
      </w:pPr>
    </w:p>
    <w:p w14:paraId="617BA37D" w14:textId="77777777" w:rsidR="003C7F98" w:rsidRPr="00664259" w:rsidRDefault="003C7F98" w:rsidP="0076114C">
      <w:pPr>
        <w:jc w:val="both"/>
        <w:rPr>
          <w:rFonts w:ascii="Arial" w:hAnsi="Arial" w:cs="Arial"/>
          <w:bCs/>
          <w:i/>
          <w:sz w:val="20"/>
          <w:szCs w:val="20"/>
        </w:rPr>
      </w:pPr>
    </w:p>
    <w:p w14:paraId="1AA3E864" w14:textId="66CAA147" w:rsidR="00925499" w:rsidRPr="00B03461" w:rsidRDefault="003C7F98" w:rsidP="00BA3EE0">
      <w:pPr>
        <w:jc w:val="both"/>
        <w:rPr>
          <w:rFonts w:ascii="Arial" w:hAnsi="Arial" w:cs="Arial"/>
          <w:b/>
          <w:sz w:val="20"/>
          <w:szCs w:val="20"/>
        </w:rPr>
      </w:pPr>
      <w:r w:rsidRPr="00B03461">
        <w:rPr>
          <w:rFonts w:ascii="Arial" w:hAnsi="Arial" w:cs="Arial"/>
          <w:bCs/>
          <w:i/>
          <w:sz w:val="20"/>
          <w:szCs w:val="20"/>
        </w:rPr>
        <w:t xml:space="preserve">Praha, </w:t>
      </w:r>
      <w:r w:rsidR="00925499" w:rsidRPr="00B03461">
        <w:rPr>
          <w:rFonts w:ascii="Arial" w:hAnsi="Arial" w:cs="Arial"/>
          <w:bCs/>
          <w:i/>
          <w:sz w:val="20"/>
          <w:szCs w:val="20"/>
        </w:rPr>
        <w:t>2</w:t>
      </w:r>
      <w:r w:rsidR="00EE63BE">
        <w:rPr>
          <w:rFonts w:ascii="Arial" w:hAnsi="Arial" w:cs="Arial"/>
          <w:bCs/>
          <w:i/>
          <w:sz w:val="20"/>
          <w:szCs w:val="20"/>
        </w:rPr>
        <w:t>9</w:t>
      </w:r>
      <w:r w:rsidR="00664259" w:rsidRPr="00B03461">
        <w:rPr>
          <w:rFonts w:ascii="Arial" w:hAnsi="Arial" w:cs="Arial"/>
          <w:bCs/>
          <w:i/>
          <w:sz w:val="20"/>
          <w:szCs w:val="20"/>
        </w:rPr>
        <w:t xml:space="preserve">. </w:t>
      </w:r>
      <w:r w:rsidR="008B4F0F">
        <w:rPr>
          <w:rFonts w:ascii="Arial" w:hAnsi="Arial" w:cs="Arial"/>
          <w:bCs/>
          <w:i/>
          <w:sz w:val="20"/>
          <w:szCs w:val="20"/>
        </w:rPr>
        <w:t>dubna</w:t>
      </w:r>
      <w:bookmarkStart w:id="0" w:name="_GoBack"/>
      <w:bookmarkEnd w:id="0"/>
      <w:r w:rsidRPr="00B03461">
        <w:rPr>
          <w:rFonts w:ascii="Arial" w:hAnsi="Arial" w:cs="Arial"/>
          <w:bCs/>
          <w:i/>
          <w:sz w:val="20"/>
          <w:szCs w:val="20"/>
        </w:rPr>
        <w:t xml:space="preserve"> 202</w:t>
      </w:r>
      <w:r w:rsidR="00664259" w:rsidRPr="00B03461">
        <w:rPr>
          <w:rFonts w:ascii="Arial" w:hAnsi="Arial" w:cs="Arial"/>
          <w:bCs/>
          <w:i/>
          <w:sz w:val="20"/>
          <w:szCs w:val="20"/>
        </w:rPr>
        <w:t>2</w:t>
      </w:r>
      <w:r w:rsidRPr="00B03461">
        <w:rPr>
          <w:rFonts w:ascii="Arial" w:hAnsi="Arial" w:cs="Arial"/>
          <w:bCs/>
          <w:sz w:val="20"/>
          <w:szCs w:val="20"/>
        </w:rPr>
        <w:t xml:space="preserve"> – </w:t>
      </w:r>
      <w:r w:rsidR="00080552" w:rsidRPr="00B03461">
        <w:rPr>
          <w:rFonts w:ascii="Arial" w:hAnsi="Arial" w:cs="Arial"/>
          <w:b/>
          <w:bCs/>
          <w:sz w:val="20"/>
          <w:szCs w:val="20"/>
        </w:rPr>
        <w:t xml:space="preserve">Březen přinesl další zdražení úvěrů na cokoli. Výsledky </w:t>
      </w:r>
      <w:r w:rsidR="00080552" w:rsidRPr="00B03461">
        <w:rPr>
          <w:rFonts w:ascii="Arial" w:hAnsi="Arial" w:cs="Arial"/>
          <w:b/>
          <w:sz w:val="20"/>
          <w:szCs w:val="20"/>
        </w:rPr>
        <w:t xml:space="preserve">Broker Consulting Indexu spotřebitelských úvěrů ukazují, že jeho hodnota rostla </w:t>
      </w:r>
      <w:r w:rsidR="00057018" w:rsidRPr="00B03461">
        <w:rPr>
          <w:rFonts w:ascii="Arial" w:hAnsi="Arial" w:cs="Arial"/>
          <w:b/>
          <w:sz w:val="20"/>
          <w:szCs w:val="20"/>
        </w:rPr>
        <w:t xml:space="preserve">v březnu </w:t>
      </w:r>
      <w:r w:rsidR="00BA3EE0" w:rsidRPr="00B03461">
        <w:rPr>
          <w:rFonts w:ascii="Arial" w:hAnsi="Arial" w:cs="Arial"/>
          <w:b/>
          <w:sz w:val="20"/>
          <w:szCs w:val="20"/>
        </w:rPr>
        <w:t xml:space="preserve">ještě </w:t>
      </w:r>
      <w:r w:rsidR="00080552" w:rsidRPr="00B03461">
        <w:rPr>
          <w:rFonts w:ascii="Arial" w:hAnsi="Arial" w:cs="Arial"/>
          <w:b/>
          <w:sz w:val="20"/>
          <w:szCs w:val="20"/>
        </w:rPr>
        <w:t>výrazněji, než jak tomu bylo v</w:t>
      </w:r>
      <w:r w:rsidR="00057018" w:rsidRPr="00B03461">
        <w:rPr>
          <w:rFonts w:ascii="Arial" w:hAnsi="Arial" w:cs="Arial"/>
          <w:b/>
          <w:sz w:val="20"/>
          <w:szCs w:val="20"/>
        </w:rPr>
        <w:t> </w:t>
      </w:r>
      <w:r w:rsidR="00080552" w:rsidRPr="00B03461">
        <w:rPr>
          <w:rFonts w:ascii="Arial" w:hAnsi="Arial" w:cs="Arial"/>
          <w:b/>
          <w:sz w:val="20"/>
          <w:szCs w:val="20"/>
        </w:rPr>
        <w:t>únoru</w:t>
      </w:r>
      <w:r w:rsidR="00057018" w:rsidRPr="00B03461">
        <w:rPr>
          <w:rFonts w:ascii="Arial" w:hAnsi="Arial" w:cs="Arial"/>
          <w:b/>
          <w:sz w:val="20"/>
          <w:szCs w:val="20"/>
        </w:rPr>
        <w:t xml:space="preserve">. </w:t>
      </w:r>
      <w:r w:rsidR="00BA3EE0" w:rsidRPr="00B03461">
        <w:rPr>
          <w:rFonts w:ascii="Arial" w:hAnsi="Arial" w:cs="Arial"/>
          <w:b/>
          <w:sz w:val="20"/>
          <w:szCs w:val="20"/>
        </w:rPr>
        <w:t>Meziměsíčně p</w:t>
      </w:r>
      <w:r w:rsidR="00057018" w:rsidRPr="00B03461">
        <w:rPr>
          <w:rFonts w:ascii="Arial" w:hAnsi="Arial" w:cs="Arial"/>
          <w:b/>
          <w:sz w:val="20"/>
          <w:szCs w:val="20"/>
        </w:rPr>
        <w:t>oskočila</w:t>
      </w:r>
      <w:r w:rsidR="00BA3EE0" w:rsidRPr="00B03461">
        <w:rPr>
          <w:rFonts w:ascii="Arial" w:hAnsi="Arial" w:cs="Arial"/>
          <w:b/>
          <w:sz w:val="20"/>
          <w:szCs w:val="20"/>
        </w:rPr>
        <w:t xml:space="preserve"> </w:t>
      </w:r>
      <w:r w:rsidR="00F34E7C" w:rsidRPr="00B03461">
        <w:rPr>
          <w:rFonts w:ascii="Arial" w:hAnsi="Arial" w:cs="Arial"/>
          <w:b/>
          <w:sz w:val="20"/>
          <w:szCs w:val="20"/>
        </w:rPr>
        <w:t xml:space="preserve">o 0,67 </w:t>
      </w:r>
      <w:r w:rsidR="00057018" w:rsidRPr="00B03461">
        <w:rPr>
          <w:rFonts w:ascii="Arial" w:hAnsi="Arial" w:cs="Arial"/>
          <w:b/>
          <w:sz w:val="20"/>
          <w:szCs w:val="20"/>
        </w:rPr>
        <w:t xml:space="preserve">procentního bodu </w:t>
      </w:r>
      <w:r w:rsidR="00080552" w:rsidRPr="00B03461">
        <w:rPr>
          <w:rFonts w:ascii="Arial" w:hAnsi="Arial" w:cs="Arial"/>
          <w:b/>
          <w:sz w:val="20"/>
          <w:szCs w:val="20"/>
        </w:rPr>
        <w:t xml:space="preserve">na 6,79 %. </w:t>
      </w:r>
      <w:r w:rsidR="00103543">
        <w:rPr>
          <w:rFonts w:ascii="Arial" w:hAnsi="Arial" w:cs="Arial"/>
          <w:b/>
          <w:sz w:val="20"/>
          <w:szCs w:val="20"/>
        </w:rPr>
        <w:t>Přestože</w:t>
      </w:r>
      <w:r w:rsidR="00057018" w:rsidRPr="00B03461">
        <w:rPr>
          <w:rFonts w:ascii="Arial" w:hAnsi="Arial" w:cs="Arial"/>
          <w:b/>
          <w:sz w:val="20"/>
          <w:szCs w:val="20"/>
        </w:rPr>
        <w:t xml:space="preserve"> </w:t>
      </w:r>
      <w:r w:rsidR="00103543">
        <w:rPr>
          <w:rFonts w:ascii="Arial" w:hAnsi="Arial" w:cs="Arial"/>
          <w:b/>
          <w:sz w:val="20"/>
          <w:szCs w:val="20"/>
        </w:rPr>
        <w:t xml:space="preserve">se </w:t>
      </w:r>
      <w:r w:rsidR="00057018" w:rsidRPr="00B03461">
        <w:rPr>
          <w:rFonts w:ascii="Arial" w:hAnsi="Arial" w:cs="Arial"/>
          <w:b/>
          <w:sz w:val="20"/>
          <w:szCs w:val="20"/>
        </w:rPr>
        <w:t>průměrné úrokov</w:t>
      </w:r>
      <w:r w:rsidR="003055CB">
        <w:rPr>
          <w:rFonts w:ascii="Arial" w:hAnsi="Arial" w:cs="Arial"/>
          <w:b/>
          <w:sz w:val="20"/>
          <w:szCs w:val="20"/>
        </w:rPr>
        <w:t>á</w:t>
      </w:r>
      <w:r w:rsidR="00057018" w:rsidRPr="00B03461">
        <w:rPr>
          <w:rFonts w:ascii="Arial" w:hAnsi="Arial" w:cs="Arial"/>
          <w:b/>
          <w:sz w:val="20"/>
          <w:szCs w:val="20"/>
        </w:rPr>
        <w:t xml:space="preserve"> sazb</w:t>
      </w:r>
      <w:r w:rsidR="003055CB">
        <w:rPr>
          <w:rFonts w:ascii="Arial" w:hAnsi="Arial" w:cs="Arial"/>
          <w:b/>
          <w:sz w:val="20"/>
          <w:szCs w:val="20"/>
        </w:rPr>
        <w:t>a</w:t>
      </w:r>
      <w:r w:rsidR="00057018" w:rsidRPr="00B03461">
        <w:rPr>
          <w:rFonts w:ascii="Arial" w:hAnsi="Arial" w:cs="Arial"/>
          <w:b/>
          <w:sz w:val="20"/>
          <w:szCs w:val="20"/>
        </w:rPr>
        <w:t xml:space="preserve"> úvěrů </w:t>
      </w:r>
      <w:r w:rsidR="00103543" w:rsidRPr="00B03461">
        <w:rPr>
          <w:rFonts w:ascii="Arial" w:hAnsi="Arial" w:cs="Arial"/>
          <w:b/>
          <w:sz w:val="20"/>
          <w:szCs w:val="20"/>
        </w:rPr>
        <w:t>na spotřebu</w:t>
      </w:r>
      <w:r w:rsidR="00103543">
        <w:rPr>
          <w:rFonts w:ascii="Arial" w:hAnsi="Arial" w:cs="Arial"/>
          <w:b/>
          <w:sz w:val="20"/>
          <w:szCs w:val="20"/>
        </w:rPr>
        <w:t xml:space="preserve"> </w:t>
      </w:r>
      <w:r w:rsidR="003055CB">
        <w:rPr>
          <w:rFonts w:ascii="Arial" w:hAnsi="Arial" w:cs="Arial"/>
          <w:b/>
          <w:sz w:val="20"/>
          <w:szCs w:val="20"/>
        </w:rPr>
        <w:t>dál zvyšuje</w:t>
      </w:r>
      <w:r w:rsidR="00103543">
        <w:rPr>
          <w:rFonts w:ascii="Arial" w:hAnsi="Arial" w:cs="Arial"/>
          <w:b/>
          <w:sz w:val="20"/>
          <w:szCs w:val="20"/>
        </w:rPr>
        <w:t>, j</w:t>
      </w:r>
      <w:r w:rsidR="003055CB">
        <w:rPr>
          <w:rFonts w:ascii="Arial" w:hAnsi="Arial" w:cs="Arial"/>
          <w:b/>
          <w:sz w:val="20"/>
          <w:szCs w:val="20"/>
        </w:rPr>
        <w:t>e</w:t>
      </w:r>
      <w:r w:rsidR="00103543">
        <w:rPr>
          <w:rFonts w:ascii="Arial" w:hAnsi="Arial" w:cs="Arial"/>
          <w:b/>
          <w:sz w:val="20"/>
          <w:szCs w:val="20"/>
        </w:rPr>
        <w:t xml:space="preserve"> </w:t>
      </w:r>
      <w:r w:rsidR="00057018" w:rsidRPr="00B03461">
        <w:rPr>
          <w:rFonts w:ascii="Arial" w:hAnsi="Arial" w:cs="Arial"/>
          <w:b/>
          <w:sz w:val="20"/>
          <w:szCs w:val="20"/>
        </w:rPr>
        <w:t xml:space="preserve">v zásadě na </w:t>
      </w:r>
      <w:r w:rsidR="003055CB">
        <w:rPr>
          <w:rFonts w:ascii="Arial" w:hAnsi="Arial" w:cs="Arial"/>
          <w:b/>
          <w:sz w:val="20"/>
          <w:szCs w:val="20"/>
        </w:rPr>
        <w:t>podobné</w:t>
      </w:r>
      <w:r w:rsidR="00057018" w:rsidRPr="00B03461">
        <w:rPr>
          <w:rFonts w:ascii="Arial" w:hAnsi="Arial" w:cs="Arial"/>
          <w:b/>
          <w:sz w:val="20"/>
          <w:szCs w:val="20"/>
        </w:rPr>
        <w:t xml:space="preserve"> úrovni, na jaké byl</w:t>
      </w:r>
      <w:r w:rsidR="003055CB">
        <w:rPr>
          <w:rFonts w:ascii="Arial" w:hAnsi="Arial" w:cs="Arial"/>
          <w:b/>
          <w:sz w:val="20"/>
          <w:szCs w:val="20"/>
        </w:rPr>
        <w:t>a</w:t>
      </w:r>
      <w:r w:rsidR="00057018" w:rsidRPr="00B03461">
        <w:rPr>
          <w:rFonts w:ascii="Arial" w:hAnsi="Arial" w:cs="Arial"/>
          <w:b/>
          <w:sz w:val="20"/>
          <w:szCs w:val="20"/>
        </w:rPr>
        <w:t xml:space="preserve"> koncem </w:t>
      </w:r>
      <w:r w:rsidR="00164597" w:rsidRPr="00B03461">
        <w:rPr>
          <w:rFonts w:ascii="Arial" w:hAnsi="Arial" w:cs="Arial"/>
          <w:b/>
          <w:sz w:val="20"/>
          <w:szCs w:val="20"/>
        </w:rPr>
        <w:t xml:space="preserve">minulého </w:t>
      </w:r>
      <w:r w:rsidR="00057018" w:rsidRPr="00B03461">
        <w:rPr>
          <w:rFonts w:ascii="Arial" w:hAnsi="Arial" w:cs="Arial"/>
          <w:b/>
          <w:sz w:val="20"/>
          <w:szCs w:val="20"/>
        </w:rPr>
        <w:t>roku.</w:t>
      </w:r>
      <w:r w:rsidR="00BA3EE0" w:rsidRPr="00B03461">
        <w:rPr>
          <w:rFonts w:ascii="Arial" w:hAnsi="Arial" w:cs="Arial"/>
          <w:b/>
          <w:sz w:val="20"/>
          <w:szCs w:val="20"/>
        </w:rPr>
        <w:t xml:space="preserve"> </w:t>
      </w:r>
      <w:r w:rsidR="00164597" w:rsidRPr="00B03461">
        <w:rPr>
          <w:rFonts w:ascii="Arial" w:hAnsi="Arial" w:cs="Arial"/>
          <w:b/>
          <w:sz w:val="20"/>
          <w:szCs w:val="20"/>
        </w:rPr>
        <w:t>S blížícím se obdobím letních dovolených lze podle odborníků očekávat zesílení nabídkových akcí bank a úvěrových společností</w:t>
      </w:r>
      <w:r w:rsidR="00F34E7C" w:rsidRPr="00B03461">
        <w:rPr>
          <w:rFonts w:ascii="Arial" w:hAnsi="Arial" w:cs="Arial"/>
          <w:b/>
          <w:sz w:val="20"/>
          <w:szCs w:val="20"/>
        </w:rPr>
        <w:t>, a tedy i změny</w:t>
      </w:r>
      <w:r w:rsidR="00164597" w:rsidRPr="00B03461">
        <w:rPr>
          <w:rFonts w:ascii="Arial" w:hAnsi="Arial" w:cs="Arial"/>
          <w:b/>
          <w:sz w:val="20"/>
          <w:szCs w:val="20"/>
        </w:rPr>
        <w:t xml:space="preserve"> v nastavení </w:t>
      </w:r>
      <w:r w:rsidR="00F34E7C" w:rsidRPr="00B03461">
        <w:rPr>
          <w:rFonts w:ascii="Arial" w:hAnsi="Arial" w:cs="Arial"/>
          <w:b/>
          <w:sz w:val="20"/>
          <w:szCs w:val="20"/>
        </w:rPr>
        <w:t xml:space="preserve">průměrných sazeb pro klienty. </w:t>
      </w:r>
    </w:p>
    <w:p w14:paraId="6F02CD19" w14:textId="393FDCC6" w:rsidR="00164597" w:rsidRPr="00B03461" w:rsidRDefault="00164597" w:rsidP="00BA3EE0">
      <w:pPr>
        <w:jc w:val="both"/>
        <w:rPr>
          <w:rFonts w:ascii="Arial" w:hAnsi="Arial" w:cs="Arial"/>
          <w:sz w:val="20"/>
          <w:szCs w:val="20"/>
        </w:rPr>
      </w:pPr>
    </w:p>
    <w:p w14:paraId="0896EF15" w14:textId="1C8E53AF" w:rsidR="00F34E7C" w:rsidRPr="00B03461" w:rsidRDefault="00F34E7C" w:rsidP="00BA3EE0">
      <w:pPr>
        <w:jc w:val="both"/>
        <w:rPr>
          <w:rFonts w:ascii="Arial" w:hAnsi="Arial" w:cs="Arial"/>
          <w:sz w:val="20"/>
          <w:szCs w:val="20"/>
        </w:rPr>
      </w:pPr>
      <w:r w:rsidRPr="00B03461">
        <w:rPr>
          <w:rFonts w:ascii="Arial" w:hAnsi="Arial" w:cs="Arial"/>
          <w:sz w:val="20"/>
          <w:szCs w:val="20"/>
        </w:rPr>
        <w:t xml:space="preserve">Zatímco v únoru došlo u spotřebitelských úvěrů k nárůstu průměrné sazby o 0,02 procentního bodu na 6,12 %, březnový rozdíl byl již výraznější. Konkrétně se podle Broker Consulting Indexu spotřebitelských úvěrů sazba meziměsíčně zvedla o 0,67 procentního bodu na 6,79 %. Z grafu indexu je </w:t>
      </w:r>
      <w:r w:rsidR="00BA3EE0" w:rsidRPr="00B03461">
        <w:rPr>
          <w:rFonts w:ascii="Arial" w:hAnsi="Arial" w:cs="Arial"/>
          <w:sz w:val="20"/>
          <w:szCs w:val="20"/>
        </w:rPr>
        <w:t xml:space="preserve">dále </w:t>
      </w:r>
      <w:r w:rsidRPr="00B03461">
        <w:rPr>
          <w:rFonts w:ascii="Arial" w:hAnsi="Arial" w:cs="Arial"/>
          <w:sz w:val="20"/>
          <w:szCs w:val="20"/>
        </w:rPr>
        <w:t>patrné, že jeho aktuální hodnota 6,79 % byla na téže úrovni naposledy v říjnu roku 2018.</w:t>
      </w:r>
    </w:p>
    <w:p w14:paraId="15407167" w14:textId="77777777" w:rsidR="00F34E7C" w:rsidRPr="00B03461" w:rsidRDefault="00F34E7C" w:rsidP="00BA3EE0">
      <w:pPr>
        <w:jc w:val="both"/>
        <w:rPr>
          <w:rFonts w:ascii="Arial" w:hAnsi="Arial" w:cs="Arial"/>
          <w:sz w:val="20"/>
          <w:szCs w:val="20"/>
        </w:rPr>
      </w:pPr>
    </w:p>
    <w:p w14:paraId="6809A245" w14:textId="56D2BD6D" w:rsidR="005A2139" w:rsidRPr="00B03461" w:rsidRDefault="005A2139" w:rsidP="00BA3EE0">
      <w:pPr>
        <w:jc w:val="both"/>
        <w:rPr>
          <w:rFonts w:ascii="Arial" w:hAnsi="Arial" w:cs="Arial"/>
          <w:i/>
          <w:sz w:val="20"/>
          <w:szCs w:val="20"/>
        </w:rPr>
      </w:pPr>
      <w:r w:rsidRPr="00B03461">
        <w:rPr>
          <w:rFonts w:ascii="Arial" w:hAnsi="Arial" w:cs="Arial"/>
          <w:i/>
          <w:sz w:val="20"/>
          <w:szCs w:val="20"/>
        </w:rPr>
        <w:t>„</w:t>
      </w:r>
      <w:r w:rsidR="00925499" w:rsidRPr="00B03461">
        <w:rPr>
          <w:rFonts w:ascii="Arial" w:hAnsi="Arial" w:cs="Arial"/>
          <w:i/>
          <w:sz w:val="20"/>
          <w:szCs w:val="20"/>
        </w:rPr>
        <w:t>Průměrné úrokové sazby spotřebitelských úvěrů rostou</w:t>
      </w:r>
      <w:r w:rsidR="00F34E7C" w:rsidRPr="00B03461">
        <w:rPr>
          <w:rFonts w:ascii="Arial" w:hAnsi="Arial" w:cs="Arial"/>
          <w:i/>
          <w:sz w:val="20"/>
          <w:szCs w:val="20"/>
        </w:rPr>
        <w:t xml:space="preserve"> letos už</w:t>
      </w:r>
      <w:r w:rsidR="00925499" w:rsidRPr="00B03461">
        <w:rPr>
          <w:rFonts w:ascii="Arial" w:hAnsi="Arial" w:cs="Arial"/>
          <w:i/>
          <w:sz w:val="20"/>
          <w:szCs w:val="20"/>
        </w:rPr>
        <w:t xml:space="preserve"> </w:t>
      </w:r>
      <w:r w:rsidR="00243075" w:rsidRPr="00B03461">
        <w:rPr>
          <w:rFonts w:ascii="Arial" w:hAnsi="Arial" w:cs="Arial"/>
          <w:i/>
          <w:sz w:val="20"/>
          <w:szCs w:val="20"/>
        </w:rPr>
        <w:t>druhý</w:t>
      </w:r>
      <w:r w:rsidR="00925499" w:rsidRPr="00B03461">
        <w:rPr>
          <w:rFonts w:ascii="Arial" w:hAnsi="Arial" w:cs="Arial"/>
          <w:i/>
          <w:sz w:val="20"/>
          <w:szCs w:val="20"/>
        </w:rPr>
        <w:t xml:space="preserve"> měsíc v řadě, přesto </w:t>
      </w:r>
      <w:r w:rsidR="00103543">
        <w:rPr>
          <w:rFonts w:ascii="Arial" w:hAnsi="Arial" w:cs="Arial"/>
          <w:i/>
          <w:sz w:val="20"/>
          <w:szCs w:val="20"/>
        </w:rPr>
        <w:t>se</w:t>
      </w:r>
      <w:r w:rsidR="00F34E7C" w:rsidRPr="00B03461">
        <w:rPr>
          <w:rFonts w:ascii="Arial" w:hAnsi="Arial" w:cs="Arial"/>
          <w:i/>
          <w:sz w:val="20"/>
          <w:szCs w:val="20"/>
        </w:rPr>
        <w:t xml:space="preserve"> však</w:t>
      </w:r>
      <w:r w:rsidR="00925499" w:rsidRPr="00B03461">
        <w:rPr>
          <w:rFonts w:ascii="Arial" w:hAnsi="Arial" w:cs="Arial"/>
          <w:i/>
          <w:sz w:val="20"/>
          <w:szCs w:val="20"/>
        </w:rPr>
        <w:t xml:space="preserve"> jejich hodnoty </w:t>
      </w:r>
      <w:r w:rsidR="00103543">
        <w:rPr>
          <w:rFonts w:ascii="Arial" w:hAnsi="Arial" w:cs="Arial"/>
          <w:i/>
          <w:sz w:val="20"/>
          <w:szCs w:val="20"/>
        </w:rPr>
        <w:t xml:space="preserve">pohybují </w:t>
      </w:r>
      <w:r w:rsidR="00925499" w:rsidRPr="00B03461">
        <w:rPr>
          <w:rFonts w:ascii="Arial" w:hAnsi="Arial" w:cs="Arial"/>
          <w:i/>
          <w:sz w:val="20"/>
          <w:szCs w:val="20"/>
        </w:rPr>
        <w:t xml:space="preserve">prakticky na stejné úrovni, </w:t>
      </w:r>
      <w:r w:rsidR="00F34E7C" w:rsidRPr="00B03461">
        <w:rPr>
          <w:rFonts w:ascii="Arial" w:hAnsi="Arial" w:cs="Arial"/>
          <w:i/>
          <w:sz w:val="20"/>
          <w:szCs w:val="20"/>
        </w:rPr>
        <w:t xml:space="preserve">na které </w:t>
      </w:r>
      <w:r w:rsidR="00925499" w:rsidRPr="00B03461">
        <w:rPr>
          <w:rFonts w:ascii="Arial" w:hAnsi="Arial" w:cs="Arial"/>
          <w:i/>
          <w:sz w:val="20"/>
          <w:szCs w:val="20"/>
        </w:rPr>
        <w:t>byly koncem roku 2021. Uvidíme, jakým směrem se</w:t>
      </w:r>
      <w:r w:rsidR="00BA3EE0" w:rsidRPr="00B03461">
        <w:rPr>
          <w:rFonts w:ascii="Arial" w:hAnsi="Arial" w:cs="Arial"/>
          <w:i/>
          <w:sz w:val="20"/>
          <w:szCs w:val="20"/>
        </w:rPr>
        <w:t xml:space="preserve"> banky</w:t>
      </w:r>
      <w:r w:rsidR="00F34E7C" w:rsidRPr="00B03461">
        <w:rPr>
          <w:rFonts w:ascii="Arial" w:hAnsi="Arial" w:cs="Arial"/>
          <w:i/>
          <w:sz w:val="20"/>
          <w:szCs w:val="20"/>
        </w:rPr>
        <w:t xml:space="preserve"> </w:t>
      </w:r>
      <w:r w:rsidR="00BA3EE0" w:rsidRPr="00B03461">
        <w:rPr>
          <w:rFonts w:ascii="Arial" w:hAnsi="Arial" w:cs="Arial"/>
          <w:i/>
          <w:sz w:val="20"/>
          <w:szCs w:val="20"/>
        </w:rPr>
        <w:t xml:space="preserve">vydají </w:t>
      </w:r>
      <w:r w:rsidR="00F34E7C" w:rsidRPr="00B03461">
        <w:rPr>
          <w:rFonts w:ascii="Arial" w:hAnsi="Arial" w:cs="Arial"/>
          <w:i/>
          <w:sz w:val="20"/>
          <w:szCs w:val="20"/>
        </w:rPr>
        <w:t>v dalších měsících</w:t>
      </w:r>
      <w:r w:rsidR="00925499" w:rsidRPr="00B03461">
        <w:rPr>
          <w:rFonts w:ascii="Arial" w:hAnsi="Arial" w:cs="Arial"/>
          <w:i/>
          <w:sz w:val="20"/>
          <w:szCs w:val="20"/>
        </w:rPr>
        <w:t xml:space="preserve"> vzhledem ke konkurenčnímu boji, který obvykle vrcholí </w:t>
      </w:r>
      <w:r w:rsidRPr="00B03461">
        <w:rPr>
          <w:rFonts w:ascii="Arial" w:hAnsi="Arial" w:cs="Arial"/>
          <w:i/>
          <w:sz w:val="20"/>
          <w:szCs w:val="20"/>
        </w:rPr>
        <w:t>v letním období</w:t>
      </w:r>
      <w:r w:rsidR="00F34E7C" w:rsidRPr="00B03461">
        <w:rPr>
          <w:rFonts w:ascii="Arial" w:hAnsi="Arial" w:cs="Arial"/>
          <w:i/>
          <w:sz w:val="20"/>
          <w:szCs w:val="20"/>
        </w:rPr>
        <w:t xml:space="preserve">, kdy pravidelně roste touha spotřebitelů pořídit si dovolenou na </w:t>
      </w:r>
      <w:r w:rsidRPr="00B03461">
        <w:rPr>
          <w:rFonts w:ascii="Arial" w:hAnsi="Arial" w:cs="Arial"/>
          <w:i/>
          <w:sz w:val="20"/>
          <w:szCs w:val="20"/>
        </w:rPr>
        <w:t>dluh</w:t>
      </w:r>
      <w:r w:rsidR="00F34E7C" w:rsidRPr="00B03461">
        <w:rPr>
          <w:rFonts w:ascii="Arial" w:hAnsi="Arial" w:cs="Arial"/>
          <w:i/>
          <w:sz w:val="20"/>
          <w:szCs w:val="20"/>
        </w:rPr>
        <w:t>.</w:t>
      </w:r>
      <w:r w:rsidR="00925499" w:rsidRPr="00B03461">
        <w:rPr>
          <w:rFonts w:ascii="Arial" w:hAnsi="Arial" w:cs="Arial"/>
          <w:i/>
          <w:sz w:val="20"/>
          <w:szCs w:val="20"/>
        </w:rPr>
        <w:t xml:space="preserve"> </w:t>
      </w:r>
      <w:r w:rsidR="00BA3EE0" w:rsidRPr="00B03461">
        <w:rPr>
          <w:rFonts w:ascii="Arial" w:hAnsi="Arial" w:cs="Arial"/>
          <w:i/>
          <w:sz w:val="20"/>
          <w:szCs w:val="20"/>
        </w:rPr>
        <w:t xml:space="preserve">Právě </w:t>
      </w:r>
      <w:r w:rsidRPr="00B03461">
        <w:rPr>
          <w:rFonts w:ascii="Arial" w:hAnsi="Arial" w:cs="Arial"/>
          <w:i/>
          <w:sz w:val="20"/>
          <w:szCs w:val="20"/>
        </w:rPr>
        <w:t xml:space="preserve">letní prázdniny </w:t>
      </w:r>
      <w:r w:rsidR="00BA3EE0" w:rsidRPr="00B03461">
        <w:rPr>
          <w:rFonts w:ascii="Arial" w:hAnsi="Arial" w:cs="Arial"/>
          <w:i/>
          <w:sz w:val="20"/>
          <w:szCs w:val="20"/>
        </w:rPr>
        <w:t xml:space="preserve">a Vánoce </w:t>
      </w:r>
      <w:r w:rsidR="00925499" w:rsidRPr="00B03461">
        <w:rPr>
          <w:rFonts w:ascii="Arial" w:hAnsi="Arial" w:cs="Arial"/>
          <w:i/>
          <w:sz w:val="20"/>
          <w:szCs w:val="20"/>
        </w:rPr>
        <w:t xml:space="preserve">totiž </w:t>
      </w:r>
      <w:r w:rsidRPr="00B03461">
        <w:rPr>
          <w:rFonts w:ascii="Arial" w:hAnsi="Arial" w:cs="Arial"/>
          <w:i/>
          <w:sz w:val="20"/>
          <w:szCs w:val="20"/>
        </w:rPr>
        <w:t xml:space="preserve">dlouhodobě </w:t>
      </w:r>
      <w:r w:rsidR="00925499" w:rsidRPr="00B03461">
        <w:rPr>
          <w:rFonts w:ascii="Arial" w:hAnsi="Arial" w:cs="Arial"/>
          <w:i/>
          <w:sz w:val="20"/>
          <w:szCs w:val="20"/>
        </w:rPr>
        <w:t>patří mezi klientsky</w:t>
      </w:r>
      <w:r w:rsidRPr="00B03461">
        <w:rPr>
          <w:rFonts w:ascii="Arial" w:hAnsi="Arial" w:cs="Arial"/>
          <w:i/>
          <w:sz w:val="20"/>
          <w:szCs w:val="20"/>
        </w:rPr>
        <w:t xml:space="preserve"> nejoblíbenější období z hlediska spotřebitelských úvěrů,“</w:t>
      </w:r>
      <w:r w:rsidRPr="00B03461">
        <w:rPr>
          <w:rFonts w:ascii="Arial" w:hAnsi="Arial" w:cs="Arial"/>
          <w:sz w:val="20"/>
          <w:szCs w:val="20"/>
        </w:rPr>
        <w:t xml:space="preserve"> říká </w:t>
      </w:r>
      <w:r w:rsidRPr="00B03461">
        <w:rPr>
          <w:rFonts w:ascii="Arial" w:hAnsi="Arial" w:cs="Arial"/>
          <w:b/>
          <w:sz w:val="20"/>
          <w:szCs w:val="20"/>
        </w:rPr>
        <w:t>Michaela Pudilová, analytička hypotečních a spotřebitelských úvěrů společnosti Broker Consulting</w:t>
      </w:r>
      <w:r w:rsidR="00BA3EE0" w:rsidRPr="00B03461">
        <w:rPr>
          <w:rFonts w:ascii="Arial" w:hAnsi="Arial" w:cs="Arial"/>
          <w:sz w:val="20"/>
          <w:szCs w:val="20"/>
        </w:rPr>
        <w:t>, a dodává</w:t>
      </w:r>
      <w:r w:rsidRPr="00B03461">
        <w:rPr>
          <w:rFonts w:ascii="Arial" w:hAnsi="Arial" w:cs="Arial"/>
          <w:sz w:val="20"/>
          <w:szCs w:val="20"/>
        </w:rPr>
        <w:t>:</w:t>
      </w:r>
      <w:r w:rsidRPr="00B03461">
        <w:rPr>
          <w:rFonts w:ascii="Arial" w:hAnsi="Arial" w:cs="Arial"/>
          <w:i/>
          <w:sz w:val="20"/>
          <w:szCs w:val="20"/>
        </w:rPr>
        <w:t xml:space="preserve"> „Dovolená na úvěr je zaručeně nejrychlejší cestou do dluhové pasti. Spotřebitelé by měli dobře zvážit, zda jim dva týdny radosti stojí za následných sedm až deset let utahování opasků a strádání celé rodiny.“</w:t>
      </w:r>
    </w:p>
    <w:p w14:paraId="22F57361" w14:textId="5A4FF4A1" w:rsidR="00925499" w:rsidRPr="00B03461" w:rsidRDefault="00BA3EE0" w:rsidP="00BA3EE0">
      <w:pPr>
        <w:jc w:val="both"/>
        <w:rPr>
          <w:rFonts w:ascii="Arial" w:hAnsi="Arial" w:cs="Arial"/>
          <w:sz w:val="20"/>
          <w:szCs w:val="20"/>
        </w:rPr>
      </w:pPr>
      <w:r w:rsidRPr="00B03461">
        <w:rPr>
          <w:rFonts w:ascii="Arial" w:hAnsi="Arial" w:cs="Arial"/>
          <w:sz w:val="20"/>
          <w:szCs w:val="20"/>
        </w:rPr>
        <w:t xml:space="preserve"> </w:t>
      </w:r>
    </w:p>
    <w:p w14:paraId="3D5806F0" w14:textId="0DB04AFC" w:rsidR="00925499" w:rsidRPr="00B03461" w:rsidRDefault="00BA3EE0" w:rsidP="00BA3EE0">
      <w:pPr>
        <w:jc w:val="both"/>
        <w:rPr>
          <w:rFonts w:ascii="Arial" w:hAnsi="Arial" w:cs="Arial"/>
          <w:sz w:val="20"/>
          <w:szCs w:val="20"/>
        </w:rPr>
      </w:pPr>
      <w:r w:rsidRPr="00B03461">
        <w:rPr>
          <w:rFonts w:ascii="Arial" w:hAnsi="Arial" w:cs="Arial"/>
          <w:sz w:val="20"/>
          <w:szCs w:val="20"/>
        </w:rPr>
        <w:t xml:space="preserve">Březnové významné </w:t>
      </w:r>
      <w:r w:rsidR="00925499" w:rsidRPr="00B03461">
        <w:rPr>
          <w:rFonts w:ascii="Arial" w:hAnsi="Arial" w:cs="Arial"/>
          <w:sz w:val="20"/>
          <w:szCs w:val="20"/>
        </w:rPr>
        <w:t>zvýšení průměrné sazby</w:t>
      </w:r>
      <w:r w:rsidRPr="00B03461">
        <w:rPr>
          <w:rFonts w:ascii="Arial" w:hAnsi="Arial" w:cs="Arial"/>
          <w:sz w:val="20"/>
          <w:szCs w:val="20"/>
        </w:rPr>
        <w:t xml:space="preserve"> úvěrů na spotřebu</w:t>
      </w:r>
      <w:r w:rsidR="00925499" w:rsidRPr="00B03461">
        <w:rPr>
          <w:rFonts w:ascii="Arial" w:hAnsi="Arial" w:cs="Arial"/>
          <w:sz w:val="20"/>
          <w:szCs w:val="20"/>
        </w:rPr>
        <w:t xml:space="preserve"> samozřejmě souvisí s navýšením úrokových sazeb </w:t>
      </w:r>
      <w:r w:rsidRPr="00B03461">
        <w:rPr>
          <w:rFonts w:ascii="Arial" w:hAnsi="Arial" w:cs="Arial"/>
          <w:sz w:val="20"/>
          <w:szCs w:val="20"/>
        </w:rPr>
        <w:t xml:space="preserve">ze strany </w:t>
      </w:r>
      <w:r w:rsidR="00925499" w:rsidRPr="00B03461">
        <w:rPr>
          <w:rFonts w:ascii="Arial" w:hAnsi="Arial" w:cs="Arial"/>
          <w:sz w:val="20"/>
          <w:szCs w:val="20"/>
        </w:rPr>
        <w:t>Česk</w:t>
      </w:r>
      <w:r w:rsidRPr="00B03461">
        <w:rPr>
          <w:rFonts w:ascii="Arial" w:hAnsi="Arial" w:cs="Arial"/>
          <w:sz w:val="20"/>
          <w:szCs w:val="20"/>
        </w:rPr>
        <w:t xml:space="preserve">é </w:t>
      </w:r>
      <w:r w:rsidR="00925499" w:rsidRPr="00B03461">
        <w:rPr>
          <w:rFonts w:ascii="Arial" w:hAnsi="Arial" w:cs="Arial"/>
          <w:sz w:val="20"/>
          <w:szCs w:val="20"/>
        </w:rPr>
        <w:t>národní bank</w:t>
      </w:r>
      <w:r w:rsidRPr="00B03461">
        <w:rPr>
          <w:rFonts w:ascii="Arial" w:hAnsi="Arial" w:cs="Arial"/>
          <w:sz w:val="20"/>
          <w:szCs w:val="20"/>
        </w:rPr>
        <w:t>y</w:t>
      </w:r>
      <w:r w:rsidR="00925499" w:rsidRPr="00B03461">
        <w:rPr>
          <w:rFonts w:ascii="Arial" w:hAnsi="Arial" w:cs="Arial"/>
          <w:sz w:val="20"/>
          <w:szCs w:val="20"/>
        </w:rPr>
        <w:t xml:space="preserve">. Díky celkově nižší </w:t>
      </w:r>
      <w:r w:rsidRPr="00B03461">
        <w:rPr>
          <w:rFonts w:ascii="Arial" w:hAnsi="Arial" w:cs="Arial"/>
          <w:sz w:val="20"/>
          <w:szCs w:val="20"/>
        </w:rPr>
        <w:t xml:space="preserve">částce </w:t>
      </w:r>
      <w:r w:rsidR="00925499" w:rsidRPr="00B03461">
        <w:rPr>
          <w:rFonts w:ascii="Arial" w:hAnsi="Arial" w:cs="Arial"/>
          <w:sz w:val="20"/>
          <w:szCs w:val="20"/>
        </w:rPr>
        <w:t xml:space="preserve">úvěru a kratší době splatnosti poskytovaných spotřebitelských úvěrů ale není dopad na klienta tak výrazný jako u úvěrů hypotečních. </w:t>
      </w:r>
    </w:p>
    <w:p w14:paraId="750EEF97" w14:textId="77777777" w:rsidR="00925499" w:rsidRPr="00B03461" w:rsidRDefault="00925499" w:rsidP="00BA3EE0">
      <w:pPr>
        <w:jc w:val="both"/>
        <w:rPr>
          <w:rFonts w:ascii="Arial" w:hAnsi="Arial" w:cs="Arial"/>
          <w:sz w:val="20"/>
          <w:szCs w:val="20"/>
        </w:rPr>
      </w:pPr>
    </w:p>
    <w:p w14:paraId="7D72BEE4" w14:textId="1C8F643F" w:rsidR="00925499" w:rsidRPr="00B03461" w:rsidRDefault="00925499" w:rsidP="00BA3EE0">
      <w:pPr>
        <w:jc w:val="both"/>
        <w:rPr>
          <w:rFonts w:ascii="Arial" w:hAnsi="Arial" w:cs="Arial"/>
          <w:sz w:val="20"/>
          <w:szCs w:val="20"/>
        </w:rPr>
      </w:pPr>
      <w:r w:rsidRPr="00B03461">
        <w:rPr>
          <w:rFonts w:ascii="Arial" w:hAnsi="Arial" w:cs="Arial"/>
          <w:sz w:val="20"/>
          <w:szCs w:val="20"/>
        </w:rPr>
        <w:t xml:space="preserve">Většina bank </w:t>
      </w:r>
      <w:r w:rsidR="00EC3BED" w:rsidRPr="00B03461">
        <w:rPr>
          <w:rFonts w:ascii="Arial" w:hAnsi="Arial" w:cs="Arial"/>
          <w:sz w:val="20"/>
          <w:szCs w:val="20"/>
        </w:rPr>
        <w:t>uvádí</w:t>
      </w:r>
      <w:r w:rsidRPr="00B03461">
        <w:rPr>
          <w:rFonts w:ascii="Arial" w:hAnsi="Arial" w:cs="Arial"/>
          <w:sz w:val="20"/>
          <w:szCs w:val="20"/>
        </w:rPr>
        <w:t xml:space="preserve"> úrokové sazby spotřebitelských úvěrů </w:t>
      </w:r>
      <w:r w:rsidR="00EC3BED" w:rsidRPr="00B03461">
        <w:rPr>
          <w:rFonts w:ascii="Arial" w:hAnsi="Arial" w:cs="Arial"/>
          <w:sz w:val="20"/>
          <w:szCs w:val="20"/>
        </w:rPr>
        <w:t>formulací „</w:t>
      </w:r>
      <w:r w:rsidRPr="00B03461">
        <w:rPr>
          <w:rFonts w:ascii="Arial" w:hAnsi="Arial" w:cs="Arial"/>
          <w:sz w:val="20"/>
          <w:szCs w:val="20"/>
        </w:rPr>
        <w:t>od</w:t>
      </w:r>
      <w:r w:rsidR="00EC3BED" w:rsidRPr="00B03461">
        <w:rPr>
          <w:rFonts w:ascii="Arial" w:hAnsi="Arial" w:cs="Arial"/>
          <w:sz w:val="20"/>
          <w:szCs w:val="20"/>
        </w:rPr>
        <w:t xml:space="preserve">“ určitého procentuálního vyjádření. Do </w:t>
      </w:r>
      <w:r w:rsidRPr="00B03461">
        <w:rPr>
          <w:rFonts w:ascii="Arial" w:hAnsi="Arial" w:cs="Arial"/>
          <w:sz w:val="20"/>
          <w:szCs w:val="20"/>
        </w:rPr>
        <w:t xml:space="preserve">konečné úrokové sazby </w:t>
      </w:r>
      <w:r w:rsidR="00EC3BED" w:rsidRPr="00B03461">
        <w:rPr>
          <w:rFonts w:ascii="Arial" w:hAnsi="Arial" w:cs="Arial"/>
          <w:sz w:val="20"/>
          <w:szCs w:val="20"/>
        </w:rPr>
        <w:t xml:space="preserve">daného </w:t>
      </w:r>
      <w:r w:rsidRPr="00B03461">
        <w:rPr>
          <w:rFonts w:ascii="Arial" w:hAnsi="Arial" w:cs="Arial"/>
          <w:sz w:val="20"/>
          <w:szCs w:val="20"/>
        </w:rPr>
        <w:t xml:space="preserve">klienta se </w:t>
      </w:r>
      <w:r w:rsidR="00EC3BED" w:rsidRPr="00B03461">
        <w:rPr>
          <w:rFonts w:ascii="Arial" w:hAnsi="Arial" w:cs="Arial"/>
          <w:sz w:val="20"/>
          <w:szCs w:val="20"/>
        </w:rPr>
        <w:t xml:space="preserve">tak </w:t>
      </w:r>
      <w:r w:rsidRPr="00B03461">
        <w:rPr>
          <w:rFonts w:ascii="Arial" w:hAnsi="Arial" w:cs="Arial"/>
          <w:sz w:val="20"/>
          <w:szCs w:val="20"/>
        </w:rPr>
        <w:t>p</w:t>
      </w:r>
      <w:r w:rsidR="00EC3BED" w:rsidRPr="00B03461">
        <w:rPr>
          <w:rFonts w:ascii="Arial" w:hAnsi="Arial" w:cs="Arial"/>
          <w:sz w:val="20"/>
          <w:szCs w:val="20"/>
        </w:rPr>
        <w:t>romítá</w:t>
      </w:r>
      <w:r w:rsidRPr="00B03461">
        <w:rPr>
          <w:rFonts w:ascii="Arial" w:hAnsi="Arial" w:cs="Arial"/>
          <w:sz w:val="20"/>
          <w:szCs w:val="20"/>
        </w:rPr>
        <w:t xml:space="preserve"> jeho hodnocení, a to zejména rizikovost, celková úvěrová angažovanost </w:t>
      </w:r>
      <w:r w:rsidR="00EC3BED" w:rsidRPr="00B03461">
        <w:rPr>
          <w:rFonts w:ascii="Arial" w:hAnsi="Arial" w:cs="Arial"/>
          <w:sz w:val="20"/>
          <w:szCs w:val="20"/>
        </w:rPr>
        <w:t>a samozřejmě také jeho bonita. Obecně lze říci</w:t>
      </w:r>
      <w:r w:rsidRPr="00B03461">
        <w:rPr>
          <w:rFonts w:ascii="Arial" w:hAnsi="Arial" w:cs="Arial"/>
          <w:sz w:val="20"/>
          <w:szCs w:val="20"/>
        </w:rPr>
        <w:t>, že produkty, které klient dlouhodobě v pořádku splácí</w:t>
      </w:r>
      <w:r w:rsidR="00BA3EE0" w:rsidRPr="00B03461">
        <w:rPr>
          <w:rFonts w:ascii="Arial" w:hAnsi="Arial" w:cs="Arial"/>
          <w:sz w:val="20"/>
          <w:szCs w:val="20"/>
        </w:rPr>
        <w:t>,</w:t>
      </w:r>
      <w:r w:rsidRPr="00B03461">
        <w:rPr>
          <w:rFonts w:ascii="Arial" w:hAnsi="Arial" w:cs="Arial"/>
          <w:sz w:val="20"/>
          <w:szCs w:val="20"/>
        </w:rPr>
        <w:t xml:space="preserve"> nebo je již doplatil, </w:t>
      </w:r>
      <w:r w:rsidR="00EC3BED" w:rsidRPr="00B03461">
        <w:rPr>
          <w:rFonts w:ascii="Arial" w:hAnsi="Arial" w:cs="Arial"/>
          <w:sz w:val="20"/>
          <w:szCs w:val="20"/>
        </w:rPr>
        <w:t>jeho</w:t>
      </w:r>
      <w:r w:rsidRPr="00B03461">
        <w:rPr>
          <w:rFonts w:ascii="Arial" w:hAnsi="Arial" w:cs="Arial"/>
          <w:sz w:val="20"/>
          <w:szCs w:val="20"/>
        </w:rPr>
        <w:t xml:space="preserve"> hodnocení vylepšují. Banky obvykle nahlíž</w:t>
      </w:r>
      <w:r w:rsidR="00EC3BED" w:rsidRPr="00B03461">
        <w:rPr>
          <w:rFonts w:ascii="Arial" w:hAnsi="Arial" w:cs="Arial"/>
          <w:sz w:val="20"/>
          <w:szCs w:val="20"/>
        </w:rPr>
        <w:t>ej</w:t>
      </w:r>
      <w:r w:rsidRPr="00B03461">
        <w:rPr>
          <w:rFonts w:ascii="Arial" w:hAnsi="Arial" w:cs="Arial"/>
          <w:sz w:val="20"/>
          <w:szCs w:val="20"/>
        </w:rPr>
        <w:t xml:space="preserve">í do bankovních i nebankovních registrů klientských informací, kde se </w:t>
      </w:r>
      <w:r w:rsidR="00EC3BED" w:rsidRPr="00B03461">
        <w:rPr>
          <w:rFonts w:ascii="Arial" w:hAnsi="Arial" w:cs="Arial"/>
          <w:sz w:val="20"/>
          <w:szCs w:val="20"/>
        </w:rPr>
        <w:t>tyto údaje</w:t>
      </w:r>
      <w:r w:rsidRPr="00B03461">
        <w:rPr>
          <w:rFonts w:ascii="Arial" w:hAnsi="Arial" w:cs="Arial"/>
          <w:sz w:val="20"/>
          <w:szCs w:val="20"/>
        </w:rPr>
        <w:t xml:space="preserve"> shromažďují několik let zpětně. </w:t>
      </w:r>
      <w:r w:rsidR="00EC3BED" w:rsidRPr="00B03461">
        <w:rPr>
          <w:rFonts w:ascii="Arial" w:hAnsi="Arial" w:cs="Arial"/>
          <w:sz w:val="20"/>
          <w:szCs w:val="20"/>
        </w:rPr>
        <w:t xml:space="preserve">Pro hodnocení klienta je </w:t>
      </w:r>
      <w:r w:rsidR="00BA3EE0" w:rsidRPr="00B03461">
        <w:rPr>
          <w:rFonts w:ascii="Arial" w:hAnsi="Arial" w:cs="Arial"/>
          <w:sz w:val="20"/>
          <w:szCs w:val="20"/>
        </w:rPr>
        <w:t xml:space="preserve">také </w:t>
      </w:r>
      <w:r w:rsidR="00EC3BED" w:rsidRPr="00B03461">
        <w:rPr>
          <w:rFonts w:ascii="Arial" w:hAnsi="Arial" w:cs="Arial"/>
          <w:sz w:val="20"/>
          <w:szCs w:val="20"/>
        </w:rPr>
        <w:t xml:space="preserve">rozhodující </w:t>
      </w:r>
      <w:r w:rsidRPr="00B03461">
        <w:rPr>
          <w:rFonts w:ascii="Arial" w:hAnsi="Arial" w:cs="Arial"/>
          <w:sz w:val="20"/>
          <w:szCs w:val="20"/>
        </w:rPr>
        <w:t xml:space="preserve">výše a stabilita </w:t>
      </w:r>
      <w:r w:rsidR="00EC3BED" w:rsidRPr="00B03461">
        <w:rPr>
          <w:rFonts w:ascii="Arial" w:hAnsi="Arial" w:cs="Arial"/>
          <w:sz w:val="20"/>
          <w:szCs w:val="20"/>
        </w:rPr>
        <w:t>jeho příjmů. Banka většinou poskytne</w:t>
      </w:r>
      <w:r w:rsidRPr="00B03461">
        <w:rPr>
          <w:rFonts w:ascii="Arial" w:hAnsi="Arial" w:cs="Arial"/>
          <w:sz w:val="20"/>
          <w:szCs w:val="20"/>
        </w:rPr>
        <w:t xml:space="preserve"> klientovi nižší úrokovou sazbu, </w:t>
      </w:r>
      <w:r w:rsidR="00EC3BED" w:rsidRPr="00B03461">
        <w:rPr>
          <w:rFonts w:ascii="Arial" w:hAnsi="Arial" w:cs="Arial"/>
          <w:sz w:val="20"/>
          <w:szCs w:val="20"/>
        </w:rPr>
        <w:t>jestliže</w:t>
      </w:r>
      <w:r w:rsidRPr="00B03461">
        <w:rPr>
          <w:rFonts w:ascii="Arial" w:hAnsi="Arial" w:cs="Arial"/>
          <w:sz w:val="20"/>
          <w:szCs w:val="20"/>
        </w:rPr>
        <w:t xml:space="preserve"> u ní vlastní také běžný účet, kam si pra</w:t>
      </w:r>
      <w:r w:rsidR="00EC3BED" w:rsidRPr="00B03461">
        <w:rPr>
          <w:rFonts w:ascii="Arial" w:hAnsi="Arial" w:cs="Arial"/>
          <w:sz w:val="20"/>
          <w:szCs w:val="20"/>
        </w:rPr>
        <w:t xml:space="preserve">videlně nechává zasílat příjmy. </w:t>
      </w:r>
      <w:r w:rsidR="00BA3EE0" w:rsidRPr="00B03461">
        <w:rPr>
          <w:rFonts w:ascii="Arial" w:hAnsi="Arial" w:cs="Arial"/>
          <w:sz w:val="20"/>
          <w:szCs w:val="20"/>
        </w:rPr>
        <w:t xml:space="preserve">Z tohoto důvodu již klient bance </w:t>
      </w:r>
      <w:r w:rsidR="00B03461" w:rsidRPr="00B03461">
        <w:rPr>
          <w:rFonts w:ascii="Arial" w:hAnsi="Arial" w:cs="Arial"/>
          <w:sz w:val="20"/>
          <w:szCs w:val="20"/>
        </w:rPr>
        <w:t xml:space="preserve">dokládat příjmy </w:t>
      </w:r>
      <w:r w:rsidR="00BA3EE0" w:rsidRPr="00B03461">
        <w:rPr>
          <w:rFonts w:ascii="Arial" w:hAnsi="Arial" w:cs="Arial"/>
          <w:sz w:val="20"/>
          <w:szCs w:val="20"/>
        </w:rPr>
        <w:t>nemusí.</w:t>
      </w:r>
    </w:p>
    <w:p w14:paraId="361224F8" w14:textId="77777777" w:rsidR="00925499" w:rsidRPr="00B03461" w:rsidRDefault="00925499" w:rsidP="00BA3EE0">
      <w:pPr>
        <w:jc w:val="both"/>
        <w:rPr>
          <w:rFonts w:ascii="Arial" w:hAnsi="Arial" w:cs="Arial"/>
          <w:sz w:val="20"/>
          <w:szCs w:val="20"/>
        </w:rPr>
      </w:pPr>
    </w:p>
    <w:p w14:paraId="7121068C" w14:textId="440579F0" w:rsidR="00925499" w:rsidRPr="00B03461" w:rsidRDefault="00925499" w:rsidP="00BA3EE0">
      <w:pPr>
        <w:jc w:val="both"/>
        <w:rPr>
          <w:rFonts w:ascii="Arial" w:hAnsi="Arial" w:cs="Arial"/>
          <w:sz w:val="20"/>
          <w:szCs w:val="20"/>
        </w:rPr>
      </w:pPr>
      <w:r w:rsidRPr="00B03461">
        <w:rPr>
          <w:rFonts w:ascii="Arial" w:hAnsi="Arial" w:cs="Arial"/>
          <w:sz w:val="20"/>
          <w:szCs w:val="20"/>
        </w:rPr>
        <w:t>Úrok je ale pouze jednou složkou výdajů, které klient v souvislosti s úvěrem zaplatí. Dalšími částkami, které tvoří celkové náklady úvěru, jsou i položky za poskytnutí úvěru, vedení úvěrového účtu nebo pojištění schopnosti splácet.</w:t>
      </w:r>
      <w:r w:rsidR="00B03461" w:rsidRPr="00B03461">
        <w:rPr>
          <w:rFonts w:ascii="Arial" w:hAnsi="Arial" w:cs="Arial"/>
          <w:sz w:val="20"/>
          <w:szCs w:val="20"/>
        </w:rPr>
        <w:t xml:space="preserve"> </w:t>
      </w:r>
    </w:p>
    <w:p w14:paraId="7D9E8769" w14:textId="77777777" w:rsidR="00EC3BED" w:rsidRPr="00B03461" w:rsidRDefault="00EC3BED" w:rsidP="00925499">
      <w:pPr>
        <w:rPr>
          <w:rFonts w:ascii="Arial" w:hAnsi="Arial" w:cs="Arial"/>
          <w:sz w:val="20"/>
          <w:szCs w:val="20"/>
        </w:rPr>
      </w:pPr>
    </w:p>
    <w:p w14:paraId="645DDC81" w14:textId="463AD1AD" w:rsidR="008F3C6D" w:rsidRDefault="008B4F0F" w:rsidP="0076114C">
      <w:pPr>
        <w:jc w:val="both"/>
        <w:rPr>
          <w:rFonts w:ascii="Arial" w:eastAsia="Times New Roman" w:hAnsi="Arial" w:cs="Arial"/>
          <w:b/>
          <w:color w:val="FF0000"/>
          <w:sz w:val="20"/>
          <w:szCs w:val="20"/>
        </w:rPr>
      </w:pPr>
      <w:r>
        <w:rPr>
          <w:rFonts w:ascii="Arial" w:hAnsi="Arial" w:cs="Arial"/>
          <w:bCs/>
          <w:sz w:val="20"/>
          <w:szCs w:val="20"/>
        </w:rPr>
        <w:pict w14:anchorId="53CB11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pt;height:223.2pt">
            <v:imagedata r:id="rId24" o:title="GRAF BC Index spotrebitelskych uveru - brezen 2022"/>
          </v:shape>
        </w:pict>
      </w:r>
    </w:p>
    <w:p w14:paraId="3C69D053" w14:textId="0EE5B9DD" w:rsidR="008F3C6D" w:rsidRDefault="008F3C6D" w:rsidP="004B2FF6">
      <w:pPr>
        <w:jc w:val="both"/>
        <w:rPr>
          <w:rFonts w:ascii="Arial" w:hAnsi="Arial" w:cs="Arial"/>
          <w:sz w:val="20"/>
          <w:szCs w:val="20"/>
        </w:rPr>
      </w:pPr>
      <w:r w:rsidRPr="00F51B95">
        <w:rPr>
          <w:rFonts w:ascii="Arial" w:hAnsi="Arial" w:cs="Arial"/>
          <w:sz w:val="20"/>
          <w:szCs w:val="20"/>
        </w:rPr>
        <w:t xml:space="preserve">Broker Consulting Index spotřebitelských úvěrů je analytický nástroj, který ukazuje průměrnou úrokovou sazbu u spotřebitelských úvěrů, jež zprostředkovali konzultanti Broker Consulting a pobočky OK POINT u kteréhokoli </w:t>
      </w:r>
      <w:r w:rsidRPr="00F51B95">
        <w:rPr>
          <w:rFonts w:ascii="Arial" w:hAnsi="Arial" w:cs="Arial"/>
          <w:sz w:val="20"/>
          <w:szCs w:val="20"/>
        </w:rPr>
        <w:lastRenderedPageBreak/>
        <w:t>poskytovatele bankovních úvěrů. Jedná se o vážený aritmetický průměr, kdy hlavní vahou je objem úvěru. Tedy čím vyšší úvěr, tím jeho sazba do Indexu vstupuje větší vahou. Výhodou metody výpočtu je to, že se do statistiky dostávají pouze  skutečně  schválené  úvěry, a to bez výjimky všechny. Nemůže tak dojít ke zkreslení informací a Index není závislý na datech dodávaných třetími stranami.</w:t>
      </w:r>
    </w:p>
    <w:p w14:paraId="4269CE9A" w14:textId="77777777" w:rsidR="008F3C6D" w:rsidRPr="00F51B95" w:rsidRDefault="008F3C6D" w:rsidP="004B2FF6">
      <w:pPr>
        <w:jc w:val="both"/>
        <w:rPr>
          <w:rFonts w:ascii="Arial" w:hAnsi="Arial" w:cs="Arial"/>
          <w:sz w:val="20"/>
          <w:szCs w:val="20"/>
        </w:rPr>
      </w:pPr>
    </w:p>
    <w:p w14:paraId="7027CA9A" w14:textId="77777777" w:rsidR="008F3C6D" w:rsidRDefault="008F3C6D" w:rsidP="004B2FF6">
      <w:pPr>
        <w:tabs>
          <w:tab w:val="left" w:pos="7152"/>
        </w:tabs>
        <w:jc w:val="both"/>
        <w:rPr>
          <w:rFonts w:ascii="Arial" w:hAnsi="Arial" w:cs="Arial"/>
          <w:b/>
          <w:sz w:val="18"/>
          <w:szCs w:val="16"/>
        </w:rPr>
      </w:pPr>
      <w:r>
        <w:rPr>
          <w:rFonts w:ascii="Arial" w:hAnsi="Arial" w:cs="Arial"/>
          <w:b/>
          <w:sz w:val="18"/>
          <w:szCs w:val="16"/>
        </w:rPr>
        <w:tab/>
      </w:r>
    </w:p>
    <w:p w14:paraId="41945BEC" w14:textId="77777777" w:rsidR="008F3C6D" w:rsidRPr="00B244B9" w:rsidRDefault="008F3C6D" w:rsidP="004B2FF6">
      <w:pPr>
        <w:jc w:val="both"/>
        <w:rPr>
          <w:rFonts w:ascii="Arial" w:hAnsi="Arial" w:cs="Arial"/>
          <w:sz w:val="18"/>
          <w:szCs w:val="16"/>
        </w:rPr>
      </w:pPr>
      <w:r w:rsidRPr="00B244B9">
        <w:rPr>
          <w:rFonts w:ascii="Arial" w:hAnsi="Arial" w:cs="Arial"/>
          <w:b/>
          <w:sz w:val="18"/>
          <w:szCs w:val="16"/>
        </w:rPr>
        <w:t>Poznámka pro média:</w:t>
      </w:r>
      <w:r w:rsidRPr="00B244B9">
        <w:rPr>
          <w:rFonts w:ascii="Arial" w:hAnsi="Arial" w:cs="Arial"/>
          <w:sz w:val="18"/>
          <w:szCs w:val="16"/>
        </w:rPr>
        <w:t xml:space="preserve"> </w:t>
      </w:r>
      <w:r w:rsidRPr="00B244B9">
        <w:rPr>
          <w:rFonts w:ascii="Arial" w:hAnsi="Arial" w:cs="Arial"/>
          <w:color w:val="1D1D1B"/>
          <w:w w:val="105"/>
          <w:sz w:val="18"/>
          <w:szCs w:val="16"/>
        </w:rPr>
        <w:t>Broker</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Consulting</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Indexy</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je</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možné</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volně</w:t>
      </w:r>
      <w:r w:rsidRPr="00B244B9">
        <w:rPr>
          <w:rFonts w:ascii="Arial" w:hAnsi="Arial" w:cs="Arial"/>
          <w:color w:val="1D1D1B"/>
          <w:spacing w:val="-8"/>
          <w:w w:val="105"/>
          <w:sz w:val="18"/>
          <w:szCs w:val="16"/>
        </w:rPr>
        <w:t xml:space="preserve"> </w:t>
      </w:r>
      <w:r w:rsidRPr="00B244B9">
        <w:rPr>
          <w:rFonts w:ascii="Arial" w:hAnsi="Arial" w:cs="Arial"/>
          <w:color w:val="1D1D1B"/>
          <w:spacing w:val="2"/>
          <w:w w:val="105"/>
          <w:sz w:val="18"/>
          <w:szCs w:val="16"/>
        </w:rPr>
        <w:t>publikovat</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pouze</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s</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označením</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„Broker</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Consulting</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Index“</w:t>
      </w:r>
      <w:r w:rsidRPr="00B244B9">
        <w:rPr>
          <w:rFonts w:ascii="Arial" w:hAnsi="Arial" w:cs="Arial"/>
          <w:color w:val="1D1D1B"/>
          <w:spacing w:val="-9"/>
          <w:w w:val="105"/>
          <w:sz w:val="18"/>
          <w:szCs w:val="16"/>
        </w:rPr>
        <w:t xml:space="preserve"> </w:t>
      </w:r>
      <w:r w:rsidRPr="00B244B9">
        <w:rPr>
          <w:rFonts w:ascii="Arial" w:hAnsi="Arial" w:cs="Arial"/>
          <w:color w:val="1D1D1B"/>
          <w:spacing w:val="-3"/>
          <w:w w:val="105"/>
          <w:sz w:val="18"/>
          <w:szCs w:val="16"/>
        </w:rPr>
        <w:t>(</w:t>
      </w:r>
      <w:r w:rsidRPr="00B244B9">
        <w:rPr>
          <w:rFonts w:ascii="Arial" w:hAnsi="Arial" w:cs="Arial"/>
          <w:i/>
          <w:color w:val="1D1D1B"/>
          <w:spacing w:val="-3"/>
          <w:w w:val="105"/>
          <w:sz w:val="18"/>
          <w:szCs w:val="16"/>
        </w:rPr>
        <w:t>např.</w:t>
      </w:r>
      <w:r w:rsidRPr="00B244B9">
        <w:rPr>
          <w:rFonts w:ascii="Arial" w:hAnsi="Arial" w:cs="Arial"/>
          <w:i/>
          <w:color w:val="1D1D1B"/>
          <w:spacing w:val="-8"/>
          <w:w w:val="105"/>
          <w:sz w:val="18"/>
          <w:szCs w:val="16"/>
        </w:rPr>
        <w:t xml:space="preserve"> </w:t>
      </w:r>
      <w:r w:rsidRPr="00B244B9">
        <w:rPr>
          <w:rFonts w:ascii="Arial" w:hAnsi="Arial" w:cs="Arial"/>
          <w:i/>
          <w:color w:val="1D1D1B"/>
          <w:w w:val="105"/>
          <w:sz w:val="18"/>
          <w:szCs w:val="16"/>
        </w:rPr>
        <w:t>Broker</w:t>
      </w:r>
      <w:r w:rsidRPr="00B244B9">
        <w:rPr>
          <w:rFonts w:ascii="Arial" w:hAnsi="Arial" w:cs="Arial"/>
          <w:i/>
          <w:color w:val="1D1D1B"/>
          <w:spacing w:val="-9"/>
          <w:w w:val="105"/>
          <w:sz w:val="18"/>
          <w:szCs w:val="16"/>
        </w:rPr>
        <w:t xml:space="preserve"> </w:t>
      </w:r>
      <w:r w:rsidRPr="00B244B9">
        <w:rPr>
          <w:rFonts w:ascii="Arial" w:hAnsi="Arial" w:cs="Arial"/>
          <w:i/>
          <w:color w:val="1D1D1B"/>
          <w:w w:val="105"/>
          <w:sz w:val="18"/>
          <w:szCs w:val="16"/>
        </w:rPr>
        <w:t>Consulting</w:t>
      </w:r>
      <w:r w:rsidRPr="00B244B9">
        <w:rPr>
          <w:rFonts w:ascii="Arial" w:hAnsi="Arial" w:cs="Arial"/>
          <w:i/>
          <w:color w:val="1D1D1B"/>
          <w:spacing w:val="-8"/>
          <w:w w:val="105"/>
          <w:sz w:val="18"/>
          <w:szCs w:val="16"/>
        </w:rPr>
        <w:t xml:space="preserve"> </w:t>
      </w:r>
      <w:r>
        <w:rPr>
          <w:rFonts w:ascii="Arial" w:hAnsi="Arial" w:cs="Arial"/>
          <w:i/>
          <w:color w:val="1D1D1B"/>
          <w:spacing w:val="-8"/>
          <w:w w:val="105"/>
          <w:sz w:val="18"/>
          <w:szCs w:val="16"/>
        </w:rPr>
        <w:t xml:space="preserve">Index </w:t>
      </w:r>
      <w:r w:rsidRPr="00B244B9">
        <w:rPr>
          <w:rFonts w:ascii="Arial" w:hAnsi="Arial" w:cs="Arial"/>
          <w:i/>
          <w:color w:val="1D1D1B"/>
          <w:w w:val="105"/>
          <w:sz w:val="18"/>
          <w:szCs w:val="16"/>
        </w:rPr>
        <w:t>hypoteční</w:t>
      </w:r>
      <w:r>
        <w:rPr>
          <w:rFonts w:ascii="Arial" w:hAnsi="Arial" w:cs="Arial"/>
          <w:i/>
          <w:color w:val="1D1D1B"/>
          <w:spacing w:val="-9"/>
          <w:w w:val="105"/>
          <w:sz w:val="18"/>
          <w:szCs w:val="16"/>
        </w:rPr>
        <w:t>ch úvěrů</w:t>
      </w:r>
      <w:r w:rsidRPr="00B244B9">
        <w:rPr>
          <w:rFonts w:ascii="Arial" w:hAnsi="Arial" w:cs="Arial"/>
          <w:i/>
          <w:color w:val="1D1D1B"/>
          <w:w w:val="105"/>
          <w:sz w:val="18"/>
          <w:szCs w:val="16"/>
        </w:rPr>
        <w:t xml:space="preserve">). Více informací najdete též na webu </w:t>
      </w:r>
      <w:r w:rsidRPr="00C42FAF">
        <w:rPr>
          <w:rStyle w:val="Hypertextovodkaz"/>
          <w:rFonts w:ascii="Arial" w:hAnsi="Arial" w:cs="Arial"/>
          <w:i/>
          <w:w w:val="105"/>
          <w:sz w:val="18"/>
          <w:szCs w:val="16"/>
        </w:rPr>
        <w:t>https://www.bcas.cz/onas/pro-media/</w:t>
      </w:r>
      <w:r w:rsidRPr="00B244B9">
        <w:rPr>
          <w:rFonts w:ascii="Arial" w:hAnsi="Arial" w:cs="Arial"/>
          <w:i/>
          <w:color w:val="1D1D1B"/>
          <w:w w:val="105"/>
          <w:sz w:val="18"/>
          <w:szCs w:val="16"/>
        </w:rPr>
        <w:t xml:space="preserve">. </w:t>
      </w:r>
    </w:p>
    <w:p w14:paraId="73974ED0" w14:textId="77777777" w:rsidR="008F3C6D" w:rsidRDefault="008F3C6D" w:rsidP="004B2FF6">
      <w:pPr>
        <w:tabs>
          <w:tab w:val="center" w:pos="5225"/>
        </w:tabs>
        <w:jc w:val="both"/>
        <w:rPr>
          <w:rFonts w:ascii="Arial" w:hAnsi="Arial" w:cs="Arial"/>
          <w:b/>
          <w:sz w:val="18"/>
        </w:rPr>
      </w:pPr>
    </w:p>
    <w:p w14:paraId="0EB778DA" w14:textId="77777777" w:rsidR="008F3C6D" w:rsidRDefault="008F3C6D" w:rsidP="008F3C6D">
      <w:pPr>
        <w:tabs>
          <w:tab w:val="center" w:pos="5225"/>
        </w:tabs>
        <w:jc w:val="both"/>
        <w:rPr>
          <w:rFonts w:ascii="Arial" w:hAnsi="Arial" w:cs="Arial"/>
          <w:b/>
          <w:sz w:val="18"/>
        </w:rPr>
      </w:pPr>
    </w:p>
    <w:p w14:paraId="2FA3FD44" w14:textId="77777777" w:rsidR="008F3C6D" w:rsidRPr="00347557" w:rsidRDefault="008F3C6D" w:rsidP="008F3C6D">
      <w:pPr>
        <w:tabs>
          <w:tab w:val="center" w:pos="5225"/>
        </w:tabs>
        <w:jc w:val="both"/>
        <w:rPr>
          <w:rFonts w:ascii="Arial" w:hAnsi="Arial" w:cs="Arial"/>
          <w:b/>
          <w:sz w:val="18"/>
        </w:rPr>
      </w:pPr>
      <w:r>
        <w:rPr>
          <w:rFonts w:ascii="Arial" w:hAnsi="Arial" w:cs="Arial"/>
          <w:b/>
          <w:sz w:val="18"/>
        </w:rPr>
        <w:t>Proč je dobré I</w:t>
      </w:r>
      <w:r w:rsidRPr="00347557">
        <w:rPr>
          <w:rFonts w:ascii="Arial" w:hAnsi="Arial" w:cs="Arial"/>
          <w:b/>
          <w:sz w:val="18"/>
        </w:rPr>
        <w:t>ndex sledovat</w:t>
      </w:r>
      <w:r>
        <w:rPr>
          <w:rFonts w:ascii="Arial" w:hAnsi="Arial" w:cs="Arial"/>
          <w:b/>
          <w:sz w:val="18"/>
        </w:rPr>
        <w:tab/>
      </w:r>
    </w:p>
    <w:p w14:paraId="4137EAC7" w14:textId="77777777" w:rsidR="008F3C6D" w:rsidRPr="00682D62" w:rsidRDefault="008F3C6D" w:rsidP="008F3C6D">
      <w:pPr>
        <w:jc w:val="both"/>
        <w:rPr>
          <w:rFonts w:ascii="Arial" w:hAnsi="Arial" w:cs="Arial"/>
          <w:sz w:val="18"/>
        </w:rPr>
      </w:pPr>
      <w:r w:rsidRPr="00347557">
        <w:rPr>
          <w:rFonts w:ascii="Arial" w:hAnsi="Arial" w:cs="Arial"/>
          <w:sz w:val="18"/>
        </w:rPr>
        <w:t>Broker Consulting Index spotřebitelských úvěrů zachycuje vývoj úrokových sazeb u spotřebitelských bankovních úvěrů. Je praktickým indikátorem toho, jak se pro českou veřejnost úvěry vyvíjejí z hlediska úrokových sazeb, a tedy i výše splátek na určitou půjčenou sumu. Lidé si tyto typy úvěrů berou, aby financovali různé potřeby. Od dovolené přes nový telefon až po překlenutí nějaké tíživé situace. Zásadní význam má index pro domácnosti, které splácejí větší množství úvěrů a splátky je dusí. Index jim může otevřít oči, že půjčky je možné refinancovat s mnohem nižší úrokovou sazbou, a nastartovat tak cestu za ozdravením rodinných financí. Sazby spotřebitelských úvěrů jsou na trhu velmi různé, lidé často dobře nezhodnotí situaci a sjednají si drahou půjčku. Index je důvěryhodným podkladem pro média při komunikaci praktického a pro občany zajímavého tématu. Index nemá za cíl ukazovat průměr trhu, ale zdravou sazbu. Pokud si proto člověk chce sjednat spotřebitelský úvěr ať už v bance, nebo v nebankovní instituci a úroková sazba je výrazněji vyšší než aktuální index, je potřeba zpozornět.</w:t>
      </w:r>
      <w:r>
        <w:rPr>
          <w:sz w:val="20"/>
        </w:rPr>
        <w:tab/>
      </w:r>
    </w:p>
    <w:p w14:paraId="19369C4D" w14:textId="77777777" w:rsidR="008F3C6D" w:rsidRDefault="008F3C6D" w:rsidP="008F3C6D">
      <w:pPr>
        <w:jc w:val="both"/>
        <w:rPr>
          <w:sz w:val="20"/>
        </w:rPr>
      </w:pPr>
    </w:p>
    <w:p w14:paraId="5F16FECD" w14:textId="77777777" w:rsidR="008F3C6D" w:rsidRDefault="008F3C6D" w:rsidP="008F3C6D">
      <w:pPr>
        <w:jc w:val="both"/>
        <w:rPr>
          <w:sz w:val="20"/>
        </w:rPr>
      </w:pPr>
    </w:p>
    <w:p w14:paraId="1039ED98" w14:textId="77777777" w:rsidR="008F3C6D" w:rsidRPr="00D60D98" w:rsidRDefault="008F3C6D" w:rsidP="008F3C6D">
      <w:pPr>
        <w:jc w:val="both"/>
        <w:rPr>
          <w:rFonts w:ascii="Arial" w:eastAsia="Calibri" w:hAnsi="Arial" w:cs="Arial"/>
          <w:b/>
          <w:bCs/>
          <w:noProof/>
          <w:sz w:val="20"/>
          <w:szCs w:val="20"/>
        </w:rPr>
      </w:pPr>
    </w:p>
    <w:p w14:paraId="195CA202" w14:textId="77777777" w:rsidR="008F3C6D" w:rsidRDefault="008F3C6D" w:rsidP="008F3C6D">
      <w:pPr>
        <w:rPr>
          <w:rFonts w:ascii="Arial" w:eastAsia="Calibri" w:hAnsi="Arial" w:cs="Arial"/>
          <w:b/>
          <w:bCs/>
          <w:noProof/>
          <w:sz w:val="20"/>
          <w:szCs w:val="20"/>
        </w:rPr>
      </w:pPr>
      <w:r w:rsidRPr="00D60D98">
        <w:rPr>
          <w:rFonts w:ascii="Arial" w:eastAsia="Calibri" w:hAnsi="Arial" w:cs="Arial"/>
          <w:b/>
          <w:bCs/>
          <w:noProof/>
          <w:sz w:val="20"/>
          <w:szCs w:val="20"/>
        </w:rPr>
        <w:t>Kontakt pro média:</w:t>
      </w:r>
    </w:p>
    <w:p w14:paraId="11BFECA3" w14:textId="77777777" w:rsidR="008F3C6D" w:rsidRPr="002A6FA3" w:rsidRDefault="008F3C6D" w:rsidP="008F3C6D">
      <w:pPr>
        <w:rPr>
          <w:rFonts w:ascii="Arial" w:eastAsia="Calibri" w:hAnsi="Arial" w:cs="Arial"/>
          <w:b/>
          <w:bCs/>
          <w:noProof/>
          <w:sz w:val="18"/>
          <w:szCs w:val="18"/>
          <w:lang w:bidi="ar-SA"/>
        </w:rPr>
      </w:pPr>
      <w:r>
        <w:rPr>
          <w:sz w:val="20"/>
        </w:rPr>
        <w:br/>
      </w:r>
      <w:r w:rsidRPr="002A6FA3">
        <w:rPr>
          <w:rFonts w:ascii="Arial" w:eastAsia="Calibri" w:hAnsi="Arial" w:cs="Arial"/>
          <w:b/>
          <w:bCs/>
          <w:noProof/>
          <w:sz w:val="18"/>
          <w:szCs w:val="18"/>
        </w:rPr>
        <w:t>Tereza Kunová</w:t>
      </w:r>
    </w:p>
    <w:p w14:paraId="0AE5EEC0" w14:textId="77777777" w:rsidR="008F3C6D" w:rsidRPr="002A6FA3" w:rsidRDefault="008F3C6D" w:rsidP="008F3C6D">
      <w:pPr>
        <w:spacing w:after="225"/>
        <w:rPr>
          <w:rFonts w:ascii="Arial" w:eastAsia="Calibri" w:hAnsi="Arial" w:cs="Arial"/>
          <w:noProof/>
          <w:sz w:val="18"/>
          <w:szCs w:val="18"/>
        </w:rPr>
      </w:pPr>
      <w:r w:rsidRPr="002A6FA3">
        <w:rPr>
          <w:rFonts w:ascii="Arial" w:eastAsia="Calibri" w:hAnsi="Arial" w:cs="Arial"/>
          <w:noProof/>
          <w:sz w:val="18"/>
          <w:szCs w:val="18"/>
        </w:rPr>
        <w:t>Specialistka PR a externí komunikace</w:t>
      </w:r>
    </w:p>
    <w:p w14:paraId="320504CE" w14:textId="45B42FA6" w:rsidR="008F3C6D" w:rsidRPr="0056501A" w:rsidRDefault="003B0E4E" w:rsidP="008F3C6D">
      <w:pPr>
        <w:rPr>
          <w:rFonts w:ascii="Arial" w:eastAsia="Calibri" w:hAnsi="Arial" w:cs="Arial"/>
          <w:bCs/>
          <w:noProof/>
          <w:sz w:val="18"/>
          <w:szCs w:val="18"/>
        </w:rPr>
      </w:pPr>
      <w:r>
        <w:rPr>
          <w:rFonts w:ascii="Arial" w:eastAsia="Calibri" w:hAnsi="Arial" w:cs="Arial"/>
          <w:bCs/>
          <w:noProof/>
          <w:sz w:val="18"/>
          <w:szCs w:val="18"/>
        </w:rPr>
        <w:t>Broker Consulting, a.s.</w:t>
      </w:r>
    </w:p>
    <w:p w14:paraId="05963080" w14:textId="77777777" w:rsidR="008F3C6D" w:rsidRPr="002A6FA3" w:rsidRDefault="008F3C6D" w:rsidP="008F3C6D">
      <w:pPr>
        <w:rPr>
          <w:rFonts w:ascii="Arial" w:eastAsia="Calibri" w:hAnsi="Arial" w:cs="Arial"/>
          <w:noProof/>
          <w:sz w:val="18"/>
          <w:szCs w:val="18"/>
        </w:rPr>
      </w:pPr>
      <w:r w:rsidRPr="002A6FA3">
        <w:rPr>
          <w:rFonts w:ascii="Arial" w:eastAsia="Calibri" w:hAnsi="Arial" w:cs="Arial"/>
          <w:noProof/>
          <w:sz w:val="18"/>
          <w:szCs w:val="18"/>
        </w:rPr>
        <w:t>Office Park Nové Butovice (Budova B)</w:t>
      </w:r>
      <w:r w:rsidRPr="002A6FA3">
        <w:rPr>
          <w:rFonts w:ascii="Arial" w:eastAsia="Calibri" w:hAnsi="Arial" w:cs="Arial"/>
          <w:noProof/>
          <w:sz w:val="18"/>
          <w:szCs w:val="18"/>
        </w:rPr>
        <w:br/>
        <w:t>Bucharova 1423/6, 158 00 Praha 5</w:t>
      </w:r>
    </w:p>
    <w:p w14:paraId="6DCF53EC" w14:textId="77777777" w:rsidR="008F3C6D" w:rsidRPr="002A6FA3" w:rsidRDefault="008F3C6D" w:rsidP="008F3C6D">
      <w:pPr>
        <w:rPr>
          <w:rFonts w:ascii="Arial" w:eastAsia="Calibri" w:hAnsi="Arial" w:cs="Arial"/>
          <w:noProof/>
          <w:sz w:val="18"/>
          <w:szCs w:val="18"/>
        </w:rPr>
      </w:pPr>
      <w:r w:rsidRPr="002A6FA3">
        <w:rPr>
          <w:rFonts w:ascii="Arial" w:eastAsia="Calibri" w:hAnsi="Arial" w:cs="Arial"/>
          <w:noProof/>
          <w:sz w:val="18"/>
          <w:szCs w:val="18"/>
        </w:rPr>
        <w:t>mobil: +420 731 537 716</w:t>
      </w:r>
    </w:p>
    <w:p w14:paraId="45D37221" w14:textId="77777777" w:rsidR="008F3C6D" w:rsidRPr="002A6FA3" w:rsidRDefault="008F3C6D" w:rsidP="008F3C6D">
      <w:pPr>
        <w:rPr>
          <w:rFonts w:ascii="Arial" w:eastAsia="Calibri" w:hAnsi="Arial" w:cs="Arial"/>
          <w:noProof/>
          <w:sz w:val="18"/>
          <w:szCs w:val="18"/>
        </w:rPr>
      </w:pPr>
      <w:r w:rsidRPr="002A6FA3">
        <w:rPr>
          <w:rFonts w:ascii="Arial" w:eastAsia="Calibri" w:hAnsi="Arial" w:cs="Arial"/>
          <w:noProof/>
          <w:sz w:val="18"/>
          <w:szCs w:val="18"/>
        </w:rPr>
        <w:t xml:space="preserve">e-mail: </w:t>
      </w:r>
      <w:hyperlink r:id="rId25" w:history="1">
        <w:r w:rsidRPr="002A6FA3">
          <w:rPr>
            <w:rStyle w:val="Hypertextovodkaz"/>
            <w:rFonts w:ascii="Arial" w:eastAsia="Calibri" w:hAnsi="Arial" w:cs="Arial"/>
            <w:noProof/>
            <w:sz w:val="18"/>
            <w:szCs w:val="18"/>
          </w:rPr>
          <w:t>tereza.kunova@bcas.cz</w:t>
        </w:r>
      </w:hyperlink>
      <w:r w:rsidRPr="002A6FA3">
        <w:rPr>
          <w:rFonts w:ascii="Arial" w:eastAsia="Calibri" w:hAnsi="Arial" w:cs="Arial"/>
          <w:noProof/>
          <w:sz w:val="18"/>
          <w:szCs w:val="18"/>
        </w:rPr>
        <w:t xml:space="preserve"> </w:t>
      </w:r>
    </w:p>
    <w:p w14:paraId="5BCE3D52" w14:textId="77777777" w:rsidR="008F3C6D" w:rsidRPr="009F59EE" w:rsidRDefault="008F3C6D" w:rsidP="008F3C6D">
      <w:pPr>
        <w:jc w:val="both"/>
        <w:rPr>
          <w:sz w:val="20"/>
        </w:rPr>
      </w:pPr>
    </w:p>
    <w:p w14:paraId="12134AC2" w14:textId="77777777" w:rsidR="008F3C6D" w:rsidRDefault="008F3C6D" w:rsidP="008F3C6D">
      <w:pPr>
        <w:jc w:val="both"/>
        <w:rPr>
          <w:rFonts w:ascii="Arial" w:hAnsi="Arial" w:cs="Arial"/>
          <w:b/>
          <w:bCs/>
          <w:color w:val="FF0000"/>
          <w:sz w:val="20"/>
          <w:szCs w:val="20"/>
        </w:rPr>
      </w:pPr>
    </w:p>
    <w:sectPr w:rsidR="008F3C6D" w:rsidSect="001675AF">
      <w:type w:val="continuous"/>
      <w:pgSz w:w="11910" w:h="16840"/>
      <w:pgMar w:top="960" w:right="740" w:bottom="2127" w:left="720" w:header="708" w:footer="1136"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DE9DBD" w14:textId="77777777" w:rsidR="006B7185" w:rsidRDefault="006B7185">
      <w:r>
        <w:separator/>
      </w:r>
    </w:p>
  </w:endnote>
  <w:endnote w:type="continuationSeparator" w:id="0">
    <w:p w14:paraId="17FF1BD1" w14:textId="77777777" w:rsidR="006B7185" w:rsidRDefault="006B7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9966"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61D50D1F" wp14:editId="456544FD">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45A8" w14:textId="16B40CAC" w:rsidR="00D80B6D" w:rsidRPr="00081616" w:rsidRDefault="006B7185" w:rsidP="00081616">
                          <w:pPr>
                            <w:pStyle w:val="Zkladntext"/>
                            <w:spacing w:before="16"/>
                            <w:ind w:left="20"/>
                            <w:jc w:val="right"/>
                            <w:rPr>
                              <w:rFonts w:ascii="Arial" w:hAnsi="Arial" w:cs="Arial"/>
                              <w:b/>
                              <w:color w:val="FFFFFF" w:themeColor="background1"/>
                              <w:sz w:val="20"/>
                            </w:rPr>
                          </w:pPr>
                          <w:hyperlink r:id="rId1" w:history="1">
                            <w:r w:rsidR="00081616" w:rsidRPr="00081616">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50D1F"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38FC45A8" w14:textId="16B40CAC" w:rsidR="00D80B6D" w:rsidRPr="00081616" w:rsidRDefault="00A26285" w:rsidP="00081616">
                    <w:pPr>
                      <w:pStyle w:val="Zkladntext"/>
                      <w:spacing w:before="16"/>
                      <w:ind w:left="20"/>
                      <w:jc w:val="right"/>
                      <w:rPr>
                        <w:rFonts w:ascii="Arial" w:hAnsi="Arial" w:cs="Arial"/>
                        <w:b/>
                        <w:color w:val="FFFFFF" w:themeColor="background1"/>
                        <w:sz w:val="20"/>
                      </w:rPr>
                    </w:pPr>
                    <w:hyperlink r:id="rId2" w:history="1">
                      <w:r w:rsidR="00081616" w:rsidRPr="00081616">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591478DF" wp14:editId="016DF07C">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1A37" w14:textId="77777777" w:rsidR="00D80B6D" w:rsidRPr="00E95698" w:rsidRDefault="006B7185"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478DF"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11E61A37" w14:textId="77777777" w:rsidR="00D80B6D" w:rsidRPr="00E95698" w:rsidRDefault="00A26285"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1AF86FB" wp14:editId="75DA4564">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44D1" w14:textId="77777777" w:rsidR="00D80B6D" w:rsidRPr="00943B58" w:rsidRDefault="006B7185"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F86FB"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663644D1" w14:textId="77777777" w:rsidR="00D80B6D" w:rsidRPr="00943B58" w:rsidRDefault="00A26285"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1A4FC99" wp14:editId="417B4962">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853E3"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C53E" w14:textId="0E45F0AC" w:rsidR="00D31127" w:rsidRPr="001675AF" w:rsidRDefault="00D31127" w:rsidP="001675AF">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478D28" w14:textId="77777777" w:rsidR="006B7185" w:rsidRDefault="006B7185">
      <w:r>
        <w:separator/>
      </w:r>
    </w:p>
  </w:footnote>
  <w:footnote w:type="continuationSeparator" w:id="0">
    <w:p w14:paraId="4DEA85E7" w14:textId="77777777" w:rsidR="006B7185" w:rsidRDefault="006B71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E95698" w:rsidRDefault="00D80B6D" w:rsidP="00E95698">
    <w:pPr>
      <w:tabs>
        <w:tab w:val="left" w:pos="8633"/>
      </w:tabs>
      <w:spacing w:before="80"/>
      <w:ind w:firstLine="2880"/>
      <w:rPr>
        <w:rFonts w:ascii="Arial" w:hAnsi="Arial" w:cs="Arial"/>
        <w:sz w:val="52"/>
      </w:rPr>
    </w:pPr>
    <w:r w:rsidRPr="00E95698">
      <w:rPr>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E95698">
      <w:rPr>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E95698">
      <w:rPr>
        <w:rFonts w:ascii="Arial" w:hAnsi="Arial" w:cs="Arial"/>
        <w:color w:val="1D1D1B"/>
        <w:sz w:val="48"/>
      </w:rPr>
      <w:t xml:space="preserve">BROKER CONSULTING </w:t>
    </w:r>
    <w:r w:rsidRPr="00E95698">
      <w:rPr>
        <w:rFonts w:ascii="Arial" w:hAnsi="Arial" w:cs="Arial"/>
        <w:color w:val="CD1719"/>
        <w:sz w:val="52"/>
      </w:rPr>
      <w:t>INDEX</w:t>
    </w:r>
  </w:p>
  <w:p w14:paraId="2B920E62"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3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AE1FBD7" w14:textId="2ECB10A3" w:rsidR="00B65A3B" w:rsidRDefault="00B65A3B" w:rsidP="00B65A3B">
    <w:pPr>
      <w:spacing w:before="85"/>
      <w:ind w:left="1440" w:firstLine="720"/>
      <w:rPr>
        <w:rFonts w:ascii="Arial" w:hAnsi="Arial" w:cs="Arial"/>
        <w:color w:val="E52713"/>
        <w:sz w:val="28"/>
        <w:szCs w:val="28"/>
      </w:rPr>
    </w:pPr>
    <w:r w:rsidRPr="00B65A3B">
      <w:rPr>
        <w:rFonts w:ascii="Arial" w:hAnsi="Arial" w:cs="Arial"/>
        <w:color w:val="E52713"/>
        <w:sz w:val="28"/>
        <w:szCs w:val="28"/>
      </w:rPr>
      <w:t>INDEX SPOTŘEBITELSKÝCH ÚVĚRŮ</w:t>
    </w:r>
  </w:p>
  <w:p w14:paraId="3F4A0BE4" w14:textId="77777777" w:rsidR="00480982" w:rsidRPr="00B65A3B" w:rsidRDefault="00480982" w:rsidP="00B65A3B">
    <w:pPr>
      <w:spacing w:before="85"/>
      <w:ind w:left="1440" w:firstLine="720"/>
      <w:rPr>
        <w:rFonts w:ascii="Arial" w:hAnsi="Arial" w:cs="Arial"/>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3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07739BB1" w14:textId="77777777" w:rsidR="00D80B6D" w:rsidRPr="009F59EE" w:rsidRDefault="009F59EE" w:rsidP="009F59EE">
    <w:pPr>
      <w:spacing w:before="85"/>
      <w:ind w:left="1440" w:firstLine="720"/>
      <w:rPr>
        <w:rFonts w:ascii="Arial" w:hAnsi="Arial" w:cs="Arial"/>
        <w:sz w:val="28"/>
        <w:szCs w:val="28"/>
      </w:rPr>
    </w:pPr>
    <w:r w:rsidRPr="00B65A3B">
      <w:rPr>
        <w:rFonts w:ascii="Arial" w:hAnsi="Arial" w:cs="Arial"/>
        <w:color w:val="E52713"/>
        <w:sz w:val="28"/>
        <w:szCs w:val="28"/>
      </w:rPr>
      <w:t>INDEX SPOTŘEBITELSKÝCH ÚVĚRŮ</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7E7A6A13"/>
    <w:multiLevelType w:val="hybridMultilevel"/>
    <w:tmpl w:val="5456E0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1489"/>
    <w:rsid w:val="00017A80"/>
    <w:rsid w:val="00020EC7"/>
    <w:rsid w:val="00022715"/>
    <w:rsid w:val="00024AC6"/>
    <w:rsid w:val="00026F23"/>
    <w:rsid w:val="000277AC"/>
    <w:rsid w:val="00032D94"/>
    <w:rsid w:val="00036C73"/>
    <w:rsid w:val="000374D7"/>
    <w:rsid w:val="000400E4"/>
    <w:rsid w:val="00045B39"/>
    <w:rsid w:val="0005423A"/>
    <w:rsid w:val="00057018"/>
    <w:rsid w:val="000611E3"/>
    <w:rsid w:val="000766E7"/>
    <w:rsid w:val="00080552"/>
    <w:rsid w:val="00081616"/>
    <w:rsid w:val="000853D4"/>
    <w:rsid w:val="0009776B"/>
    <w:rsid w:val="000B0D84"/>
    <w:rsid w:val="000B2F39"/>
    <w:rsid w:val="000B5339"/>
    <w:rsid w:val="000C1853"/>
    <w:rsid w:val="000C4C77"/>
    <w:rsid w:val="000D14E2"/>
    <w:rsid w:val="000D5F5D"/>
    <w:rsid w:val="000D7A4D"/>
    <w:rsid w:val="000E0EEC"/>
    <w:rsid w:val="000E3D86"/>
    <w:rsid w:val="000F1EC4"/>
    <w:rsid w:val="000F6249"/>
    <w:rsid w:val="00103543"/>
    <w:rsid w:val="001069A1"/>
    <w:rsid w:val="00111C28"/>
    <w:rsid w:val="00112079"/>
    <w:rsid w:val="00112D65"/>
    <w:rsid w:val="00114F7B"/>
    <w:rsid w:val="00123939"/>
    <w:rsid w:val="0013044E"/>
    <w:rsid w:val="00131A69"/>
    <w:rsid w:val="00137003"/>
    <w:rsid w:val="0013717C"/>
    <w:rsid w:val="00143EFE"/>
    <w:rsid w:val="00156082"/>
    <w:rsid w:val="00161D10"/>
    <w:rsid w:val="00164597"/>
    <w:rsid w:val="001675AF"/>
    <w:rsid w:val="00170556"/>
    <w:rsid w:val="00170D87"/>
    <w:rsid w:val="001767A5"/>
    <w:rsid w:val="00180051"/>
    <w:rsid w:val="0018460D"/>
    <w:rsid w:val="00191B34"/>
    <w:rsid w:val="00192716"/>
    <w:rsid w:val="00192C2A"/>
    <w:rsid w:val="00193550"/>
    <w:rsid w:val="00194C95"/>
    <w:rsid w:val="001A54DD"/>
    <w:rsid w:val="001B296D"/>
    <w:rsid w:val="001B29C7"/>
    <w:rsid w:val="001B501B"/>
    <w:rsid w:val="001D015A"/>
    <w:rsid w:val="001D3DFC"/>
    <w:rsid w:val="001D4EA8"/>
    <w:rsid w:val="001E22F1"/>
    <w:rsid w:val="001E3FBF"/>
    <w:rsid w:val="001E4209"/>
    <w:rsid w:val="001F25C4"/>
    <w:rsid w:val="001F2BE0"/>
    <w:rsid w:val="001F3CF1"/>
    <w:rsid w:val="001F7194"/>
    <w:rsid w:val="001F71BA"/>
    <w:rsid w:val="00200B65"/>
    <w:rsid w:val="002141AF"/>
    <w:rsid w:val="00220944"/>
    <w:rsid w:val="0023042D"/>
    <w:rsid w:val="0023469F"/>
    <w:rsid w:val="002368F3"/>
    <w:rsid w:val="002404A1"/>
    <w:rsid w:val="002406A8"/>
    <w:rsid w:val="00241313"/>
    <w:rsid w:val="00242D4D"/>
    <w:rsid w:val="00243075"/>
    <w:rsid w:val="0024551C"/>
    <w:rsid w:val="0025264B"/>
    <w:rsid w:val="0025428A"/>
    <w:rsid w:val="00255182"/>
    <w:rsid w:val="00263C8C"/>
    <w:rsid w:val="002645E4"/>
    <w:rsid w:val="00270DB3"/>
    <w:rsid w:val="0028590C"/>
    <w:rsid w:val="002A0285"/>
    <w:rsid w:val="002A3F19"/>
    <w:rsid w:val="002A6FA3"/>
    <w:rsid w:val="002A7325"/>
    <w:rsid w:val="002C0240"/>
    <w:rsid w:val="002C4A25"/>
    <w:rsid w:val="002D1619"/>
    <w:rsid w:val="002E633F"/>
    <w:rsid w:val="002F002B"/>
    <w:rsid w:val="002F05B2"/>
    <w:rsid w:val="002F485A"/>
    <w:rsid w:val="002F7EC2"/>
    <w:rsid w:val="003001F4"/>
    <w:rsid w:val="003028DB"/>
    <w:rsid w:val="003055CB"/>
    <w:rsid w:val="00306FE1"/>
    <w:rsid w:val="00307E95"/>
    <w:rsid w:val="00310BEB"/>
    <w:rsid w:val="0031287A"/>
    <w:rsid w:val="003128F8"/>
    <w:rsid w:val="0031712D"/>
    <w:rsid w:val="00320455"/>
    <w:rsid w:val="00321E19"/>
    <w:rsid w:val="003247B0"/>
    <w:rsid w:val="00330918"/>
    <w:rsid w:val="0034184F"/>
    <w:rsid w:val="00342F85"/>
    <w:rsid w:val="00347557"/>
    <w:rsid w:val="003502B4"/>
    <w:rsid w:val="00355366"/>
    <w:rsid w:val="00356752"/>
    <w:rsid w:val="00361D44"/>
    <w:rsid w:val="003629B6"/>
    <w:rsid w:val="00370C35"/>
    <w:rsid w:val="003721AD"/>
    <w:rsid w:val="0037300C"/>
    <w:rsid w:val="00383DC5"/>
    <w:rsid w:val="00385EED"/>
    <w:rsid w:val="00390B58"/>
    <w:rsid w:val="00392024"/>
    <w:rsid w:val="003A1549"/>
    <w:rsid w:val="003A2887"/>
    <w:rsid w:val="003A375A"/>
    <w:rsid w:val="003A43AB"/>
    <w:rsid w:val="003A6435"/>
    <w:rsid w:val="003B0E4E"/>
    <w:rsid w:val="003B0E4F"/>
    <w:rsid w:val="003C0CBE"/>
    <w:rsid w:val="003C5664"/>
    <w:rsid w:val="003C59A8"/>
    <w:rsid w:val="003C7F98"/>
    <w:rsid w:val="003D1987"/>
    <w:rsid w:val="003E6537"/>
    <w:rsid w:val="003F324C"/>
    <w:rsid w:val="003F7018"/>
    <w:rsid w:val="003F79EC"/>
    <w:rsid w:val="004041EF"/>
    <w:rsid w:val="004075C9"/>
    <w:rsid w:val="004116FD"/>
    <w:rsid w:val="0042193A"/>
    <w:rsid w:val="00435342"/>
    <w:rsid w:val="00445D0A"/>
    <w:rsid w:val="00454843"/>
    <w:rsid w:val="004556BB"/>
    <w:rsid w:val="00457FFE"/>
    <w:rsid w:val="00460FA7"/>
    <w:rsid w:val="00461BF2"/>
    <w:rsid w:val="004627B9"/>
    <w:rsid w:val="004678E9"/>
    <w:rsid w:val="00473E24"/>
    <w:rsid w:val="00480982"/>
    <w:rsid w:val="00486655"/>
    <w:rsid w:val="004B2DF6"/>
    <w:rsid w:val="004B2FF6"/>
    <w:rsid w:val="004B5797"/>
    <w:rsid w:val="004C222D"/>
    <w:rsid w:val="004C3F71"/>
    <w:rsid w:val="004D5CC6"/>
    <w:rsid w:val="004F6195"/>
    <w:rsid w:val="0050659B"/>
    <w:rsid w:val="005130A9"/>
    <w:rsid w:val="005153F7"/>
    <w:rsid w:val="00515952"/>
    <w:rsid w:val="005224C1"/>
    <w:rsid w:val="0053153F"/>
    <w:rsid w:val="00531C9F"/>
    <w:rsid w:val="005361AF"/>
    <w:rsid w:val="00536954"/>
    <w:rsid w:val="00540606"/>
    <w:rsid w:val="00541870"/>
    <w:rsid w:val="005436EC"/>
    <w:rsid w:val="00544A37"/>
    <w:rsid w:val="00545971"/>
    <w:rsid w:val="00554D18"/>
    <w:rsid w:val="0056501A"/>
    <w:rsid w:val="00573886"/>
    <w:rsid w:val="00577D19"/>
    <w:rsid w:val="005907CD"/>
    <w:rsid w:val="005A2139"/>
    <w:rsid w:val="005A37E5"/>
    <w:rsid w:val="005A4EB8"/>
    <w:rsid w:val="005A5BBA"/>
    <w:rsid w:val="005A5F08"/>
    <w:rsid w:val="005B31D7"/>
    <w:rsid w:val="005C150C"/>
    <w:rsid w:val="005D52F3"/>
    <w:rsid w:val="005F6BD8"/>
    <w:rsid w:val="006135FD"/>
    <w:rsid w:val="006166CE"/>
    <w:rsid w:val="006218E4"/>
    <w:rsid w:val="0062747C"/>
    <w:rsid w:val="0064160C"/>
    <w:rsid w:val="006509E8"/>
    <w:rsid w:val="006542CA"/>
    <w:rsid w:val="0066135D"/>
    <w:rsid w:val="00664259"/>
    <w:rsid w:val="00664867"/>
    <w:rsid w:val="00667012"/>
    <w:rsid w:val="006768F0"/>
    <w:rsid w:val="00677078"/>
    <w:rsid w:val="00682D62"/>
    <w:rsid w:val="006839FB"/>
    <w:rsid w:val="00683F9A"/>
    <w:rsid w:val="006859AC"/>
    <w:rsid w:val="006859FD"/>
    <w:rsid w:val="0068617E"/>
    <w:rsid w:val="006902C0"/>
    <w:rsid w:val="00690415"/>
    <w:rsid w:val="00691527"/>
    <w:rsid w:val="006939E7"/>
    <w:rsid w:val="006A2F6C"/>
    <w:rsid w:val="006A3BE2"/>
    <w:rsid w:val="006B7185"/>
    <w:rsid w:val="006C5ED3"/>
    <w:rsid w:val="006C61E8"/>
    <w:rsid w:val="006D65EC"/>
    <w:rsid w:val="006E26DC"/>
    <w:rsid w:val="006E6A2F"/>
    <w:rsid w:val="006F32FB"/>
    <w:rsid w:val="007052FC"/>
    <w:rsid w:val="00705D83"/>
    <w:rsid w:val="00710E0C"/>
    <w:rsid w:val="0072112F"/>
    <w:rsid w:val="00724267"/>
    <w:rsid w:val="00725BF5"/>
    <w:rsid w:val="007362E3"/>
    <w:rsid w:val="007408D1"/>
    <w:rsid w:val="00743627"/>
    <w:rsid w:val="00743E6A"/>
    <w:rsid w:val="00753B64"/>
    <w:rsid w:val="0076114C"/>
    <w:rsid w:val="0076280C"/>
    <w:rsid w:val="0076667F"/>
    <w:rsid w:val="00771B91"/>
    <w:rsid w:val="007725B8"/>
    <w:rsid w:val="00772FF0"/>
    <w:rsid w:val="007815BB"/>
    <w:rsid w:val="007824F4"/>
    <w:rsid w:val="00784109"/>
    <w:rsid w:val="00785FC5"/>
    <w:rsid w:val="0078631B"/>
    <w:rsid w:val="00791A2B"/>
    <w:rsid w:val="00792EE9"/>
    <w:rsid w:val="0079572A"/>
    <w:rsid w:val="007969EF"/>
    <w:rsid w:val="007A1121"/>
    <w:rsid w:val="007A1122"/>
    <w:rsid w:val="007A15A6"/>
    <w:rsid w:val="007A6A4D"/>
    <w:rsid w:val="007A7C7B"/>
    <w:rsid w:val="007B152D"/>
    <w:rsid w:val="007B358E"/>
    <w:rsid w:val="007D14AE"/>
    <w:rsid w:val="007E5614"/>
    <w:rsid w:val="007F2DE8"/>
    <w:rsid w:val="007F4493"/>
    <w:rsid w:val="0080323F"/>
    <w:rsid w:val="008063BB"/>
    <w:rsid w:val="0081387C"/>
    <w:rsid w:val="0083053E"/>
    <w:rsid w:val="00831B5E"/>
    <w:rsid w:val="00832F5B"/>
    <w:rsid w:val="00841AC4"/>
    <w:rsid w:val="00845A34"/>
    <w:rsid w:val="00852BBB"/>
    <w:rsid w:val="00856D3C"/>
    <w:rsid w:val="00860609"/>
    <w:rsid w:val="00874C1A"/>
    <w:rsid w:val="00883A3E"/>
    <w:rsid w:val="0088579E"/>
    <w:rsid w:val="00885B2F"/>
    <w:rsid w:val="00891E25"/>
    <w:rsid w:val="008926E5"/>
    <w:rsid w:val="008926F3"/>
    <w:rsid w:val="008A04D3"/>
    <w:rsid w:val="008B4F0F"/>
    <w:rsid w:val="008C1795"/>
    <w:rsid w:val="008C2254"/>
    <w:rsid w:val="008C3938"/>
    <w:rsid w:val="008C4B0D"/>
    <w:rsid w:val="008E1286"/>
    <w:rsid w:val="008E19F3"/>
    <w:rsid w:val="008F3C6D"/>
    <w:rsid w:val="008F6AAF"/>
    <w:rsid w:val="00901E1F"/>
    <w:rsid w:val="00906E67"/>
    <w:rsid w:val="00915ADA"/>
    <w:rsid w:val="0092097A"/>
    <w:rsid w:val="009222C9"/>
    <w:rsid w:val="00925499"/>
    <w:rsid w:val="00930569"/>
    <w:rsid w:val="00932625"/>
    <w:rsid w:val="009344C2"/>
    <w:rsid w:val="0094705C"/>
    <w:rsid w:val="00957739"/>
    <w:rsid w:val="00957B41"/>
    <w:rsid w:val="009631E0"/>
    <w:rsid w:val="009674F1"/>
    <w:rsid w:val="009A52BA"/>
    <w:rsid w:val="009A69B1"/>
    <w:rsid w:val="009A700C"/>
    <w:rsid w:val="009C0ECA"/>
    <w:rsid w:val="009C45BA"/>
    <w:rsid w:val="009D7493"/>
    <w:rsid w:val="009E317D"/>
    <w:rsid w:val="009E31C0"/>
    <w:rsid w:val="009E3B52"/>
    <w:rsid w:val="009F2CB2"/>
    <w:rsid w:val="009F342D"/>
    <w:rsid w:val="009F59EE"/>
    <w:rsid w:val="00A069E2"/>
    <w:rsid w:val="00A07639"/>
    <w:rsid w:val="00A10289"/>
    <w:rsid w:val="00A11C90"/>
    <w:rsid w:val="00A1395B"/>
    <w:rsid w:val="00A16E82"/>
    <w:rsid w:val="00A252BA"/>
    <w:rsid w:val="00A26285"/>
    <w:rsid w:val="00A27A7B"/>
    <w:rsid w:val="00A36D79"/>
    <w:rsid w:val="00A41EA4"/>
    <w:rsid w:val="00A44FE0"/>
    <w:rsid w:val="00A4618A"/>
    <w:rsid w:val="00A712B2"/>
    <w:rsid w:val="00A7796E"/>
    <w:rsid w:val="00A93A25"/>
    <w:rsid w:val="00AA0920"/>
    <w:rsid w:val="00AA469A"/>
    <w:rsid w:val="00AA6E6D"/>
    <w:rsid w:val="00AA79D9"/>
    <w:rsid w:val="00AB50FF"/>
    <w:rsid w:val="00AC4BEC"/>
    <w:rsid w:val="00AC614D"/>
    <w:rsid w:val="00AD1F39"/>
    <w:rsid w:val="00AD4BC3"/>
    <w:rsid w:val="00AE313F"/>
    <w:rsid w:val="00AF042F"/>
    <w:rsid w:val="00B00C49"/>
    <w:rsid w:val="00B03461"/>
    <w:rsid w:val="00B11974"/>
    <w:rsid w:val="00B12CF8"/>
    <w:rsid w:val="00B244B9"/>
    <w:rsid w:val="00B24559"/>
    <w:rsid w:val="00B27178"/>
    <w:rsid w:val="00B310C3"/>
    <w:rsid w:val="00B42229"/>
    <w:rsid w:val="00B43ABC"/>
    <w:rsid w:val="00B44FA9"/>
    <w:rsid w:val="00B51125"/>
    <w:rsid w:val="00B52CDF"/>
    <w:rsid w:val="00B60D60"/>
    <w:rsid w:val="00B65687"/>
    <w:rsid w:val="00B65A3B"/>
    <w:rsid w:val="00B67AF0"/>
    <w:rsid w:val="00B72C6B"/>
    <w:rsid w:val="00B83D7B"/>
    <w:rsid w:val="00B91131"/>
    <w:rsid w:val="00B94E88"/>
    <w:rsid w:val="00B95BB2"/>
    <w:rsid w:val="00B95EBA"/>
    <w:rsid w:val="00BA04AB"/>
    <w:rsid w:val="00BA23D8"/>
    <w:rsid w:val="00BA35C9"/>
    <w:rsid w:val="00BA3EE0"/>
    <w:rsid w:val="00BB4D49"/>
    <w:rsid w:val="00BB6439"/>
    <w:rsid w:val="00BB675F"/>
    <w:rsid w:val="00BC3E08"/>
    <w:rsid w:val="00BD17B0"/>
    <w:rsid w:val="00BD5A47"/>
    <w:rsid w:val="00BD5FB6"/>
    <w:rsid w:val="00BE2BCC"/>
    <w:rsid w:val="00BE3896"/>
    <w:rsid w:val="00C03192"/>
    <w:rsid w:val="00C23E32"/>
    <w:rsid w:val="00C251C4"/>
    <w:rsid w:val="00C314C1"/>
    <w:rsid w:val="00C31917"/>
    <w:rsid w:val="00C40571"/>
    <w:rsid w:val="00C427DA"/>
    <w:rsid w:val="00C42FAF"/>
    <w:rsid w:val="00C863A3"/>
    <w:rsid w:val="00C864DC"/>
    <w:rsid w:val="00C94EEA"/>
    <w:rsid w:val="00CA1722"/>
    <w:rsid w:val="00CA7673"/>
    <w:rsid w:val="00CB1227"/>
    <w:rsid w:val="00CB1255"/>
    <w:rsid w:val="00CB18B1"/>
    <w:rsid w:val="00CB38CA"/>
    <w:rsid w:val="00CB66A2"/>
    <w:rsid w:val="00CB6F2B"/>
    <w:rsid w:val="00CC1067"/>
    <w:rsid w:val="00CC2EC2"/>
    <w:rsid w:val="00CD3324"/>
    <w:rsid w:val="00CD6162"/>
    <w:rsid w:val="00CE6C6E"/>
    <w:rsid w:val="00D01832"/>
    <w:rsid w:val="00D04527"/>
    <w:rsid w:val="00D21C96"/>
    <w:rsid w:val="00D30854"/>
    <w:rsid w:val="00D31127"/>
    <w:rsid w:val="00D33134"/>
    <w:rsid w:val="00D366B5"/>
    <w:rsid w:val="00D4052C"/>
    <w:rsid w:val="00D4539F"/>
    <w:rsid w:val="00D472C6"/>
    <w:rsid w:val="00D6041B"/>
    <w:rsid w:val="00D60D98"/>
    <w:rsid w:val="00D61018"/>
    <w:rsid w:val="00D72F33"/>
    <w:rsid w:val="00D80B6D"/>
    <w:rsid w:val="00D80CAD"/>
    <w:rsid w:val="00D8513A"/>
    <w:rsid w:val="00D85BBB"/>
    <w:rsid w:val="00D90628"/>
    <w:rsid w:val="00D92D49"/>
    <w:rsid w:val="00D930E7"/>
    <w:rsid w:val="00D93D7A"/>
    <w:rsid w:val="00D9690A"/>
    <w:rsid w:val="00DA08E6"/>
    <w:rsid w:val="00DA50BA"/>
    <w:rsid w:val="00DA55A8"/>
    <w:rsid w:val="00DA7B87"/>
    <w:rsid w:val="00DB0266"/>
    <w:rsid w:val="00DB63D9"/>
    <w:rsid w:val="00DB7E77"/>
    <w:rsid w:val="00DC30D0"/>
    <w:rsid w:val="00DD7FC1"/>
    <w:rsid w:val="00DF0000"/>
    <w:rsid w:val="00DF020C"/>
    <w:rsid w:val="00DF7D1B"/>
    <w:rsid w:val="00E00DC6"/>
    <w:rsid w:val="00E01A0A"/>
    <w:rsid w:val="00E058A3"/>
    <w:rsid w:val="00E11439"/>
    <w:rsid w:val="00E151F3"/>
    <w:rsid w:val="00E161C6"/>
    <w:rsid w:val="00E17539"/>
    <w:rsid w:val="00E2483C"/>
    <w:rsid w:val="00E26CF0"/>
    <w:rsid w:val="00E31346"/>
    <w:rsid w:val="00E376F8"/>
    <w:rsid w:val="00E40550"/>
    <w:rsid w:val="00E43F59"/>
    <w:rsid w:val="00E57F9B"/>
    <w:rsid w:val="00E6726D"/>
    <w:rsid w:val="00E81433"/>
    <w:rsid w:val="00E81C95"/>
    <w:rsid w:val="00E852A3"/>
    <w:rsid w:val="00E93958"/>
    <w:rsid w:val="00EA01CC"/>
    <w:rsid w:val="00EA0C1C"/>
    <w:rsid w:val="00EA3819"/>
    <w:rsid w:val="00EA477A"/>
    <w:rsid w:val="00EB4785"/>
    <w:rsid w:val="00EB716B"/>
    <w:rsid w:val="00EC3BED"/>
    <w:rsid w:val="00EC7F0E"/>
    <w:rsid w:val="00ED2D1F"/>
    <w:rsid w:val="00ED47B9"/>
    <w:rsid w:val="00ED58E9"/>
    <w:rsid w:val="00ED79D6"/>
    <w:rsid w:val="00EE1831"/>
    <w:rsid w:val="00EE63BE"/>
    <w:rsid w:val="00EE6922"/>
    <w:rsid w:val="00EF0284"/>
    <w:rsid w:val="00EF18D9"/>
    <w:rsid w:val="00EF1AE7"/>
    <w:rsid w:val="00EF2F7C"/>
    <w:rsid w:val="00F01BFC"/>
    <w:rsid w:val="00F101B3"/>
    <w:rsid w:val="00F13FDA"/>
    <w:rsid w:val="00F14982"/>
    <w:rsid w:val="00F20D55"/>
    <w:rsid w:val="00F250B8"/>
    <w:rsid w:val="00F2598D"/>
    <w:rsid w:val="00F31B7E"/>
    <w:rsid w:val="00F336A2"/>
    <w:rsid w:val="00F34E7C"/>
    <w:rsid w:val="00F4229F"/>
    <w:rsid w:val="00F44AEB"/>
    <w:rsid w:val="00F45620"/>
    <w:rsid w:val="00F51B95"/>
    <w:rsid w:val="00F5432C"/>
    <w:rsid w:val="00F5470D"/>
    <w:rsid w:val="00F5611C"/>
    <w:rsid w:val="00F66B41"/>
    <w:rsid w:val="00F712AB"/>
    <w:rsid w:val="00F77D7D"/>
    <w:rsid w:val="00F82DDB"/>
    <w:rsid w:val="00F83CDB"/>
    <w:rsid w:val="00F8771B"/>
    <w:rsid w:val="00F9173C"/>
    <w:rsid w:val="00FA1C73"/>
    <w:rsid w:val="00FB18D0"/>
    <w:rsid w:val="00FB2ED6"/>
    <w:rsid w:val="00FB53F1"/>
    <w:rsid w:val="00FC23FE"/>
    <w:rsid w:val="00FC2522"/>
    <w:rsid w:val="00FC5B56"/>
    <w:rsid w:val="00FC7D97"/>
    <w:rsid w:val="00FD4B12"/>
    <w:rsid w:val="00FD7195"/>
    <w:rsid w:val="00FE10BB"/>
    <w:rsid w:val="00FE3038"/>
    <w:rsid w:val="00FE431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34"/>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semiHidden/>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585307">
      <w:bodyDiv w:val="1"/>
      <w:marLeft w:val="0"/>
      <w:marRight w:val="0"/>
      <w:marTop w:val="0"/>
      <w:marBottom w:val="0"/>
      <w:divBdr>
        <w:top w:val="none" w:sz="0" w:space="0" w:color="auto"/>
        <w:left w:val="none" w:sz="0" w:space="0" w:color="auto"/>
        <w:bottom w:val="none" w:sz="0" w:space="0" w:color="auto"/>
        <w:right w:val="none" w:sz="0" w:space="0" w:color="auto"/>
      </w:divBdr>
    </w:div>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398286368">
      <w:bodyDiv w:val="1"/>
      <w:marLeft w:val="0"/>
      <w:marRight w:val="0"/>
      <w:marTop w:val="0"/>
      <w:marBottom w:val="0"/>
      <w:divBdr>
        <w:top w:val="none" w:sz="0" w:space="0" w:color="auto"/>
        <w:left w:val="none" w:sz="0" w:space="0" w:color="auto"/>
        <w:bottom w:val="none" w:sz="0" w:space="0" w:color="auto"/>
        <w:right w:val="none" w:sz="0" w:space="0" w:color="auto"/>
      </w:divBdr>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1548906999">
      <w:bodyDiv w:val="1"/>
      <w:marLeft w:val="0"/>
      <w:marRight w:val="0"/>
      <w:marTop w:val="0"/>
      <w:marBottom w:val="0"/>
      <w:divBdr>
        <w:top w:val="none" w:sz="0" w:space="0" w:color="auto"/>
        <w:left w:val="none" w:sz="0" w:space="0" w:color="auto"/>
        <w:bottom w:val="none" w:sz="0" w:space="0" w:color="auto"/>
        <w:right w:val="none" w:sz="0" w:space="0" w:color="auto"/>
      </w:divBdr>
    </w:div>
    <w:div w:id="1627811939">
      <w:bodyDiv w:val="1"/>
      <w:marLeft w:val="0"/>
      <w:marRight w:val="0"/>
      <w:marTop w:val="0"/>
      <w:marBottom w:val="0"/>
      <w:divBdr>
        <w:top w:val="none" w:sz="0" w:space="0" w:color="auto"/>
        <w:left w:val="none" w:sz="0" w:space="0" w:color="auto"/>
        <w:bottom w:val="none" w:sz="0" w:space="0" w:color="auto"/>
        <w:right w:val="none" w:sz="0" w:space="0" w:color="auto"/>
      </w:divBdr>
    </w:div>
    <w:div w:id="1638217657">
      <w:bodyDiv w:val="1"/>
      <w:marLeft w:val="0"/>
      <w:marRight w:val="0"/>
      <w:marTop w:val="0"/>
      <w:marBottom w:val="0"/>
      <w:divBdr>
        <w:top w:val="none" w:sz="0" w:space="0" w:color="auto"/>
        <w:left w:val="none" w:sz="0" w:space="0" w:color="auto"/>
        <w:bottom w:val="none" w:sz="0" w:space="0" w:color="auto"/>
        <w:right w:val="none" w:sz="0" w:space="0" w:color="auto"/>
      </w:divBdr>
    </w:div>
    <w:div w:id="1931617940">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kedin.com/company/786541/" TargetMode="Externa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facebook.com/Broker.Consulting/" TargetMode="External"/><Relationship Id="rId17" Type="http://schemas.openxmlformats.org/officeDocument/2006/relationships/footer" Target="footer1.xml"/><Relationship Id="rId25" Type="http://schemas.openxmlformats.org/officeDocument/2006/relationships/hyperlink" Target="mailto:tereza.kunova@bcas.cz"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alityspolu.cz"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linkedin.com/company/10668151/" TargetMode="External"/><Relationship Id="rId23" Type="http://schemas.openxmlformats.org/officeDocument/2006/relationships/footer" Target="footer4.xml"/><Relationship Id="rId10" Type="http://schemas.openxmlformats.org/officeDocument/2006/relationships/hyperlink" Target="http://www.okpointy.cz"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bcas.cz" TargetMode="External"/><Relationship Id="rId14" Type="http://schemas.openxmlformats.org/officeDocument/2006/relationships/hyperlink" Target="https://www.facebook.com/okpointy/" TargetMode="External"/><Relationship Id="rId22" Type="http://schemas.openxmlformats.org/officeDocument/2006/relationships/header" Target="header4.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996D05-EE4F-4E4E-8423-46B482464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2188</TotalTime>
  <Pages>3</Pages>
  <Words>1007</Words>
  <Characters>5947</Characters>
  <Application>Microsoft Office Word</Application>
  <DocSecurity>0</DocSecurity>
  <Lines>49</Lines>
  <Paragraphs>13</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6941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Tereza Kunová</cp:lastModifiedBy>
  <cp:revision>106</cp:revision>
  <dcterms:created xsi:type="dcterms:W3CDTF">2021-05-26T15:36:00Z</dcterms:created>
  <dcterms:modified xsi:type="dcterms:W3CDTF">2022-04-29T08:45:00Z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