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highlight w:val="yellow"/>
        </w:rPr>
        <w:id w:val="120037484"/>
        <w:docPartObj>
          <w:docPartGallery w:val="Cover Pages"/>
          <w:docPartUnique/>
        </w:docPartObj>
      </w:sdtPr>
      <w:sdtEndPr>
        <w:rPr>
          <w:rFonts w:ascii="Arial" w:hAnsi="Arial" w:cs="Arial"/>
          <w:b/>
          <w:sz w:val="20"/>
          <w:szCs w:val="20"/>
        </w:rPr>
      </w:sdtEndPr>
      <w:sdtContent>
        <w:p w14:paraId="718E6546" w14:textId="1251B28C" w:rsidR="00D80B6D" w:rsidRPr="007C7B64" w:rsidRDefault="00D80B6D">
          <w:pPr>
            <w:rPr>
              <w:highlight w:val="yellow"/>
            </w:rPr>
          </w:pPr>
        </w:p>
        <w:p w14:paraId="7ED014A1" w14:textId="77777777" w:rsidR="00D80B6D" w:rsidRPr="007C7B64" w:rsidRDefault="00D80B6D" w:rsidP="00D80B6D">
          <w:pPr>
            <w:pStyle w:val="Nadpis3"/>
            <w:spacing w:before="10"/>
            <w:rPr>
              <w:rFonts w:ascii="Arial" w:hAnsi="Arial" w:cs="Arial"/>
              <w:highlight w:val="yellow"/>
            </w:rPr>
          </w:pPr>
        </w:p>
        <w:p w14:paraId="0FB45B67" w14:textId="77777777" w:rsidR="00D80B6D" w:rsidRPr="007C7B64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7C7B64">
            <w:rPr>
              <w:rFonts w:ascii="Arial" w:hAnsi="Arial" w:cs="Arial"/>
              <w:sz w:val="24"/>
            </w:rPr>
            <w:t xml:space="preserve">INDEX HYPOTEČNÍCH ÚVĚRŮ | FIXINDEX </w:t>
          </w:r>
        </w:p>
        <w:p w14:paraId="03C4DE47" w14:textId="1DAD08F6" w:rsidR="0009776B" w:rsidRPr="007C7B64" w:rsidRDefault="00D80B6D" w:rsidP="00A02308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7C7B64">
            <w:rPr>
              <w:rFonts w:ascii="Arial" w:hAnsi="Arial" w:cs="Arial"/>
              <w:b/>
              <w:sz w:val="24"/>
            </w:rPr>
            <w:t>INDEX PODÍLOVÝCH FONDŮ</w:t>
          </w:r>
          <w:r w:rsidRPr="007C7B64">
            <w:rPr>
              <w:rFonts w:ascii="Arial" w:hAnsi="Arial" w:cs="Arial"/>
              <w:sz w:val="24"/>
            </w:rPr>
            <w:t xml:space="preserve"> </w:t>
          </w:r>
        </w:p>
        <w:p w14:paraId="32900BCE" w14:textId="5BB9437C" w:rsidR="00D80B6D" w:rsidRPr="007C7B64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7C7B64">
            <w:rPr>
              <w:rFonts w:ascii="Arial" w:hAnsi="Arial" w:cs="Arial"/>
              <w:sz w:val="24"/>
            </w:rPr>
            <w:t>P</w:t>
          </w:r>
          <w:r w:rsidR="00A02308" w:rsidRPr="007C7B64">
            <w:rPr>
              <w:rFonts w:ascii="Arial" w:hAnsi="Arial" w:cs="Arial"/>
              <w:sz w:val="24"/>
            </w:rPr>
            <w:t>OV</w:t>
          </w:r>
          <w:r w:rsidRPr="007C7B64">
            <w:rPr>
              <w:rFonts w:ascii="Arial" w:hAnsi="Arial" w:cs="Arial"/>
              <w:sz w:val="24"/>
            </w:rPr>
            <w:t xml:space="preserve">INDEX </w:t>
          </w:r>
        </w:p>
        <w:p w14:paraId="5B21B8A6" w14:textId="77777777" w:rsidR="00D80B6D" w:rsidRPr="007C7B64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7C7B64">
            <w:rPr>
              <w:rFonts w:ascii="Arial" w:hAnsi="Arial" w:cs="Arial"/>
              <w:sz w:val="24"/>
            </w:rPr>
            <w:t xml:space="preserve">INDEX SPOTŘEBITELSKÝCH ÚVĚRŮ  </w:t>
          </w:r>
        </w:p>
        <w:p w14:paraId="720CCDBB" w14:textId="77777777" w:rsidR="00D80B6D" w:rsidRPr="007C7B64" w:rsidRDefault="00D80B6D" w:rsidP="00D80B6D">
          <w:pPr>
            <w:pStyle w:val="Zkladntext"/>
            <w:spacing w:before="240"/>
            <w:rPr>
              <w:sz w:val="20"/>
              <w:highlight w:val="yellow"/>
            </w:rPr>
          </w:pPr>
        </w:p>
        <w:p w14:paraId="703D71F2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0494A3A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  <w:r w:rsidRPr="007C7B64">
            <w:rPr>
              <w:noProof/>
              <w:sz w:val="20"/>
              <w:highlight w:val="yellow"/>
              <w:lang w:bidi="ar-SA"/>
            </w:rPr>
            <w:drawing>
              <wp:anchor distT="0" distB="0" distL="114300" distR="114300" simplePos="0" relativeHeight="251661312" behindDoc="1" locked="0" layoutInCell="1" allowOverlap="1" wp14:anchorId="5D272556" wp14:editId="4D2C2067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082768" cy="2880000"/>
                <wp:effectExtent l="0" t="0" r="3810" b="0"/>
                <wp:wrapTight wrapText="bothSides">
                  <wp:wrapPolygon edited="0">
                    <wp:start x="0" y="0"/>
                    <wp:lineTo x="0" y="21433"/>
                    <wp:lineTo x="21493" y="21433"/>
                    <wp:lineTo x="21493" y="0"/>
                    <wp:lineTo x="0" y="0"/>
                  </wp:wrapPolygon>
                </wp:wrapTight>
                <wp:docPr id="123" name="Obráze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00" t="40856" r="4590"/>
                        <a:stretch/>
                      </pic:blipFill>
                      <pic:spPr bwMode="auto">
                        <a:xfrm>
                          <a:off x="0" y="0"/>
                          <a:ext cx="3082768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6B1498C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A5F355C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18EE6CB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238B3AB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4516A42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266363A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363B2E28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17667B44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</w:pPr>
        </w:p>
        <w:p w14:paraId="5193A529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2833FE59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DB157BF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7803C2A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D90E1D0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33B823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0D2BECD0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9288FB9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41E93D5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41A343C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C52C42D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E3CDF25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0495E64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9B6F4E6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DDFBD6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CB27DF8" w14:textId="77777777" w:rsidR="007B358E" w:rsidRPr="007C7B64" w:rsidRDefault="007B358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A61C564" w14:textId="77777777" w:rsidR="0068617E" w:rsidRPr="007C7B64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414E639" w14:textId="77777777" w:rsidR="0068617E" w:rsidRPr="007C7B64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1132A3F" w14:textId="53DE594E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  <w:r w:rsidRPr="007C7B64">
            <w:rPr>
              <w:rFonts w:ascii="Arial" w:hAnsi="Arial" w:cs="Arial"/>
              <w:b/>
              <w:sz w:val="20"/>
            </w:rPr>
            <w:t>O společnosti Broker Consulting</w:t>
          </w:r>
        </w:p>
        <w:p w14:paraId="27485CC6" w14:textId="77777777" w:rsidR="00D80B6D" w:rsidRPr="007C7B64" w:rsidRDefault="00D80B6D" w:rsidP="00D80B6D">
          <w:pPr>
            <w:jc w:val="both"/>
            <w:rPr>
              <w:rFonts w:ascii="Arial" w:hAnsi="Arial" w:cs="Arial"/>
              <w:sz w:val="20"/>
            </w:rPr>
          </w:pPr>
        </w:p>
        <w:p w14:paraId="08070DCC" w14:textId="591BE742" w:rsidR="00792EE9" w:rsidRPr="007C7B64" w:rsidRDefault="00792EE9" w:rsidP="00792EE9">
          <w:pPr>
            <w:jc w:val="both"/>
            <w:rPr>
              <w:rStyle w:val="dn"/>
              <w:rFonts w:ascii="Arial" w:hAnsi="Arial" w:cs="Arial"/>
              <w:sz w:val="18"/>
              <w:szCs w:val="18"/>
            </w:rPr>
          </w:pPr>
          <w:r w:rsidRPr="007C7B64">
            <w:rPr>
              <w:rFonts w:ascii="Arial" w:hAnsi="Arial" w:cs="Arial"/>
              <w:sz w:val="18"/>
            </w:rPr>
            <w:t xml:space="preserve">Broker Consulting je jednou z největších společností na českém a slovenském trhu, která poskytuje služby v oblasti financí a realit. Od roku 1998 získala důvěru více než 600 000 klientů. Poskytuje také služby přes 4 000 firmám. Distribuci služeb zajišťuje přibližně 2 000 konzultantů (profesionální konzultanti, zaměstnanci, konzultanti v zapracování v ČR i SR) ve více než 100 kancelářích a </w:t>
          </w:r>
          <w:r w:rsidR="002141AF" w:rsidRPr="007C7B64">
            <w:rPr>
              <w:rFonts w:ascii="Arial" w:hAnsi="Arial" w:cs="Arial"/>
              <w:sz w:val="18"/>
            </w:rPr>
            <w:t>4</w:t>
          </w:r>
          <w:r w:rsidR="00A02308" w:rsidRPr="007C7B64">
            <w:rPr>
              <w:rFonts w:ascii="Arial" w:hAnsi="Arial" w:cs="Arial"/>
              <w:sz w:val="18"/>
            </w:rPr>
            <w:t>2</w:t>
          </w:r>
          <w:r w:rsidRPr="007C7B64">
            <w:rPr>
              <w:rFonts w:ascii="Arial" w:hAnsi="Arial" w:cs="Arial"/>
              <w:sz w:val="18"/>
            </w:rPr>
            <w:t xml:space="preserve"> franšízových pobočkách OK POINT. Společnost uvedla na český a slovenský trh řadu inovací. Jednalo se například o investice do otevřených podílových fondů se zamykáním zisků nebo unikátní produkty životního dopojištění, které umožňují pojistit smrt a invaliditu za zlomek obvyklých cen. Bankovní, finanční a realitní služby společně, to je OK POINT, který přináší společnost Broker Consulting ve spolupráci s </w:t>
          </w:r>
          <w:proofErr w:type="spellStart"/>
          <w:r w:rsidRPr="007C7B64">
            <w:rPr>
              <w:rFonts w:ascii="Arial" w:hAnsi="Arial" w:cs="Arial"/>
              <w:sz w:val="18"/>
            </w:rPr>
            <w:t>mBank</w:t>
          </w:r>
          <w:proofErr w:type="spellEnd"/>
          <w:r w:rsidRPr="007C7B64">
            <w:rPr>
              <w:rFonts w:ascii="Arial" w:hAnsi="Arial" w:cs="Arial"/>
              <w:sz w:val="18"/>
            </w:rPr>
            <w:t xml:space="preserve"> a MONETA Money Bank. </w:t>
          </w:r>
          <w:proofErr w:type="spellStart"/>
          <w:r w:rsidRPr="007C7B64">
            <w:rPr>
              <w:rStyle w:val="dn"/>
              <w:rFonts w:ascii="Arial" w:hAnsi="Arial" w:cs="Arial"/>
              <w:sz w:val="18"/>
              <w:szCs w:val="18"/>
            </w:rPr>
            <w:t>Více</w:t>
          </w:r>
          <w:proofErr w:type="spellEnd"/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na </w:t>
          </w:r>
          <w:hyperlink r:id="rId9" w:history="1">
            <w:r w:rsidR="007B232E"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bcas.cz</w:t>
            </w:r>
          </w:hyperlink>
          <w:r w:rsidRPr="007C7B64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, </w:t>
          </w:r>
          <w:hyperlink r:id="rId10" w:history="1">
            <w:r w:rsidR="007B232E"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okpointy.cz</w:t>
            </w:r>
          </w:hyperlink>
          <w:r w:rsidR="007B232E" w:rsidRPr="007C7B64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, </w:t>
          </w:r>
          <w:hyperlink r:id="rId11" w:history="1">
            <w:r w:rsidR="007B232E"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okpoint.tv</w:t>
            </w:r>
          </w:hyperlink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a na </w:t>
          </w:r>
          <w:hyperlink r:id="rId12" w:history="1">
            <w:r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realityspolu.cz</w:t>
            </w:r>
          </w:hyperlink>
          <w:r w:rsidR="007B232E" w:rsidRPr="007C7B64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. </w:t>
          </w:r>
          <w:proofErr w:type="spellStart"/>
          <w:r w:rsidRPr="007C7B64">
            <w:rPr>
              <w:rStyle w:val="dn"/>
              <w:rFonts w:ascii="Arial" w:hAnsi="Arial" w:cs="Arial"/>
              <w:sz w:val="18"/>
              <w:szCs w:val="18"/>
            </w:rPr>
            <w:t>Navštivte</w:t>
          </w:r>
          <w:proofErr w:type="spellEnd"/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Pr="007C7B64">
            <w:rPr>
              <w:rStyle w:val="dn"/>
              <w:rFonts w:ascii="Arial" w:hAnsi="Arial" w:cs="Arial"/>
              <w:sz w:val="18"/>
              <w:szCs w:val="18"/>
            </w:rPr>
            <w:t>také</w:t>
          </w:r>
          <w:proofErr w:type="spellEnd"/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Pr="007C7B64">
            <w:rPr>
              <w:rStyle w:val="dn"/>
              <w:rFonts w:ascii="Arial" w:hAnsi="Arial" w:cs="Arial"/>
              <w:sz w:val="18"/>
              <w:szCs w:val="18"/>
            </w:rPr>
            <w:t>náš</w:t>
          </w:r>
          <w:proofErr w:type="spellEnd"/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hyperlink r:id="rId13" w:history="1">
            <w:r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Facebook</w:t>
            </w:r>
          </w:hyperlink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a </w:t>
          </w:r>
          <w:hyperlink r:id="rId14" w:history="1">
            <w:r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LinkedIN</w:t>
            </w:r>
          </w:hyperlink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Broker Consulting a </w:t>
          </w:r>
          <w:hyperlink r:id="rId15" w:history="1">
            <w:r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Facebook</w:t>
            </w:r>
          </w:hyperlink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a </w:t>
          </w:r>
          <w:hyperlink r:id="rId16" w:history="1">
            <w:r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LinkedI</w:t>
            </w:r>
          </w:hyperlink>
          <w:r w:rsidRPr="007C7B64">
            <w:rPr>
              <w:rStyle w:val="Hypertextovodkaz"/>
              <w:rFonts w:ascii="Arial" w:hAnsi="Arial" w:cs="Arial"/>
              <w:color w:val="auto"/>
              <w:sz w:val="18"/>
              <w:szCs w:val="18"/>
            </w:rPr>
            <w:t>N</w:t>
          </w:r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OK POINTů. </w:t>
          </w:r>
        </w:p>
        <w:p w14:paraId="3F0EC976" w14:textId="3496D289" w:rsidR="00D80B6D" w:rsidRPr="007C7B64" w:rsidRDefault="00D80B6D" w:rsidP="0068617E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  <w:sectPr w:rsidR="00D80B6D" w:rsidRPr="007C7B64" w:rsidSect="00D80B6D">
              <w:headerReference w:type="default" r:id="rId17"/>
              <w:footerReference w:type="default" r:id="rId18"/>
              <w:pgSz w:w="11910" w:h="16840"/>
              <w:pgMar w:top="960" w:right="740" w:bottom="0" w:left="720" w:header="708" w:footer="708" w:gutter="0"/>
              <w:cols w:space="708"/>
            </w:sectPr>
          </w:pPr>
        </w:p>
        <w:p w14:paraId="192727B5" w14:textId="77777777" w:rsidR="00A13346" w:rsidRPr="007C7B64" w:rsidRDefault="00A13346" w:rsidP="0025264B">
          <w:pPr>
            <w:rPr>
              <w:rFonts w:ascii="Arial" w:hAnsi="Arial" w:cs="Arial"/>
              <w:b/>
              <w:sz w:val="20"/>
              <w:szCs w:val="20"/>
              <w:highlight w:val="yellow"/>
            </w:rPr>
          </w:pPr>
        </w:p>
        <w:p w14:paraId="35539C65" w14:textId="5E0FA483" w:rsidR="00D31127" w:rsidRPr="007C7B64" w:rsidRDefault="008F36F5" w:rsidP="0025264B">
          <w:pPr>
            <w:rPr>
              <w:rFonts w:ascii="Arial" w:hAnsi="Arial" w:cs="Arial"/>
              <w:b/>
              <w:sz w:val="20"/>
              <w:szCs w:val="20"/>
              <w:highlight w:val="yellow"/>
            </w:rPr>
            <w:sectPr w:rsidR="00D31127" w:rsidRPr="007C7B64" w:rsidSect="00D80B6D">
              <w:headerReference w:type="even" r:id="rId19"/>
              <w:headerReference w:type="default" r:id="rId20"/>
              <w:footerReference w:type="even" r:id="rId21"/>
              <w:footerReference w:type="default" r:id="rId22"/>
              <w:headerReference w:type="first" r:id="rId23"/>
              <w:footerReference w:type="first" r:id="rId24"/>
              <w:pgSz w:w="11910" w:h="16840"/>
              <w:pgMar w:top="1418" w:right="740" w:bottom="420" w:left="720" w:header="340" w:footer="223" w:gutter="0"/>
              <w:pgNumType w:start="0"/>
              <w:cols w:space="708"/>
              <w:titlePg/>
              <w:docGrid w:linePitch="299"/>
            </w:sectPr>
          </w:pPr>
        </w:p>
      </w:sdtContent>
    </w:sdt>
    <w:p w14:paraId="439D0EA1" w14:textId="77777777" w:rsidR="00CC580E" w:rsidRPr="007C7B64" w:rsidRDefault="00CC580E" w:rsidP="00EC73D3">
      <w:pPr>
        <w:jc w:val="center"/>
        <w:rPr>
          <w:rFonts w:ascii="Arial" w:hAnsi="Arial" w:cs="Arial"/>
          <w:b/>
          <w:sz w:val="16"/>
          <w:szCs w:val="16"/>
        </w:rPr>
      </w:pPr>
    </w:p>
    <w:p w14:paraId="5BA4F391" w14:textId="656467DE" w:rsidR="00EC73D3" w:rsidRPr="00A55879" w:rsidRDefault="00ED2D1F" w:rsidP="00685FBC">
      <w:pPr>
        <w:jc w:val="center"/>
        <w:rPr>
          <w:rFonts w:ascii="Arial" w:hAnsi="Arial" w:cs="Arial"/>
          <w:b/>
          <w:sz w:val="27"/>
          <w:szCs w:val="27"/>
        </w:rPr>
      </w:pPr>
      <w:r w:rsidRPr="00A55879">
        <w:rPr>
          <w:rFonts w:ascii="Arial" w:hAnsi="Arial" w:cs="Arial"/>
          <w:b/>
          <w:sz w:val="27"/>
          <w:szCs w:val="27"/>
        </w:rPr>
        <w:t xml:space="preserve">Broker Consulting Index </w:t>
      </w:r>
      <w:r w:rsidR="00982987" w:rsidRPr="00A55879">
        <w:rPr>
          <w:rFonts w:ascii="Arial" w:hAnsi="Arial" w:cs="Arial"/>
          <w:b/>
          <w:sz w:val="27"/>
          <w:szCs w:val="27"/>
        </w:rPr>
        <w:t>podílových fondů</w:t>
      </w:r>
      <w:r w:rsidR="00EC73D3" w:rsidRPr="00A55879">
        <w:rPr>
          <w:rFonts w:ascii="Arial" w:hAnsi="Arial" w:cs="Arial"/>
          <w:b/>
          <w:sz w:val="27"/>
          <w:szCs w:val="27"/>
        </w:rPr>
        <w:t>:</w:t>
      </w:r>
    </w:p>
    <w:p w14:paraId="1BDD7373" w14:textId="1ADA195C" w:rsidR="00BF6A33" w:rsidRPr="00A55879" w:rsidRDefault="00507504" w:rsidP="00685FBC">
      <w:pPr>
        <w:jc w:val="center"/>
        <w:rPr>
          <w:rFonts w:ascii="Arial" w:hAnsi="Arial" w:cs="Arial"/>
          <w:b/>
          <w:sz w:val="27"/>
          <w:szCs w:val="27"/>
        </w:rPr>
      </w:pPr>
      <w:r w:rsidRPr="00A55879">
        <w:rPr>
          <w:rFonts w:ascii="Arial" w:hAnsi="Arial" w:cs="Arial"/>
          <w:b/>
          <w:sz w:val="27"/>
          <w:szCs w:val="27"/>
        </w:rPr>
        <w:t xml:space="preserve">Komoditní fondy v březnu pokračovaly ve výrazném posilování a dosáhly 7,40 %. Na druhé straně spektra skončily dluhopisové fondy se ztrátou -3,58 % </w:t>
      </w:r>
    </w:p>
    <w:p w14:paraId="7467897D" w14:textId="29ED5B1F" w:rsidR="00C23E32" w:rsidRPr="00A84486" w:rsidRDefault="00C23E32" w:rsidP="00B27178">
      <w:pPr>
        <w:jc w:val="both"/>
        <w:rPr>
          <w:rFonts w:ascii="Arial" w:hAnsi="Arial" w:cs="Arial"/>
          <w:color w:val="FF0000"/>
          <w:sz w:val="20"/>
          <w:szCs w:val="20"/>
        </w:rPr>
      </w:pPr>
    </w:p>
    <w:p w14:paraId="6B400619" w14:textId="77777777" w:rsidR="00697EB5" w:rsidRDefault="00697EB5" w:rsidP="0088046D">
      <w:pPr>
        <w:jc w:val="both"/>
        <w:rPr>
          <w:rFonts w:ascii="Arial" w:hAnsi="Arial" w:cs="Arial"/>
          <w:i/>
          <w:sz w:val="20"/>
          <w:szCs w:val="20"/>
        </w:rPr>
      </w:pPr>
    </w:p>
    <w:p w14:paraId="3C89FCE9" w14:textId="095B580A" w:rsidR="000C5411" w:rsidRPr="009B043D" w:rsidRDefault="00197879" w:rsidP="000C5411">
      <w:pPr>
        <w:jc w:val="both"/>
        <w:rPr>
          <w:rFonts w:ascii="Arial" w:hAnsi="Arial" w:cs="Arial"/>
          <w:b/>
          <w:sz w:val="20"/>
          <w:szCs w:val="20"/>
        </w:rPr>
      </w:pPr>
      <w:r w:rsidRPr="00197879">
        <w:rPr>
          <w:rFonts w:ascii="Arial" w:hAnsi="Arial" w:cs="Arial"/>
          <w:i/>
          <w:sz w:val="20"/>
          <w:szCs w:val="20"/>
        </w:rPr>
        <w:t xml:space="preserve">Praha </w:t>
      </w:r>
      <w:r w:rsidR="001B088B">
        <w:rPr>
          <w:rFonts w:ascii="Arial" w:hAnsi="Arial" w:cs="Arial"/>
          <w:i/>
          <w:sz w:val="20"/>
          <w:szCs w:val="20"/>
        </w:rPr>
        <w:t>1</w:t>
      </w:r>
      <w:r w:rsidR="00883FFA">
        <w:rPr>
          <w:rFonts w:ascii="Arial" w:hAnsi="Arial" w:cs="Arial"/>
          <w:i/>
          <w:sz w:val="20"/>
          <w:szCs w:val="20"/>
        </w:rPr>
        <w:t>9</w:t>
      </w:r>
      <w:r w:rsidR="007C7B64">
        <w:rPr>
          <w:rFonts w:ascii="Arial" w:hAnsi="Arial" w:cs="Arial"/>
          <w:i/>
          <w:sz w:val="20"/>
          <w:szCs w:val="20"/>
        </w:rPr>
        <w:t xml:space="preserve">. </w:t>
      </w:r>
      <w:r w:rsidR="00883FFA">
        <w:rPr>
          <w:rFonts w:ascii="Arial" w:hAnsi="Arial" w:cs="Arial"/>
          <w:i/>
          <w:sz w:val="20"/>
          <w:szCs w:val="20"/>
        </w:rPr>
        <w:t>dubna</w:t>
      </w:r>
      <w:r w:rsidR="006203C4">
        <w:rPr>
          <w:rFonts w:ascii="Arial" w:hAnsi="Arial" w:cs="Arial"/>
          <w:i/>
          <w:sz w:val="20"/>
          <w:szCs w:val="20"/>
        </w:rPr>
        <w:t xml:space="preserve"> 2022</w:t>
      </w:r>
      <w:r w:rsidRPr="00197879">
        <w:rPr>
          <w:rFonts w:ascii="Arial" w:hAnsi="Arial" w:cs="Arial"/>
          <w:i/>
          <w:sz w:val="20"/>
          <w:szCs w:val="20"/>
        </w:rPr>
        <w:t xml:space="preserve"> </w:t>
      </w:r>
      <w:r w:rsidRPr="005D34CC">
        <w:rPr>
          <w:rFonts w:ascii="Arial" w:hAnsi="Arial" w:cs="Arial"/>
          <w:sz w:val="20"/>
          <w:szCs w:val="20"/>
        </w:rPr>
        <w:t>–</w:t>
      </w:r>
      <w:r w:rsidR="00AB5142">
        <w:rPr>
          <w:rFonts w:ascii="Arial" w:hAnsi="Arial" w:cs="Arial"/>
          <w:sz w:val="20"/>
          <w:szCs w:val="20"/>
        </w:rPr>
        <w:t xml:space="preserve"> </w:t>
      </w:r>
      <w:r w:rsidR="00DF6AE1" w:rsidRPr="009B043D">
        <w:rPr>
          <w:rFonts w:ascii="Arial" w:hAnsi="Arial" w:cs="Arial"/>
          <w:b/>
          <w:sz w:val="20"/>
          <w:szCs w:val="20"/>
        </w:rPr>
        <w:t xml:space="preserve">Dopady neutěšené situace na Ukrajině se </w:t>
      </w:r>
      <w:r w:rsidR="009B043D">
        <w:rPr>
          <w:rFonts w:ascii="Arial" w:hAnsi="Arial" w:cs="Arial"/>
          <w:b/>
          <w:sz w:val="20"/>
          <w:szCs w:val="20"/>
        </w:rPr>
        <w:t>po</w:t>
      </w:r>
      <w:r w:rsidR="00DF6AE1" w:rsidRPr="009B043D">
        <w:rPr>
          <w:rFonts w:ascii="Arial" w:hAnsi="Arial" w:cs="Arial"/>
          <w:b/>
          <w:sz w:val="20"/>
          <w:szCs w:val="20"/>
        </w:rPr>
        <w:t>dle očekávání stále výrazněji projevují na světových trzích. Jak ukázaly výsledky březnového Broker Consulting Indexu podílových fondů, nejviditelnější dopad</w:t>
      </w:r>
      <w:r w:rsidR="009B043D">
        <w:rPr>
          <w:rFonts w:ascii="Arial" w:hAnsi="Arial" w:cs="Arial"/>
          <w:b/>
          <w:sz w:val="20"/>
          <w:szCs w:val="20"/>
        </w:rPr>
        <w:t>y</w:t>
      </w:r>
      <w:r w:rsidR="00DF6AE1" w:rsidRPr="009B043D">
        <w:rPr>
          <w:rFonts w:ascii="Arial" w:hAnsi="Arial" w:cs="Arial"/>
          <w:b/>
          <w:sz w:val="20"/>
          <w:szCs w:val="20"/>
        </w:rPr>
        <w:t xml:space="preserve"> lze sledovat u komoditních fondů, </w:t>
      </w:r>
      <w:r w:rsidR="009B043D" w:rsidRPr="009B043D">
        <w:rPr>
          <w:rFonts w:ascii="Arial" w:hAnsi="Arial" w:cs="Arial"/>
          <w:b/>
          <w:sz w:val="20"/>
          <w:szCs w:val="20"/>
        </w:rPr>
        <w:t xml:space="preserve">které si vlivem nárůstu cen komodit meziměsíčně připsaly 7,40 %. Posílily také akciové fondy, které </w:t>
      </w:r>
      <w:r w:rsidR="009B043D">
        <w:rPr>
          <w:rFonts w:ascii="Arial" w:hAnsi="Arial" w:cs="Arial"/>
          <w:b/>
          <w:sz w:val="20"/>
          <w:szCs w:val="20"/>
        </w:rPr>
        <w:t xml:space="preserve">smazaly únorovou ztrátu a </w:t>
      </w:r>
      <w:r w:rsidR="009B043D" w:rsidRPr="009B043D">
        <w:rPr>
          <w:rFonts w:ascii="Arial" w:hAnsi="Arial" w:cs="Arial"/>
          <w:b/>
          <w:sz w:val="20"/>
          <w:szCs w:val="20"/>
        </w:rPr>
        <w:t xml:space="preserve">uzavřely březen s 1,85 %. </w:t>
      </w:r>
      <w:r w:rsidR="00A55879">
        <w:rPr>
          <w:rFonts w:ascii="Arial" w:hAnsi="Arial" w:cs="Arial"/>
          <w:b/>
          <w:sz w:val="20"/>
          <w:szCs w:val="20"/>
        </w:rPr>
        <w:t>Mírný</w:t>
      </w:r>
      <w:r w:rsidR="009B043D" w:rsidRPr="009B043D">
        <w:rPr>
          <w:rFonts w:ascii="Arial" w:hAnsi="Arial" w:cs="Arial"/>
          <w:b/>
          <w:sz w:val="20"/>
          <w:szCs w:val="20"/>
        </w:rPr>
        <w:t xml:space="preserve"> nárůst zaznamenaly též fondy nemovitostní</w:t>
      </w:r>
      <w:r w:rsidR="009B043D">
        <w:rPr>
          <w:rFonts w:ascii="Arial" w:hAnsi="Arial" w:cs="Arial"/>
          <w:b/>
          <w:sz w:val="20"/>
          <w:szCs w:val="20"/>
        </w:rPr>
        <w:t>, a to 0,72 %</w:t>
      </w:r>
      <w:r w:rsidR="009B043D" w:rsidRPr="009B043D">
        <w:rPr>
          <w:rFonts w:ascii="Arial" w:hAnsi="Arial" w:cs="Arial"/>
          <w:b/>
          <w:sz w:val="20"/>
          <w:szCs w:val="20"/>
        </w:rPr>
        <w:t xml:space="preserve">. Nedařilo se naopak dluhopisovým fondům, které dlouhodobě pokračují ve ztrátě, konkrétně za březen odepsaly -3,58. Nepříznivé výsledky zaznamenaly i fondy peněžního trhu, které meziměsíčně ztratily -1,70 %. </w:t>
      </w:r>
    </w:p>
    <w:p w14:paraId="6CC0CAC0" w14:textId="77777777" w:rsidR="00507504" w:rsidRDefault="00507504" w:rsidP="000C5411">
      <w:pPr>
        <w:jc w:val="both"/>
        <w:rPr>
          <w:rFonts w:ascii="Arial" w:hAnsi="Arial" w:cs="Arial"/>
          <w:sz w:val="20"/>
          <w:szCs w:val="20"/>
        </w:rPr>
      </w:pPr>
    </w:p>
    <w:p w14:paraId="732F7F9B" w14:textId="567D9851" w:rsidR="000C5411" w:rsidRDefault="00EB6810" w:rsidP="000C5411">
      <w:pPr>
        <w:jc w:val="both"/>
        <w:rPr>
          <w:rFonts w:ascii="Arial" w:hAnsi="Arial" w:cs="Arial"/>
          <w:sz w:val="20"/>
          <w:szCs w:val="20"/>
        </w:rPr>
      </w:pPr>
      <w:r w:rsidRPr="00EB6810">
        <w:rPr>
          <w:rFonts w:ascii="Arial" w:hAnsi="Arial" w:cs="Arial"/>
          <w:i/>
          <w:sz w:val="20"/>
          <w:szCs w:val="20"/>
        </w:rPr>
        <w:t>„</w:t>
      </w:r>
      <w:r w:rsidR="00507504" w:rsidRPr="00EB6810">
        <w:rPr>
          <w:rFonts w:ascii="Arial" w:hAnsi="Arial" w:cs="Arial"/>
          <w:i/>
          <w:sz w:val="20"/>
          <w:szCs w:val="20"/>
        </w:rPr>
        <w:t xml:space="preserve">Největší nárůst </w:t>
      </w:r>
      <w:r w:rsidR="009B043D">
        <w:rPr>
          <w:rFonts w:ascii="Arial" w:hAnsi="Arial" w:cs="Arial"/>
          <w:i/>
          <w:sz w:val="20"/>
          <w:szCs w:val="20"/>
        </w:rPr>
        <w:t xml:space="preserve">si </w:t>
      </w:r>
      <w:r w:rsidR="002C582E" w:rsidRPr="00EB6810">
        <w:rPr>
          <w:rFonts w:ascii="Arial" w:hAnsi="Arial" w:cs="Arial"/>
          <w:i/>
          <w:sz w:val="20"/>
          <w:szCs w:val="20"/>
        </w:rPr>
        <w:t xml:space="preserve">podle březnového indexu </w:t>
      </w:r>
      <w:r w:rsidR="002C582E">
        <w:rPr>
          <w:rFonts w:ascii="Arial" w:hAnsi="Arial" w:cs="Arial"/>
          <w:i/>
          <w:sz w:val="20"/>
          <w:szCs w:val="20"/>
        </w:rPr>
        <w:t xml:space="preserve">připsaly </w:t>
      </w:r>
      <w:r w:rsidR="00507504" w:rsidRPr="00EB6810">
        <w:rPr>
          <w:rFonts w:ascii="Arial" w:hAnsi="Arial" w:cs="Arial"/>
          <w:i/>
          <w:sz w:val="20"/>
          <w:szCs w:val="20"/>
        </w:rPr>
        <w:t xml:space="preserve">komoditní fondy, které meziměsíčně posílily na 7,40 %. </w:t>
      </w:r>
      <w:r w:rsidRPr="00EB6810">
        <w:rPr>
          <w:rFonts w:ascii="Arial" w:hAnsi="Arial" w:cs="Arial"/>
          <w:i/>
          <w:sz w:val="20"/>
          <w:szCs w:val="20"/>
        </w:rPr>
        <w:t xml:space="preserve">Důvod je nasnadě. </w:t>
      </w:r>
      <w:r w:rsidR="000C5411" w:rsidRPr="00EB6810">
        <w:rPr>
          <w:rFonts w:ascii="Arial" w:hAnsi="Arial" w:cs="Arial"/>
          <w:i/>
          <w:sz w:val="20"/>
          <w:szCs w:val="20"/>
        </w:rPr>
        <w:t>Ruská invaze na Ukrajině s</w:t>
      </w:r>
      <w:r>
        <w:rPr>
          <w:rFonts w:ascii="Arial" w:hAnsi="Arial" w:cs="Arial"/>
          <w:i/>
          <w:sz w:val="20"/>
          <w:szCs w:val="20"/>
        </w:rPr>
        <w:t xml:space="preserve">tále pokračuje a způsobuje obrovské </w:t>
      </w:r>
      <w:r w:rsidR="000C5411" w:rsidRPr="00EB6810">
        <w:rPr>
          <w:rFonts w:ascii="Arial" w:hAnsi="Arial" w:cs="Arial"/>
          <w:i/>
          <w:sz w:val="20"/>
          <w:szCs w:val="20"/>
        </w:rPr>
        <w:t xml:space="preserve">lidské </w:t>
      </w:r>
      <w:r>
        <w:rPr>
          <w:rFonts w:ascii="Arial" w:hAnsi="Arial" w:cs="Arial"/>
          <w:i/>
          <w:sz w:val="20"/>
          <w:szCs w:val="20"/>
        </w:rPr>
        <w:t>i</w:t>
      </w:r>
      <w:r w:rsidR="000C5411" w:rsidRPr="00EB6810">
        <w:rPr>
          <w:rFonts w:ascii="Arial" w:hAnsi="Arial" w:cs="Arial"/>
          <w:i/>
          <w:sz w:val="20"/>
          <w:szCs w:val="20"/>
        </w:rPr>
        <w:t xml:space="preserve"> ekonomické potíže. Měsíc a půl dlouhý konflikt </w:t>
      </w:r>
      <w:r w:rsidR="002C582E" w:rsidRPr="00EB6810">
        <w:rPr>
          <w:rFonts w:ascii="Arial" w:hAnsi="Arial" w:cs="Arial"/>
          <w:i/>
          <w:sz w:val="20"/>
          <w:szCs w:val="20"/>
        </w:rPr>
        <w:t xml:space="preserve">nadále </w:t>
      </w:r>
      <w:r w:rsidR="002C582E">
        <w:rPr>
          <w:rFonts w:ascii="Arial" w:hAnsi="Arial" w:cs="Arial"/>
          <w:i/>
          <w:sz w:val="20"/>
          <w:szCs w:val="20"/>
        </w:rPr>
        <w:t>způsobuje</w:t>
      </w:r>
      <w:r w:rsidR="000C5411" w:rsidRPr="00EB6810">
        <w:rPr>
          <w:rFonts w:ascii="Arial" w:hAnsi="Arial" w:cs="Arial"/>
          <w:i/>
          <w:sz w:val="20"/>
          <w:szCs w:val="20"/>
        </w:rPr>
        <w:t xml:space="preserve"> zvyšování cen u téměř všech komodit. Nejpatrnější nárůst </w:t>
      </w:r>
      <w:r w:rsidRPr="00EB6810">
        <w:rPr>
          <w:rFonts w:ascii="Arial" w:hAnsi="Arial" w:cs="Arial"/>
          <w:i/>
          <w:sz w:val="20"/>
          <w:szCs w:val="20"/>
        </w:rPr>
        <w:t>můžeme</w:t>
      </w:r>
      <w:r w:rsidR="000C5411" w:rsidRPr="00EB6810">
        <w:rPr>
          <w:rFonts w:ascii="Arial" w:hAnsi="Arial" w:cs="Arial"/>
          <w:i/>
          <w:sz w:val="20"/>
          <w:szCs w:val="20"/>
        </w:rPr>
        <w:t xml:space="preserve"> sledovat u cen ropy a zemního plynu</w:t>
      </w:r>
      <w:r w:rsidRPr="00EB6810">
        <w:rPr>
          <w:rFonts w:ascii="Arial" w:hAnsi="Arial" w:cs="Arial"/>
          <w:i/>
          <w:sz w:val="20"/>
          <w:szCs w:val="20"/>
        </w:rPr>
        <w:t>,“</w:t>
      </w:r>
      <w:r>
        <w:rPr>
          <w:rFonts w:ascii="Arial" w:hAnsi="Arial" w:cs="Arial"/>
          <w:sz w:val="20"/>
          <w:szCs w:val="20"/>
        </w:rPr>
        <w:t xml:space="preserve"> komentuje</w:t>
      </w:r>
      <w:r w:rsidR="002C582E">
        <w:rPr>
          <w:rFonts w:ascii="Arial" w:hAnsi="Arial" w:cs="Arial"/>
          <w:sz w:val="20"/>
          <w:szCs w:val="20"/>
        </w:rPr>
        <w:t xml:space="preserve"> současné dění na komoditních trzích</w:t>
      </w:r>
      <w:r>
        <w:rPr>
          <w:rFonts w:ascii="Arial" w:hAnsi="Arial" w:cs="Arial"/>
          <w:sz w:val="20"/>
          <w:szCs w:val="20"/>
        </w:rPr>
        <w:t xml:space="preserve"> </w:t>
      </w:r>
      <w:r w:rsidRPr="00EB6810">
        <w:rPr>
          <w:rFonts w:ascii="Arial" w:hAnsi="Arial" w:cs="Arial"/>
          <w:b/>
          <w:sz w:val="20"/>
          <w:szCs w:val="20"/>
        </w:rPr>
        <w:t>Dominik Šulta, analytik konzervativních investic společnosti Broker Consulting</w:t>
      </w:r>
      <w:r w:rsidRPr="00EB6810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="002C582E">
        <w:rPr>
          <w:rFonts w:ascii="Arial" w:hAnsi="Arial" w:cs="Arial"/>
          <w:sz w:val="20"/>
          <w:szCs w:val="20"/>
        </w:rPr>
        <w:t xml:space="preserve">V návaznosti </w:t>
      </w:r>
      <w:r w:rsidR="000C5411" w:rsidRPr="000C5411">
        <w:rPr>
          <w:rFonts w:ascii="Arial" w:hAnsi="Arial" w:cs="Arial"/>
          <w:sz w:val="20"/>
          <w:szCs w:val="20"/>
        </w:rPr>
        <w:t>na současnou situaci ohledně</w:t>
      </w:r>
      <w:r w:rsidR="000C5411">
        <w:rPr>
          <w:rFonts w:ascii="Arial" w:hAnsi="Arial" w:cs="Arial"/>
          <w:sz w:val="20"/>
          <w:szCs w:val="20"/>
        </w:rPr>
        <w:t xml:space="preserve"> dodávek</w:t>
      </w:r>
      <w:r w:rsidR="00A55879">
        <w:rPr>
          <w:rFonts w:ascii="Arial" w:hAnsi="Arial" w:cs="Arial"/>
          <w:sz w:val="20"/>
          <w:szCs w:val="20"/>
        </w:rPr>
        <w:t xml:space="preserve"> ruského plynu</w:t>
      </w:r>
      <w:r w:rsidR="000C5411">
        <w:rPr>
          <w:rFonts w:ascii="Arial" w:hAnsi="Arial" w:cs="Arial"/>
          <w:sz w:val="20"/>
          <w:szCs w:val="20"/>
        </w:rPr>
        <w:t xml:space="preserve"> a jejich možného odpojení</w:t>
      </w:r>
      <w:r w:rsidR="000C5411" w:rsidRPr="000C5411">
        <w:rPr>
          <w:rFonts w:ascii="Arial" w:hAnsi="Arial" w:cs="Arial"/>
          <w:sz w:val="20"/>
          <w:szCs w:val="20"/>
        </w:rPr>
        <w:t xml:space="preserve"> hledají země EU alternativy, které </w:t>
      </w:r>
      <w:r w:rsidR="00A55879" w:rsidRPr="000C5411">
        <w:rPr>
          <w:rFonts w:ascii="Arial" w:hAnsi="Arial" w:cs="Arial"/>
          <w:sz w:val="20"/>
          <w:szCs w:val="20"/>
        </w:rPr>
        <w:t xml:space="preserve">budou </w:t>
      </w:r>
      <w:r w:rsidR="000C5411" w:rsidRPr="000C5411">
        <w:rPr>
          <w:rFonts w:ascii="Arial" w:hAnsi="Arial" w:cs="Arial"/>
          <w:sz w:val="20"/>
          <w:szCs w:val="20"/>
        </w:rPr>
        <w:t>navíc ekologičtější. Ruské odpojení dodávek plyn</w:t>
      </w:r>
      <w:r w:rsidR="000C5411">
        <w:rPr>
          <w:rFonts w:ascii="Arial" w:hAnsi="Arial" w:cs="Arial"/>
          <w:sz w:val="20"/>
          <w:szCs w:val="20"/>
        </w:rPr>
        <w:t xml:space="preserve">u se ale neočekává, jelikož jen za letošní rok si Rusko připsalo větší zisk </w:t>
      </w:r>
      <w:r w:rsidR="000C5411" w:rsidRPr="000C5411">
        <w:rPr>
          <w:rFonts w:ascii="Arial" w:hAnsi="Arial" w:cs="Arial"/>
          <w:sz w:val="20"/>
          <w:szCs w:val="20"/>
        </w:rPr>
        <w:t>než za posledních 15 let. Prudce</w:t>
      </w:r>
      <w:r w:rsidR="000C5411">
        <w:rPr>
          <w:rFonts w:ascii="Arial" w:hAnsi="Arial" w:cs="Arial"/>
          <w:sz w:val="20"/>
          <w:szCs w:val="20"/>
        </w:rPr>
        <w:t xml:space="preserve"> nahoru</w:t>
      </w:r>
      <w:r w:rsidR="000C5411" w:rsidRPr="000C5411">
        <w:rPr>
          <w:rFonts w:ascii="Arial" w:hAnsi="Arial" w:cs="Arial"/>
          <w:sz w:val="20"/>
          <w:szCs w:val="20"/>
        </w:rPr>
        <w:t xml:space="preserve"> také vyskočily ostatní komodity, které jsou </w:t>
      </w:r>
      <w:r w:rsidR="000C5411">
        <w:rPr>
          <w:rFonts w:ascii="Arial" w:hAnsi="Arial" w:cs="Arial"/>
          <w:sz w:val="20"/>
          <w:szCs w:val="20"/>
        </w:rPr>
        <w:t>r</w:t>
      </w:r>
      <w:r w:rsidR="000C5411" w:rsidRPr="000C5411">
        <w:rPr>
          <w:rFonts w:ascii="Arial" w:hAnsi="Arial" w:cs="Arial"/>
          <w:sz w:val="20"/>
          <w:szCs w:val="20"/>
        </w:rPr>
        <w:t xml:space="preserve">uskými a </w:t>
      </w:r>
      <w:r w:rsidR="000C5411">
        <w:rPr>
          <w:rFonts w:ascii="Arial" w:hAnsi="Arial" w:cs="Arial"/>
          <w:sz w:val="20"/>
          <w:szCs w:val="20"/>
        </w:rPr>
        <w:t>u</w:t>
      </w:r>
      <w:r w:rsidR="000C5411" w:rsidRPr="000C5411">
        <w:rPr>
          <w:rFonts w:ascii="Arial" w:hAnsi="Arial" w:cs="Arial"/>
          <w:sz w:val="20"/>
          <w:szCs w:val="20"/>
        </w:rPr>
        <w:t>krajinský</w:t>
      </w:r>
      <w:r w:rsidR="000C5411">
        <w:rPr>
          <w:rFonts w:ascii="Arial" w:hAnsi="Arial" w:cs="Arial"/>
          <w:sz w:val="20"/>
          <w:szCs w:val="20"/>
        </w:rPr>
        <w:t>mi hlavními exportními artikly</w:t>
      </w:r>
      <w:r w:rsidR="000C5411" w:rsidRPr="000C5411">
        <w:rPr>
          <w:rFonts w:ascii="Arial" w:hAnsi="Arial" w:cs="Arial"/>
          <w:sz w:val="20"/>
          <w:szCs w:val="20"/>
        </w:rPr>
        <w:t xml:space="preserve">, zejména </w:t>
      </w:r>
      <w:r w:rsidR="000C5411">
        <w:rPr>
          <w:rFonts w:ascii="Arial" w:hAnsi="Arial" w:cs="Arial"/>
          <w:sz w:val="20"/>
          <w:szCs w:val="20"/>
        </w:rPr>
        <w:t xml:space="preserve">jde o </w:t>
      </w:r>
      <w:r w:rsidR="000C5411" w:rsidRPr="000C5411">
        <w:rPr>
          <w:rFonts w:ascii="Arial" w:hAnsi="Arial" w:cs="Arial"/>
          <w:sz w:val="20"/>
          <w:szCs w:val="20"/>
        </w:rPr>
        <w:t>cen</w:t>
      </w:r>
      <w:r w:rsidR="000C5411">
        <w:rPr>
          <w:rFonts w:ascii="Arial" w:hAnsi="Arial" w:cs="Arial"/>
          <w:sz w:val="20"/>
          <w:szCs w:val="20"/>
        </w:rPr>
        <w:t>u</w:t>
      </w:r>
      <w:r w:rsidR="000C5411" w:rsidRPr="000C5411">
        <w:rPr>
          <w:rFonts w:ascii="Arial" w:hAnsi="Arial" w:cs="Arial"/>
          <w:sz w:val="20"/>
          <w:szCs w:val="20"/>
        </w:rPr>
        <w:t xml:space="preserve"> niklu, slunečnico</w:t>
      </w:r>
      <w:r w:rsidR="000C5411">
        <w:rPr>
          <w:rFonts w:ascii="Arial" w:hAnsi="Arial" w:cs="Arial"/>
          <w:sz w:val="20"/>
          <w:szCs w:val="20"/>
        </w:rPr>
        <w:t xml:space="preserve">vého </w:t>
      </w:r>
      <w:r w:rsidR="000C5411" w:rsidRPr="000C5411">
        <w:rPr>
          <w:rFonts w:ascii="Arial" w:hAnsi="Arial" w:cs="Arial"/>
          <w:sz w:val="20"/>
          <w:szCs w:val="20"/>
        </w:rPr>
        <w:t>olej</w:t>
      </w:r>
      <w:r w:rsidR="000C5411">
        <w:rPr>
          <w:rFonts w:ascii="Arial" w:hAnsi="Arial" w:cs="Arial"/>
          <w:sz w:val="20"/>
          <w:szCs w:val="20"/>
        </w:rPr>
        <w:t>e</w:t>
      </w:r>
      <w:r w:rsidR="000C5411" w:rsidRPr="000C5411">
        <w:rPr>
          <w:rFonts w:ascii="Arial" w:hAnsi="Arial" w:cs="Arial"/>
          <w:sz w:val="20"/>
          <w:szCs w:val="20"/>
        </w:rPr>
        <w:t xml:space="preserve"> a pšenice. </w:t>
      </w:r>
      <w:r w:rsidR="000C5411">
        <w:rPr>
          <w:rFonts w:ascii="Arial" w:hAnsi="Arial" w:cs="Arial"/>
          <w:sz w:val="20"/>
          <w:szCs w:val="20"/>
        </w:rPr>
        <w:t xml:space="preserve">Komoditní fondy </w:t>
      </w:r>
      <w:r w:rsidR="000C5411" w:rsidRPr="000C5411">
        <w:rPr>
          <w:rFonts w:ascii="Arial" w:hAnsi="Arial" w:cs="Arial"/>
          <w:sz w:val="20"/>
          <w:szCs w:val="20"/>
        </w:rPr>
        <w:t xml:space="preserve">tak od začátku roku vzrostly o více než 71 %. </w:t>
      </w:r>
    </w:p>
    <w:p w14:paraId="4144732B" w14:textId="77777777" w:rsidR="000C5411" w:rsidRPr="000C5411" w:rsidRDefault="000C5411" w:rsidP="000C5411">
      <w:pPr>
        <w:jc w:val="both"/>
        <w:rPr>
          <w:rFonts w:ascii="Arial" w:hAnsi="Arial" w:cs="Arial"/>
          <w:sz w:val="20"/>
          <w:szCs w:val="20"/>
        </w:rPr>
      </w:pPr>
    </w:p>
    <w:p w14:paraId="003F43E4" w14:textId="2DF45991" w:rsidR="000C5411" w:rsidRDefault="000C5411" w:rsidP="000C5411">
      <w:pPr>
        <w:jc w:val="both"/>
        <w:rPr>
          <w:rFonts w:ascii="Arial" w:hAnsi="Arial" w:cs="Arial"/>
          <w:sz w:val="20"/>
          <w:szCs w:val="20"/>
        </w:rPr>
      </w:pPr>
      <w:r w:rsidRPr="000C5411">
        <w:rPr>
          <w:rFonts w:ascii="Arial" w:hAnsi="Arial" w:cs="Arial"/>
          <w:sz w:val="20"/>
          <w:szCs w:val="20"/>
        </w:rPr>
        <w:t>Invaze</w:t>
      </w:r>
      <w:r w:rsidR="002C582E">
        <w:rPr>
          <w:rFonts w:ascii="Arial" w:hAnsi="Arial" w:cs="Arial"/>
          <w:sz w:val="20"/>
          <w:szCs w:val="20"/>
        </w:rPr>
        <w:t xml:space="preserve"> na Ukrajině</w:t>
      </w:r>
      <w:r w:rsidRPr="000C5411">
        <w:rPr>
          <w:rFonts w:ascii="Arial" w:hAnsi="Arial" w:cs="Arial"/>
          <w:sz w:val="20"/>
          <w:szCs w:val="20"/>
        </w:rPr>
        <w:t xml:space="preserve"> také ovlivňuje akciové fondy, které vymazaly </w:t>
      </w:r>
      <w:r w:rsidR="00507504">
        <w:rPr>
          <w:rFonts w:ascii="Arial" w:hAnsi="Arial" w:cs="Arial"/>
          <w:sz w:val="20"/>
          <w:szCs w:val="20"/>
        </w:rPr>
        <w:t xml:space="preserve">své předchozí </w:t>
      </w:r>
      <w:r w:rsidRPr="000C5411">
        <w:rPr>
          <w:rFonts w:ascii="Arial" w:hAnsi="Arial" w:cs="Arial"/>
          <w:sz w:val="20"/>
          <w:szCs w:val="20"/>
        </w:rPr>
        <w:t>ztráty</w:t>
      </w:r>
      <w:r w:rsidR="00507504">
        <w:rPr>
          <w:rFonts w:ascii="Arial" w:hAnsi="Arial" w:cs="Arial"/>
          <w:sz w:val="20"/>
          <w:szCs w:val="20"/>
        </w:rPr>
        <w:t xml:space="preserve"> z</w:t>
      </w:r>
      <w:r w:rsidR="002C01FF">
        <w:rPr>
          <w:rFonts w:ascii="Arial" w:hAnsi="Arial" w:cs="Arial"/>
          <w:sz w:val="20"/>
          <w:szCs w:val="20"/>
        </w:rPr>
        <w:t> </w:t>
      </w:r>
      <w:r w:rsidR="00507504">
        <w:rPr>
          <w:rFonts w:ascii="Arial" w:hAnsi="Arial" w:cs="Arial"/>
          <w:sz w:val="20"/>
          <w:szCs w:val="20"/>
        </w:rPr>
        <w:t>února</w:t>
      </w:r>
      <w:r w:rsidR="002C01FF">
        <w:rPr>
          <w:rFonts w:ascii="Arial" w:hAnsi="Arial" w:cs="Arial"/>
          <w:sz w:val="20"/>
          <w:szCs w:val="20"/>
        </w:rPr>
        <w:t xml:space="preserve"> a meziměsíčně si připsaly 1,85 %</w:t>
      </w:r>
      <w:r w:rsidRPr="000C5411">
        <w:rPr>
          <w:rFonts w:ascii="Arial" w:hAnsi="Arial" w:cs="Arial"/>
          <w:sz w:val="20"/>
          <w:szCs w:val="20"/>
        </w:rPr>
        <w:t xml:space="preserve">. </w:t>
      </w:r>
      <w:r w:rsidR="002C01FF">
        <w:rPr>
          <w:rFonts w:ascii="Arial" w:hAnsi="Arial" w:cs="Arial"/>
          <w:sz w:val="20"/>
          <w:szCs w:val="20"/>
        </w:rPr>
        <w:t>Okolnosti naznačují</w:t>
      </w:r>
      <w:r w:rsidR="00507504">
        <w:rPr>
          <w:rFonts w:ascii="Arial" w:hAnsi="Arial" w:cs="Arial"/>
          <w:sz w:val="20"/>
          <w:szCs w:val="20"/>
        </w:rPr>
        <w:t>,</w:t>
      </w:r>
      <w:r w:rsidRPr="000C5411">
        <w:rPr>
          <w:rFonts w:ascii="Arial" w:hAnsi="Arial" w:cs="Arial"/>
          <w:sz w:val="20"/>
          <w:szCs w:val="20"/>
        </w:rPr>
        <w:t xml:space="preserve"> že trh očekává blízký konec války a </w:t>
      </w:r>
      <w:r w:rsidR="00507504">
        <w:rPr>
          <w:rFonts w:ascii="Arial" w:hAnsi="Arial" w:cs="Arial"/>
          <w:sz w:val="20"/>
          <w:szCs w:val="20"/>
        </w:rPr>
        <w:t>zároveň</w:t>
      </w:r>
      <w:r w:rsidRPr="000C5411">
        <w:rPr>
          <w:rFonts w:ascii="Arial" w:hAnsi="Arial" w:cs="Arial"/>
          <w:sz w:val="20"/>
          <w:szCs w:val="20"/>
        </w:rPr>
        <w:t xml:space="preserve"> </w:t>
      </w:r>
      <w:r w:rsidR="002C582E">
        <w:rPr>
          <w:rFonts w:ascii="Arial" w:hAnsi="Arial" w:cs="Arial"/>
          <w:sz w:val="20"/>
          <w:szCs w:val="20"/>
        </w:rPr>
        <w:t xml:space="preserve">i </w:t>
      </w:r>
      <w:r w:rsidRPr="000C5411">
        <w:rPr>
          <w:rFonts w:ascii="Arial" w:hAnsi="Arial" w:cs="Arial"/>
          <w:sz w:val="20"/>
          <w:szCs w:val="20"/>
        </w:rPr>
        <w:t xml:space="preserve">dlouhodobý růst. </w:t>
      </w:r>
      <w:r w:rsidR="002C582E">
        <w:rPr>
          <w:rFonts w:ascii="Arial" w:hAnsi="Arial" w:cs="Arial"/>
          <w:sz w:val="20"/>
          <w:szCs w:val="20"/>
        </w:rPr>
        <w:t>Americká centrální banka (</w:t>
      </w:r>
      <w:r w:rsidR="002C582E" w:rsidRPr="000C5411">
        <w:rPr>
          <w:rFonts w:ascii="Arial" w:hAnsi="Arial" w:cs="Arial"/>
          <w:sz w:val="20"/>
          <w:szCs w:val="20"/>
        </w:rPr>
        <w:t>FED</w:t>
      </w:r>
      <w:r w:rsidR="002C582E">
        <w:rPr>
          <w:rFonts w:ascii="Arial" w:hAnsi="Arial" w:cs="Arial"/>
          <w:sz w:val="20"/>
          <w:szCs w:val="20"/>
        </w:rPr>
        <w:t>)</w:t>
      </w:r>
      <w:r w:rsidR="002C582E" w:rsidRPr="000C5411">
        <w:rPr>
          <w:rFonts w:ascii="Arial" w:hAnsi="Arial" w:cs="Arial"/>
          <w:sz w:val="20"/>
          <w:szCs w:val="20"/>
        </w:rPr>
        <w:t xml:space="preserve"> zvýšil</w:t>
      </w:r>
      <w:r w:rsidR="002C582E">
        <w:rPr>
          <w:rFonts w:ascii="Arial" w:hAnsi="Arial" w:cs="Arial"/>
          <w:sz w:val="20"/>
          <w:szCs w:val="20"/>
        </w:rPr>
        <w:t>a</w:t>
      </w:r>
      <w:r w:rsidR="002C582E" w:rsidRPr="000C5411">
        <w:rPr>
          <w:rFonts w:ascii="Arial" w:hAnsi="Arial" w:cs="Arial"/>
          <w:sz w:val="20"/>
          <w:szCs w:val="20"/>
        </w:rPr>
        <w:t xml:space="preserve"> </w:t>
      </w:r>
      <w:r w:rsidR="002C582E">
        <w:rPr>
          <w:rFonts w:ascii="Arial" w:hAnsi="Arial" w:cs="Arial"/>
          <w:sz w:val="20"/>
          <w:szCs w:val="20"/>
        </w:rPr>
        <w:t>v</w:t>
      </w:r>
      <w:r w:rsidRPr="000C5411">
        <w:rPr>
          <w:rFonts w:ascii="Arial" w:hAnsi="Arial" w:cs="Arial"/>
          <w:sz w:val="20"/>
          <w:szCs w:val="20"/>
        </w:rPr>
        <w:t> důsledku inflace</w:t>
      </w:r>
      <w:r w:rsidR="00507504" w:rsidRPr="000C5411">
        <w:rPr>
          <w:rFonts w:ascii="Arial" w:hAnsi="Arial" w:cs="Arial"/>
          <w:sz w:val="20"/>
          <w:szCs w:val="20"/>
        </w:rPr>
        <w:t xml:space="preserve"> </w:t>
      </w:r>
      <w:r w:rsidRPr="000C5411">
        <w:rPr>
          <w:rFonts w:ascii="Arial" w:hAnsi="Arial" w:cs="Arial"/>
          <w:sz w:val="20"/>
          <w:szCs w:val="20"/>
        </w:rPr>
        <w:t>úrokové s</w:t>
      </w:r>
      <w:r w:rsidR="002C582E">
        <w:rPr>
          <w:rFonts w:ascii="Arial" w:hAnsi="Arial" w:cs="Arial"/>
          <w:sz w:val="20"/>
          <w:szCs w:val="20"/>
        </w:rPr>
        <w:t xml:space="preserve">azby poprvé </w:t>
      </w:r>
      <w:r w:rsidR="00D45C7A">
        <w:rPr>
          <w:rFonts w:ascii="Arial" w:hAnsi="Arial" w:cs="Arial"/>
          <w:sz w:val="20"/>
          <w:szCs w:val="20"/>
        </w:rPr>
        <w:t>od roku 2018. Ani tato skutečnost však</w:t>
      </w:r>
      <w:r w:rsidRPr="000C5411">
        <w:rPr>
          <w:rFonts w:ascii="Arial" w:hAnsi="Arial" w:cs="Arial"/>
          <w:sz w:val="20"/>
          <w:szCs w:val="20"/>
        </w:rPr>
        <w:t xml:space="preserve"> </w:t>
      </w:r>
      <w:r w:rsidR="00D45C7A" w:rsidRPr="000C5411">
        <w:rPr>
          <w:rFonts w:ascii="Arial" w:hAnsi="Arial" w:cs="Arial"/>
          <w:sz w:val="20"/>
          <w:szCs w:val="20"/>
        </w:rPr>
        <w:t>patrně nezastavil</w:t>
      </w:r>
      <w:r w:rsidR="00D45C7A">
        <w:rPr>
          <w:rFonts w:ascii="Arial" w:hAnsi="Arial" w:cs="Arial"/>
          <w:sz w:val="20"/>
          <w:szCs w:val="20"/>
        </w:rPr>
        <w:t>a</w:t>
      </w:r>
      <w:r w:rsidR="00D45C7A" w:rsidRPr="000C5411">
        <w:rPr>
          <w:rFonts w:ascii="Arial" w:hAnsi="Arial" w:cs="Arial"/>
          <w:sz w:val="20"/>
          <w:szCs w:val="20"/>
        </w:rPr>
        <w:t xml:space="preserve"> </w:t>
      </w:r>
      <w:r w:rsidRPr="000C5411">
        <w:rPr>
          <w:rFonts w:ascii="Arial" w:hAnsi="Arial" w:cs="Arial"/>
          <w:sz w:val="20"/>
          <w:szCs w:val="20"/>
        </w:rPr>
        <w:t>akciové fondy</w:t>
      </w:r>
      <w:r w:rsidR="00D45C7A">
        <w:rPr>
          <w:rFonts w:ascii="Arial" w:hAnsi="Arial" w:cs="Arial"/>
          <w:sz w:val="20"/>
          <w:szCs w:val="20"/>
        </w:rPr>
        <w:t xml:space="preserve">, které se </w:t>
      </w:r>
      <w:r w:rsidRPr="000C5411">
        <w:rPr>
          <w:rFonts w:ascii="Arial" w:hAnsi="Arial" w:cs="Arial"/>
          <w:sz w:val="20"/>
          <w:szCs w:val="20"/>
        </w:rPr>
        <w:t xml:space="preserve">po </w:t>
      </w:r>
      <w:r w:rsidR="00D45C7A" w:rsidRPr="000C5411">
        <w:rPr>
          <w:rFonts w:ascii="Arial" w:hAnsi="Arial" w:cs="Arial"/>
          <w:sz w:val="20"/>
          <w:szCs w:val="20"/>
        </w:rPr>
        <w:t>mírném</w:t>
      </w:r>
      <w:r w:rsidR="00D45C7A">
        <w:rPr>
          <w:rFonts w:ascii="Arial" w:hAnsi="Arial" w:cs="Arial"/>
          <w:sz w:val="20"/>
          <w:szCs w:val="20"/>
        </w:rPr>
        <w:t xml:space="preserve"> oslabení </w:t>
      </w:r>
      <w:r w:rsidRPr="000C5411">
        <w:rPr>
          <w:rFonts w:ascii="Arial" w:hAnsi="Arial" w:cs="Arial"/>
          <w:sz w:val="20"/>
          <w:szCs w:val="20"/>
        </w:rPr>
        <w:t>vrátily k výraznému růstu.</w:t>
      </w:r>
      <w:r w:rsidR="00D45C7A">
        <w:rPr>
          <w:rFonts w:ascii="Arial" w:hAnsi="Arial" w:cs="Arial"/>
          <w:sz w:val="20"/>
          <w:szCs w:val="20"/>
        </w:rPr>
        <w:t xml:space="preserve"> Pomyslným vítězem invazní situace </w:t>
      </w:r>
      <w:r w:rsidR="002C582E">
        <w:rPr>
          <w:rFonts w:ascii="Arial" w:hAnsi="Arial" w:cs="Arial"/>
          <w:sz w:val="20"/>
          <w:szCs w:val="20"/>
        </w:rPr>
        <w:t xml:space="preserve">na Ukrajině </w:t>
      </w:r>
      <w:r w:rsidRPr="000C5411">
        <w:rPr>
          <w:rFonts w:ascii="Arial" w:hAnsi="Arial" w:cs="Arial"/>
          <w:sz w:val="20"/>
          <w:szCs w:val="20"/>
        </w:rPr>
        <w:t xml:space="preserve">jsou akcie </w:t>
      </w:r>
      <w:r w:rsidR="00D45C7A">
        <w:rPr>
          <w:rFonts w:ascii="Arial" w:hAnsi="Arial" w:cs="Arial"/>
          <w:sz w:val="20"/>
          <w:szCs w:val="20"/>
        </w:rPr>
        <w:t xml:space="preserve">ropných společností, které profitují </w:t>
      </w:r>
      <w:r w:rsidRPr="000C5411">
        <w:rPr>
          <w:rFonts w:ascii="Arial" w:hAnsi="Arial" w:cs="Arial"/>
          <w:sz w:val="20"/>
          <w:szCs w:val="20"/>
        </w:rPr>
        <w:t xml:space="preserve">z růstu cen plynu a ropy. Ke zvyšování </w:t>
      </w:r>
      <w:r w:rsidR="00D45C7A" w:rsidRPr="000C5411">
        <w:rPr>
          <w:rFonts w:ascii="Arial" w:hAnsi="Arial" w:cs="Arial"/>
          <w:sz w:val="20"/>
          <w:szCs w:val="20"/>
        </w:rPr>
        <w:t>zazeb</w:t>
      </w:r>
      <w:r w:rsidRPr="000C5411">
        <w:rPr>
          <w:rFonts w:ascii="Arial" w:hAnsi="Arial" w:cs="Arial"/>
          <w:sz w:val="20"/>
          <w:szCs w:val="20"/>
        </w:rPr>
        <w:t xml:space="preserve"> by FED měl</w:t>
      </w:r>
      <w:r w:rsidR="00D45C7A">
        <w:rPr>
          <w:rFonts w:ascii="Arial" w:hAnsi="Arial" w:cs="Arial"/>
          <w:sz w:val="20"/>
          <w:szCs w:val="20"/>
        </w:rPr>
        <w:t>a</w:t>
      </w:r>
      <w:r w:rsidRPr="000C5411">
        <w:rPr>
          <w:rFonts w:ascii="Arial" w:hAnsi="Arial" w:cs="Arial"/>
          <w:sz w:val="20"/>
          <w:szCs w:val="20"/>
        </w:rPr>
        <w:t xml:space="preserve"> přikročit tento rok celkem sedmkrát</w:t>
      </w:r>
      <w:r w:rsidR="00D45C7A">
        <w:rPr>
          <w:rFonts w:ascii="Arial" w:hAnsi="Arial" w:cs="Arial"/>
          <w:sz w:val="20"/>
          <w:szCs w:val="20"/>
        </w:rPr>
        <w:t>. Odborníci předpokládají,</w:t>
      </w:r>
      <w:r w:rsidRPr="000C5411">
        <w:rPr>
          <w:rFonts w:ascii="Arial" w:hAnsi="Arial" w:cs="Arial"/>
          <w:sz w:val="20"/>
          <w:szCs w:val="20"/>
        </w:rPr>
        <w:t xml:space="preserve"> že ekonomika USA je velmi silná a </w:t>
      </w:r>
      <w:r w:rsidR="00D45C7A">
        <w:rPr>
          <w:rFonts w:ascii="Arial" w:hAnsi="Arial" w:cs="Arial"/>
          <w:sz w:val="20"/>
          <w:szCs w:val="20"/>
        </w:rPr>
        <w:t xml:space="preserve">celkově se nachází </w:t>
      </w:r>
      <w:r w:rsidRPr="000C5411">
        <w:rPr>
          <w:rFonts w:ascii="Arial" w:hAnsi="Arial" w:cs="Arial"/>
          <w:sz w:val="20"/>
          <w:szCs w:val="20"/>
        </w:rPr>
        <w:t>v dobré pozici pro</w:t>
      </w:r>
      <w:r w:rsidR="00D45C7A">
        <w:rPr>
          <w:rFonts w:ascii="Arial" w:hAnsi="Arial" w:cs="Arial"/>
          <w:sz w:val="20"/>
          <w:szCs w:val="20"/>
        </w:rPr>
        <w:t xml:space="preserve"> zvládnutí</w:t>
      </w:r>
      <w:r w:rsidRPr="000C5411">
        <w:rPr>
          <w:rFonts w:ascii="Arial" w:hAnsi="Arial" w:cs="Arial"/>
          <w:sz w:val="20"/>
          <w:szCs w:val="20"/>
        </w:rPr>
        <w:t xml:space="preserve"> přísnější měnov</w:t>
      </w:r>
      <w:r w:rsidR="00D45C7A">
        <w:rPr>
          <w:rFonts w:ascii="Arial" w:hAnsi="Arial" w:cs="Arial"/>
          <w:sz w:val="20"/>
          <w:szCs w:val="20"/>
        </w:rPr>
        <w:t xml:space="preserve">é </w:t>
      </w:r>
      <w:r w:rsidRPr="000C5411">
        <w:rPr>
          <w:rFonts w:ascii="Arial" w:hAnsi="Arial" w:cs="Arial"/>
          <w:sz w:val="20"/>
          <w:szCs w:val="20"/>
        </w:rPr>
        <w:t>politik</w:t>
      </w:r>
      <w:r w:rsidR="00D45C7A">
        <w:rPr>
          <w:rFonts w:ascii="Arial" w:hAnsi="Arial" w:cs="Arial"/>
          <w:sz w:val="20"/>
          <w:szCs w:val="20"/>
        </w:rPr>
        <w:t>y</w:t>
      </w:r>
      <w:r w:rsidRPr="000C5411">
        <w:rPr>
          <w:rFonts w:ascii="Arial" w:hAnsi="Arial" w:cs="Arial"/>
          <w:sz w:val="20"/>
          <w:szCs w:val="20"/>
        </w:rPr>
        <w:t>.</w:t>
      </w:r>
    </w:p>
    <w:p w14:paraId="63CE0031" w14:textId="77777777" w:rsidR="000C5411" w:rsidRPr="000C5411" w:rsidRDefault="000C5411" w:rsidP="000C5411">
      <w:pPr>
        <w:jc w:val="both"/>
        <w:rPr>
          <w:rFonts w:ascii="Arial" w:hAnsi="Arial" w:cs="Arial"/>
          <w:sz w:val="20"/>
          <w:szCs w:val="20"/>
        </w:rPr>
      </w:pPr>
    </w:p>
    <w:p w14:paraId="161C2892" w14:textId="1391C2BC" w:rsidR="000C5411" w:rsidRDefault="000C5411" w:rsidP="000C5411">
      <w:pPr>
        <w:jc w:val="both"/>
        <w:rPr>
          <w:rFonts w:ascii="Arial" w:hAnsi="Arial" w:cs="Arial"/>
          <w:sz w:val="20"/>
          <w:szCs w:val="20"/>
        </w:rPr>
      </w:pPr>
      <w:r w:rsidRPr="000C5411">
        <w:rPr>
          <w:rFonts w:ascii="Arial" w:hAnsi="Arial" w:cs="Arial"/>
          <w:sz w:val="20"/>
          <w:szCs w:val="20"/>
        </w:rPr>
        <w:t>N</w:t>
      </w:r>
      <w:r w:rsidR="002C01FF">
        <w:rPr>
          <w:rFonts w:ascii="Arial" w:hAnsi="Arial" w:cs="Arial"/>
          <w:sz w:val="20"/>
          <w:szCs w:val="20"/>
        </w:rPr>
        <w:t xml:space="preserve">emovitostní fondy </w:t>
      </w:r>
      <w:r w:rsidR="002C01FF" w:rsidRPr="000C5411">
        <w:rPr>
          <w:rFonts w:ascii="Arial" w:hAnsi="Arial" w:cs="Arial"/>
          <w:sz w:val="20"/>
          <w:szCs w:val="20"/>
        </w:rPr>
        <w:t>přidávají</w:t>
      </w:r>
      <w:r w:rsidR="002C01FF">
        <w:rPr>
          <w:rFonts w:ascii="Arial" w:hAnsi="Arial" w:cs="Arial"/>
          <w:sz w:val="20"/>
          <w:szCs w:val="20"/>
        </w:rPr>
        <w:t xml:space="preserve"> </w:t>
      </w:r>
      <w:r w:rsidR="002C582E">
        <w:rPr>
          <w:rFonts w:ascii="Arial" w:hAnsi="Arial" w:cs="Arial"/>
          <w:sz w:val="20"/>
          <w:szCs w:val="20"/>
        </w:rPr>
        <w:t>navzdory</w:t>
      </w:r>
      <w:r w:rsidR="002C01FF">
        <w:rPr>
          <w:rFonts w:ascii="Arial" w:hAnsi="Arial" w:cs="Arial"/>
          <w:sz w:val="20"/>
          <w:szCs w:val="20"/>
        </w:rPr>
        <w:t xml:space="preserve"> současné nestabilní době </w:t>
      </w:r>
      <w:r w:rsidR="00A55879">
        <w:rPr>
          <w:rFonts w:ascii="Arial" w:hAnsi="Arial" w:cs="Arial"/>
          <w:sz w:val="20"/>
          <w:szCs w:val="20"/>
        </w:rPr>
        <w:t xml:space="preserve">další </w:t>
      </w:r>
      <w:r w:rsidRPr="000C5411">
        <w:rPr>
          <w:rFonts w:ascii="Arial" w:hAnsi="Arial" w:cs="Arial"/>
          <w:sz w:val="20"/>
          <w:szCs w:val="20"/>
        </w:rPr>
        <w:t xml:space="preserve">nemovitosti do svých portfolií. </w:t>
      </w:r>
      <w:r w:rsidR="002C582E">
        <w:rPr>
          <w:rFonts w:ascii="Arial" w:hAnsi="Arial" w:cs="Arial"/>
          <w:sz w:val="20"/>
          <w:szCs w:val="20"/>
        </w:rPr>
        <w:t>Je patrné</w:t>
      </w:r>
      <w:r w:rsidRPr="000C5411">
        <w:rPr>
          <w:rFonts w:ascii="Arial" w:hAnsi="Arial" w:cs="Arial"/>
          <w:sz w:val="20"/>
          <w:szCs w:val="20"/>
        </w:rPr>
        <w:t xml:space="preserve">, že </w:t>
      </w:r>
      <w:r w:rsidR="002C01FF">
        <w:rPr>
          <w:rFonts w:ascii="Arial" w:hAnsi="Arial" w:cs="Arial"/>
          <w:sz w:val="20"/>
          <w:szCs w:val="20"/>
        </w:rPr>
        <w:t xml:space="preserve">tyto </w:t>
      </w:r>
      <w:r w:rsidRPr="000C5411">
        <w:rPr>
          <w:rFonts w:ascii="Arial" w:hAnsi="Arial" w:cs="Arial"/>
          <w:sz w:val="20"/>
          <w:szCs w:val="20"/>
        </w:rPr>
        <w:t xml:space="preserve">fondy se </w:t>
      </w:r>
      <w:r w:rsidR="002C01FF" w:rsidRPr="000C5411">
        <w:rPr>
          <w:rFonts w:ascii="Arial" w:hAnsi="Arial" w:cs="Arial"/>
          <w:sz w:val="20"/>
          <w:szCs w:val="20"/>
        </w:rPr>
        <w:t>těší</w:t>
      </w:r>
      <w:r w:rsidRPr="000C5411">
        <w:rPr>
          <w:rFonts w:ascii="Arial" w:hAnsi="Arial" w:cs="Arial"/>
          <w:sz w:val="20"/>
          <w:szCs w:val="20"/>
        </w:rPr>
        <w:t xml:space="preserve"> </w:t>
      </w:r>
      <w:r w:rsidR="002C01FF">
        <w:rPr>
          <w:rFonts w:ascii="Arial" w:hAnsi="Arial" w:cs="Arial"/>
          <w:sz w:val="20"/>
          <w:szCs w:val="20"/>
        </w:rPr>
        <w:t>vzrůstající</w:t>
      </w:r>
      <w:r w:rsidRPr="000C5411">
        <w:rPr>
          <w:rFonts w:ascii="Arial" w:hAnsi="Arial" w:cs="Arial"/>
          <w:sz w:val="20"/>
          <w:szCs w:val="20"/>
        </w:rPr>
        <w:t xml:space="preserve"> oblibě </w:t>
      </w:r>
      <w:r w:rsidR="002C01FF">
        <w:rPr>
          <w:rFonts w:ascii="Arial" w:hAnsi="Arial" w:cs="Arial"/>
          <w:sz w:val="20"/>
          <w:szCs w:val="20"/>
        </w:rPr>
        <w:t xml:space="preserve">ze strany </w:t>
      </w:r>
      <w:r w:rsidRPr="000C5411">
        <w:rPr>
          <w:rFonts w:ascii="Arial" w:hAnsi="Arial" w:cs="Arial"/>
          <w:sz w:val="20"/>
          <w:szCs w:val="20"/>
        </w:rPr>
        <w:t xml:space="preserve">českých investorů, kteří jsou stále </w:t>
      </w:r>
      <w:r w:rsidR="002C01FF" w:rsidRPr="000C5411">
        <w:rPr>
          <w:rFonts w:ascii="Arial" w:hAnsi="Arial" w:cs="Arial"/>
          <w:sz w:val="20"/>
          <w:szCs w:val="20"/>
        </w:rPr>
        <w:t>převážně</w:t>
      </w:r>
      <w:r w:rsidRPr="000C5411">
        <w:rPr>
          <w:rFonts w:ascii="Arial" w:hAnsi="Arial" w:cs="Arial"/>
          <w:sz w:val="20"/>
          <w:szCs w:val="20"/>
        </w:rPr>
        <w:t xml:space="preserve"> konzervativnější. </w:t>
      </w:r>
      <w:r w:rsidR="002C01FF">
        <w:rPr>
          <w:rFonts w:ascii="Arial" w:hAnsi="Arial" w:cs="Arial"/>
          <w:sz w:val="20"/>
          <w:szCs w:val="20"/>
        </w:rPr>
        <w:t xml:space="preserve">Současně fondům </w:t>
      </w:r>
      <w:r w:rsidR="002C01FF" w:rsidRPr="000C5411">
        <w:rPr>
          <w:rFonts w:ascii="Arial" w:hAnsi="Arial" w:cs="Arial"/>
          <w:sz w:val="20"/>
          <w:szCs w:val="20"/>
        </w:rPr>
        <w:t xml:space="preserve">nahrává postupné zklidňování </w:t>
      </w:r>
      <w:r w:rsidR="00A55879">
        <w:rPr>
          <w:rFonts w:ascii="Arial" w:hAnsi="Arial" w:cs="Arial"/>
          <w:sz w:val="20"/>
          <w:szCs w:val="20"/>
        </w:rPr>
        <w:t>koronavirové</w:t>
      </w:r>
      <w:r w:rsidR="002C01FF" w:rsidRPr="000C5411">
        <w:rPr>
          <w:rFonts w:ascii="Arial" w:hAnsi="Arial" w:cs="Arial"/>
          <w:sz w:val="20"/>
          <w:szCs w:val="20"/>
        </w:rPr>
        <w:t xml:space="preserve"> situace a pozvolný návrat do kanceláří. </w:t>
      </w:r>
      <w:r w:rsidRPr="000C5411">
        <w:rPr>
          <w:rFonts w:ascii="Arial" w:hAnsi="Arial" w:cs="Arial"/>
          <w:sz w:val="20"/>
          <w:szCs w:val="20"/>
        </w:rPr>
        <w:t xml:space="preserve">Za březen si tak připsaly 0,72 %. </w:t>
      </w:r>
    </w:p>
    <w:p w14:paraId="65C997DE" w14:textId="77777777" w:rsidR="000C5411" w:rsidRPr="000C5411" w:rsidRDefault="000C5411" w:rsidP="000C5411">
      <w:pPr>
        <w:jc w:val="both"/>
        <w:rPr>
          <w:rFonts w:ascii="Arial" w:hAnsi="Arial" w:cs="Arial"/>
          <w:sz w:val="20"/>
          <w:szCs w:val="20"/>
        </w:rPr>
      </w:pPr>
    </w:p>
    <w:p w14:paraId="514D18FE" w14:textId="6A3C681E" w:rsidR="000C5411" w:rsidRDefault="00F967A1" w:rsidP="000C541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Dluhopisové fondy</w:t>
      </w:r>
      <w:r w:rsidR="000C5411" w:rsidRPr="000C5411">
        <w:rPr>
          <w:rFonts w:ascii="Arial" w:hAnsi="Arial" w:cs="Arial"/>
          <w:sz w:val="20"/>
          <w:szCs w:val="20"/>
        </w:rPr>
        <w:t xml:space="preserve"> jsou </w:t>
      </w:r>
      <w:r w:rsidR="00A55879">
        <w:rPr>
          <w:rFonts w:ascii="Arial" w:hAnsi="Arial" w:cs="Arial"/>
          <w:sz w:val="20"/>
          <w:szCs w:val="20"/>
        </w:rPr>
        <w:t>stále</w:t>
      </w:r>
      <w:r w:rsidR="000C5411" w:rsidRPr="000C5411">
        <w:rPr>
          <w:rFonts w:ascii="Arial" w:hAnsi="Arial" w:cs="Arial"/>
          <w:sz w:val="20"/>
          <w:szCs w:val="20"/>
        </w:rPr>
        <w:t xml:space="preserve"> v úpadku a pravděpodobně </w:t>
      </w:r>
      <w:r>
        <w:rPr>
          <w:rFonts w:ascii="Arial" w:hAnsi="Arial" w:cs="Arial"/>
          <w:sz w:val="20"/>
          <w:szCs w:val="20"/>
        </w:rPr>
        <w:t xml:space="preserve">v něm vytrvají </w:t>
      </w:r>
      <w:r w:rsidR="000C5411" w:rsidRPr="000C5411">
        <w:rPr>
          <w:rFonts w:ascii="Arial" w:hAnsi="Arial" w:cs="Arial"/>
          <w:sz w:val="20"/>
          <w:szCs w:val="20"/>
        </w:rPr>
        <w:t>i nadále</w:t>
      </w:r>
      <w:r>
        <w:rPr>
          <w:rFonts w:ascii="Arial" w:hAnsi="Arial" w:cs="Arial"/>
          <w:sz w:val="20"/>
          <w:szCs w:val="20"/>
        </w:rPr>
        <w:t xml:space="preserve">, za březen tak ztratily nejvíce ze všech fondů sledovaných Broker Consulting Indexem podílových fondů, a sice -3,58 %. Za jejich nepříznivou situací stojí </w:t>
      </w:r>
      <w:r w:rsidR="000C5411" w:rsidRPr="000C5411">
        <w:rPr>
          <w:rFonts w:ascii="Arial" w:hAnsi="Arial" w:cs="Arial"/>
          <w:sz w:val="20"/>
          <w:szCs w:val="20"/>
        </w:rPr>
        <w:t xml:space="preserve">zvyšování úrokových sazeb, což tlačí ceny dluhopisů dolů, naopak výnosy z dluhopisů do splatnosti rostou. Dluhopisové fondy jsou </w:t>
      </w:r>
      <w:r w:rsidRPr="000C5411">
        <w:rPr>
          <w:rFonts w:ascii="Arial" w:hAnsi="Arial" w:cs="Arial"/>
          <w:sz w:val="20"/>
          <w:szCs w:val="20"/>
        </w:rPr>
        <w:t>dlouhodobě</w:t>
      </w:r>
      <w:r w:rsidR="000C5411" w:rsidRPr="000C5411">
        <w:rPr>
          <w:rFonts w:ascii="Arial" w:hAnsi="Arial" w:cs="Arial"/>
          <w:sz w:val="20"/>
          <w:szCs w:val="20"/>
        </w:rPr>
        <w:t xml:space="preserve"> ztrátové, za posledních 12 měsíců </w:t>
      </w:r>
      <w:r>
        <w:rPr>
          <w:rFonts w:ascii="Arial" w:hAnsi="Arial" w:cs="Arial"/>
          <w:sz w:val="20"/>
          <w:szCs w:val="20"/>
        </w:rPr>
        <w:t xml:space="preserve">odepisují </w:t>
      </w:r>
      <w:r w:rsidR="000C5411" w:rsidRPr="000C5411">
        <w:rPr>
          <w:rFonts w:ascii="Arial" w:hAnsi="Arial" w:cs="Arial"/>
          <w:sz w:val="20"/>
          <w:szCs w:val="20"/>
        </w:rPr>
        <w:t>-9,72 %</w:t>
      </w:r>
      <w:r>
        <w:rPr>
          <w:rFonts w:ascii="Arial" w:hAnsi="Arial" w:cs="Arial"/>
          <w:sz w:val="20"/>
          <w:szCs w:val="20"/>
        </w:rPr>
        <w:t>, přičemž jen od začátku letošního roku ztratily -6,96 %.</w:t>
      </w:r>
    </w:p>
    <w:p w14:paraId="0D279761" w14:textId="42E724D4" w:rsidR="00F967A1" w:rsidRDefault="00F967A1" w:rsidP="000C5411">
      <w:pPr>
        <w:jc w:val="both"/>
        <w:rPr>
          <w:rFonts w:ascii="Arial" w:hAnsi="Arial" w:cs="Arial"/>
          <w:sz w:val="20"/>
          <w:szCs w:val="20"/>
        </w:rPr>
      </w:pPr>
    </w:p>
    <w:p w14:paraId="387CA285" w14:textId="73F8E77F" w:rsidR="00F967A1" w:rsidRDefault="00F967A1" w:rsidP="000C541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Od začátku roku se nedaří ani fondům</w:t>
      </w:r>
      <w:r w:rsidR="00EB6810">
        <w:rPr>
          <w:rFonts w:ascii="Arial" w:hAnsi="Arial" w:cs="Arial"/>
          <w:sz w:val="20"/>
          <w:szCs w:val="20"/>
        </w:rPr>
        <w:t xml:space="preserve"> peněžního trhu</w:t>
      </w:r>
      <w:r>
        <w:rPr>
          <w:rFonts w:ascii="Arial" w:hAnsi="Arial" w:cs="Arial"/>
          <w:sz w:val="20"/>
          <w:szCs w:val="20"/>
        </w:rPr>
        <w:t>, které za tuto dobu odepsaly</w:t>
      </w:r>
      <w:r w:rsidR="00EB6810">
        <w:rPr>
          <w:rFonts w:ascii="Arial" w:hAnsi="Arial" w:cs="Arial"/>
          <w:sz w:val="20"/>
          <w:szCs w:val="20"/>
        </w:rPr>
        <w:t xml:space="preserve"> -2,45 %. Za měsíc březen pak zaznamenaly ztrátu -1,70 %. </w:t>
      </w:r>
      <w:r>
        <w:rPr>
          <w:rFonts w:ascii="Arial" w:hAnsi="Arial" w:cs="Arial"/>
          <w:sz w:val="20"/>
          <w:szCs w:val="20"/>
        </w:rPr>
        <w:t xml:space="preserve"> </w:t>
      </w:r>
    </w:p>
    <w:p w14:paraId="21ACB6C4" w14:textId="77777777" w:rsidR="000C5411" w:rsidRPr="000C5411" w:rsidRDefault="000C5411" w:rsidP="000C5411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10276" w:type="dxa"/>
        <w:tblInd w:w="1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40"/>
        <w:gridCol w:w="1527"/>
        <w:gridCol w:w="1527"/>
        <w:gridCol w:w="1527"/>
        <w:gridCol w:w="1527"/>
        <w:gridCol w:w="1528"/>
      </w:tblGrid>
      <w:tr w:rsidR="000C5411" w:rsidRPr="00D95E47" w14:paraId="5FB56A61" w14:textId="77777777" w:rsidTr="000C5411">
        <w:trPr>
          <w:trHeight w:val="475"/>
        </w:trPr>
        <w:tc>
          <w:tcPr>
            <w:tcW w:w="1027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0000"/>
            <w:vAlign w:val="center"/>
            <w:hideMark/>
          </w:tcPr>
          <w:p w14:paraId="75FF56E4" w14:textId="77777777" w:rsidR="000C5411" w:rsidRPr="00D95E47" w:rsidRDefault="000C5411" w:rsidP="00705F1A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D95E47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  <w:t>Broker Consulting Index podílových fondů</w:t>
            </w:r>
          </w:p>
        </w:tc>
      </w:tr>
      <w:tr w:rsidR="000C5411" w:rsidRPr="00D95E47" w14:paraId="3D6A2BD5" w14:textId="77777777" w:rsidTr="000C5411">
        <w:trPr>
          <w:trHeight w:val="280"/>
        </w:trPr>
        <w:tc>
          <w:tcPr>
            <w:tcW w:w="2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DBEE753" w14:textId="77777777" w:rsidR="000C5411" w:rsidRPr="00D95E47" w:rsidRDefault="000C5411" w:rsidP="00705F1A">
            <w:pP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D95E47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Typ fondu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FBD3E0F" w14:textId="77777777" w:rsidR="000C5411" w:rsidRPr="00D95E47" w:rsidRDefault="000C5411" w:rsidP="00705F1A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D95E47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1 měsíc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A02964D" w14:textId="1821AD35" w:rsidR="000C5411" w:rsidRPr="00D95E47" w:rsidRDefault="000C5411" w:rsidP="00705F1A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D95E47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YTD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0C541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t>od začátku roku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04CBB13" w14:textId="77777777" w:rsidR="000C5411" w:rsidRPr="00D95E47" w:rsidRDefault="000C5411" w:rsidP="00705F1A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D95E47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 xml:space="preserve">12 měsíců 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3AB19D19" w14:textId="77777777" w:rsidR="000C5411" w:rsidRPr="00D95E47" w:rsidRDefault="000C5411" w:rsidP="00705F1A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D95E47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 xml:space="preserve">36 měsíců 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AE48FB7" w14:textId="77777777" w:rsidR="000C5411" w:rsidRPr="00D95E47" w:rsidRDefault="000C5411" w:rsidP="00705F1A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D95E47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 xml:space="preserve">60 měsíců </w:t>
            </w:r>
          </w:p>
        </w:tc>
      </w:tr>
      <w:tr w:rsidR="000C5411" w:rsidRPr="00EB6810" w14:paraId="2F5198FA" w14:textId="77777777" w:rsidTr="000C5411">
        <w:trPr>
          <w:trHeight w:val="280"/>
        </w:trPr>
        <w:tc>
          <w:tcPr>
            <w:tcW w:w="2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2067BE" w14:textId="77777777" w:rsidR="000C5411" w:rsidRPr="00EB6810" w:rsidRDefault="000C5411" w:rsidP="00705F1A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B681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Akciové fondy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38A3F0" w14:textId="77777777" w:rsidR="000C5411" w:rsidRPr="00EB6810" w:rsidRDefault="000C5411" w:rsidP="00705F1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B681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1,85%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F605B4" w14:textId="77777777" w:rsidR="000C5411" w:rsidRPr="00EB6810" w:rsidRDefault="000C5411" w:rsidP="00705F1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B681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-0,85%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45AA39" w14:textId="77777777" w:rsidR="000C5411" w:rsidRPr="00EB6810" w:rsidRDefault="000C5411" w:rsidP="00705F1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B681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1,54%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A032C3" w14:textId="77777777" w:rsidR="000C5411" w:rsidRPr="00EB6810" w:rsidRDefault="000C5411" w:rsidP="00705F1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B681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24,51%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C82574" w14:textId="77777777" w:rsidR="000C5411" w:rsidRPr="00EB6810" w:rsidRDefault="000C5411" w:rsidP="00705F1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B681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32,03%</w:t>
            </w:r>
          </w:p>
        </w:tc>
      </w:tr>
      <w:tr w:rsidR="000C5411" w:rsidRPr="00EB6810" w14:paraId="572B78AD" w14:textId="77777777" w:rsidTr="000C5411">
        <w:trPr>
          <w:trHeight w:val="280"/>
        </w:trPr>
        <w:tc>
          <w:tcPr>
            <w:tcW w:w="2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666D62" w14:textId="77777777" w:rsidR="000C5411" w:rsidRPr="00EB6810" w:rsidRDefault="000C5411" w:rsidP="00705F1A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B681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Dluhopisové fondy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7F3C24" w14:textId="77777777" w:rsidR="000C5411" w:rsidRPr="00EB6810" w:rsidRDefault="000C5411" w:rsidP="00705F1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B681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-3,58%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330E5C" w14:textId="77777777" w:rsidR="000C5411" w:rsidRPr="00EB6810" w:rsidRDefault="000C5411" w:rsidP="00705F1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B681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-6,96%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BAE518" w14:textId="77777777" w:rsidR="000C5411" w:rsidRPr="00EB6810" w:rsidRDefault="000C5411" w:rsidP="00705F1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B681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-9,72%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F3A55A" w14:textId="77777777" w:rsidR="000C5411" w:rsidRPr="00EB6810" w:rsidRDefault="000C5411" w:rsidP="00705F1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B681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-9,30%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1B7385" w14:textId="77777777" w:rsidR="000C5411" w:rsidRPr="00EB6810" w:rsidRDefault="000C5411" w:rsidP="00705F1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B681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-13,48%</w:t>
            </w:r>
          </w:p>
        </w:tc>
      </w:tr>
      <w:tr w:rsidR="000C5411" w:rsidRPr="00EB6810" w14:paraId="77519EC1" w14:textId="77777777" w:rsidTr="000C5411">
        <w:trPr>
          <w:trHeight w:val="280"/>
        </w:trPr>
        <w:tc>
          <w:tcPr>
            <w:tcW w:w="2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C16A00" w14:textId="77777777" w:rsidR="000C5411" w:rsidRPr="00EB6810" w:rsidRDefault="000C5411" w:rsidP="00705F1A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B681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Fondy peněžního trhu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0C6415" w14:textId="77777777" w:rsidR="000C5411" w:rsidRPr="00EB6810" w:rsidRDefault="000C5411" w:rsidP="00705F1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B681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-1,70%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684A8E" w14:textId="77777777" w:rsidR="000C5411" w:rsidRPr="00EB6810" w:rsidRDefault="000C5411" w:rsidP="00705F1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B681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-2,45%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00E3A8" w14:textId="77777777" w:rsidR="000C5411" w:rsidRPr="00EB6810" w:rsidRDefault="000C5411" w:rsidP="00705F1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B681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0,12%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2A751B" w14:textId="77777777" w:rsidR="000C5411" w:rsidRPr="00EB6810" w:rsidRDefault="000C5411" w:rsidP="00705F1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B681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-2,61%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DB54D1" w14:textId="77777777" w:rsidR="000C5411" w:rsidRPr="00EB6810" w:rsidRDefault="000C5411" w:rsidP="00705F1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B681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-3,22%</w:t>
            </w:r>
          </w:p>
        </w:tc>
      </w:tr>
      <w:tr w:rsidR="000C5411" w:rsidRPr="00EB6810" w14:paraId="16D1FE48" w14:textId="77777777" w:rsidTr="000C5411">
        <w:trPr>
          <w:trHeight w:val="280"/>
        </w:trPr>
        <w:tc>
          <w:tcPr>
            <w:tcW w:w="2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44413C" w14:textId="77777777" w:rsidR="000C5411" w:rsidRPr="00EB6810" w:rsidRDefault="000C5411" w:rsidP="00705F1A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B681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Komoditní fondy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875CAA" w14:textId="77777777" w:rsidR="000C5411" w:rsidRPr="00EB6810" w:rsidRDefault="000C5411" w:rsidP="00705F1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B681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7,40%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FA8C46" w14:textId="77777777" w:rsidR="000C5411" w:rsidRPr="00EB6810" w:rsidRDefault="000C5411" w:rsidP="00705F1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B681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71,11%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E41AD9" w14:textId="77777777" w:rsidR="000C5411" w:rsidRPr="00EB6810" w:rsidRDefault="000C5411" w:rsidP="00705F1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B681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48,09%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E6B0E6" w14:textId="77777777" w:rsidR="000C5411" w:rsidRPr="00EB6810" w:rsidRDefault="000C5411" w:rsidP="00705F1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B681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52,71%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1D5EFE" w14:textId="77777777" w:rsidR="000C5411" w:rsidRPr="00EB6810" w:rsidRDefault="000C5411" w:rsidP="00705F1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B681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56,25%</w:t>
            </w:r>
          </w:p>
        </w:tc>
      </w:tr>
      <w:tr w:rsidR="000C5411" w:rsidRPr="00D95E47" w14:paraId="655818FA" w14:textId="77777777" w:rsidTr="000C5411">
        <w:trPr>
          <w:trHeight w:val="280"/>
        </w:trPr>
        <w:tc>
          <w:tcPr>
            <w:tcW w:w="2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14D8FD" w14:textId="77777777" w:rsidR="000C5411" w:rsidRPr="00EB6810" w:rsidRDefault="000C5411" w:rsidP="00705F1A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B681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Nemovitostní fondy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D52AAA" w14:textId="77777777" w:rsidR="000C5411" w:rsidRPr="00EB6810" w:rsidRDefault="000C5411" w:rsidP="00705F1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B681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0,72%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D2A3E8" w14:textId="77777777" w:rsidR="000C5411" w:rsidRPr="00EB6810" w:rsidRDefault="000C5411" w:rsidP="00705F1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B681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0,88%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E6E78D" w14:textId="77777777" w:rsidR="000C5411" w:rsidRPr="00EB6810" w:rsidRDefault="000C5411" w:rsidP="00705F1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B681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3,82%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4DF832" w14:textId="77777777" w:rsidR="000C5411" w:rsidRPr="00EB6810" w:rsidRDefault="000C5411" w:rsidP="00705F1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B681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11,56%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376631" w14:textId="77777777" w:rsidR="000C5411" w:rsidRPr="00D95E47" w:rsidRDefault="000C5411" w:rsidP="00705F1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B681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21,49%</w:t>
            </w:r>
          </w:p>
        </w:tc>
      </w:tr>
    </w:tbl>
    <w:p w14:paraId="32243568" w14:textId="77777777" w:rsidR="000C5411" w:rsidRDefault="000C5411" w:rsidP="0088046D">
      <w:pPr>
        <w:jc w:val="both"/>
        <w:rPr>
          <w:rFonts w:ascii="Arial" w:hAnsi="Arial" w:cs="Arial"/>
          <w:sz w:val="20"/>
          <w:szCs w:val="20"/>
        </w:rPr>
      </w:pPr>
    </w:p>
    <w:p w14:paraId="488A85B8" w14:textId="7B27F764" w:rsidR="00A23DCC" w:rsidRDefault="00A23DCC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618BBF76" w14:textId="2B6ED2B9" w:rsidR="00E6319B" w:rsidRPr="00D21E1C" w:rsidRDefault="00E6319B" w:rsidP="00A12A99">
      <w:pPr>
        <w:jc w:val="both"/>
        <w:rPr>
          <w:rFonts w:ascii="Arial" w:hAnsi="Arial" w:cs="Arial"/>
          <w:color w:val="1D1D1B"/>
          <w:w w:val="105"/>
          <w:sz w:val="20"/>
          <w:szCs w:val="20"/>
        </w:rPr>
      </w:pPr>
      <w:r w:rsidRPr="00957DEA">
        <w:rPr>
          <w:rFonts w:ascii="Arial" w:hAnsi="Arial" w:cs="Arial"/>
          <w:b/>
          <w:sz w:val="20"/>
          <w:szCs w:val="20"/>
        </w:rPr>
        <w:t>Poznámka pro média:</w:t>
      </w:r>
      <w:r w:rsidRPr="00957DEA">
        <w:rPr>
          <w:rFonts w:ascii="Arial" w:hAnsi="Arial" w:cs="Arial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Indexy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je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možné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volně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spacing w:val="2"/>
          <w:w w:val="105"/>
          <w:sz w:val="20"/>
          <w:szCs w:val="20"/>
        </w:rPr>
        <w:t>publikovat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pouze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s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označením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„Broker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Index“</w:t>
      </w:r>
      <w:r w:rsidR="00957DEA"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>(</w:t>
      </w:r>
      <w:r w:rsidR="00670237"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>např.</w:t>
      </w:r>
      <w:r w:rsidR="00957DEA"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hypoteční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="00D21E1C">
        <w:rPr>
          <w:rFonts w:ascii="Arial" w:hAnsi="Arial" w:cs="Arial"/>
          <w:color w:val="1D1D1B"/>
          <w:w w:val="105"/>
          <w:sz w:val="20"/>
          <w:szCs w:val="20"/>
        </w:rPr>
        <w:t xml:space="preserve">index).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 xml:space="preserve">Více informací najdete též na </w:t>
      </w:r>
      <w:r w:rsidR="00E32181">
        <w:rPr>
          <w:rFonts w:ascii="Arial" w:hAnsi="Arial" w:cs="Arial"/>
          <w:color w:val="1D1D1B"/>
          <w:w w:val="105"/>
          <w:sz w:val="20"/>
          <w:szCs w:val="20"/>
        </w:rPr>
        <w:t xml:space="preserve">stránkách </w:t>
      </w:r>
      <w:r w:rsidR="00E32181">
        <w:rPr>
          <w:rStyle w:val="Hypertextovodkaz"/>
          <w:rFonts w:ascii="Arial" w:hAnsi="Arial" w:cs="Arial"/>
          <w:w w:val="105"/>
          <w:sz w:val="20"/>
          <w:szCs w:val="20"/>
        </w:rPr>
        <w:t>www.bcas.cz/</w:t>
      </w:r>
      <w:proofErr w:type="spellStart"/>
      <w:r w:rsidR="00E32181">
        <w:rPr>
          <w:rStyle w:val="Hypertextovodkaz"/>
          <w:rFonts w:ascii="Arial" w:hAnsi="Arial" w:cs="Arial"/>
          <w:w w:val="105"/>
          <w:sz w:val="20"/>
          <w:szCs w:val="20"/>
        </w:rPr>
        <w:t>onas</w:t>
      </w:r>
      <w:proofErr w:type="spellEnd"/>
      <w:r w:rsidR="00E32181">
        <w:rPr>
          <w:rStyle w:val="Hypertextovodkaz"/>
          <w:rFonts w:ascii="Arial" w:hAnsi="Arial" w:cs="Arial"/>
          <w:w w:val="105"/>
          <w:sz w:val="20"/>
          <w:szCs w:val="20"/>
        </w:rPr>
        <w:t>/pro-media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.</w:t>
      </w:r>
      <w:r w:rsidRPr="00957DEA">
        <w:rPr>
          <w:rFonts w:ascii="Arial" w:hAnsi="Arial" w:cs="Arial"/>
          <w:i/>
          <w:color w:val="1D1D1B"/>
          <w:w w:val="105"/>
          <w:sz w:val="20"/>
          <w:szCs w:val="20"/>
        </w:rPr>
        <w:t xml:space="preserve"> </w:t>
      </w:r>
    </w:p>
    <w:p w14:paraId="2613E4D1" w14:textId="73E088E9" w:rsidR="00A13346" w:rsidRDefault="00A13346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7C39FA25" w14:textId="77777777" w:rsidR="00833ECF" w:rsidRDefault="00833ECF" w:rsidP="00265810">
      <w:pPr>
        <w:jc w:val="both"/>
        <w:rPr>
          <w:rFonts w:ascii="Arial" w:eastAsia="Times New Roman" w:hAnsi="Arial" w:cs="Arial"/>
          <w:b/>
          <w:sz w:val="20"/>
          <w:szCs w:val="20"/>
        </w:rPr>
      </w:pPr>
    </w:p>
    <w:p w14:paraId="61C7488E" w14:textId="66844AE4" w:rsidR="00265810" w:rsidRDefault="00265810" w:rsidP="00265810">
      <w:pPr>
        <w:jc w:val="both"/>
        <w:rPr>
          <w:rFonts w:ascii="Arial" w:eastAsia="Times New Roman" w:hAnsi="Arial" w:cs="Arial"/>
          <w:sz w:val="20"/>
          <w:szCs w:val="20"/>
        </w:rPr>
      </w:pPr>
      <w:r w:rsidRPr="00265810">
        <w:rPr>
          <w:rFonts w:ascii="Arial" w:eastAsia="Times New Roman" w:hAnsi="Arial" w:cs="Arial"/>
          <w:b/>
          <w:sz w:val="20"/>
          <w:szCs w:val="20"/>
        </w:rPr>
        <w:t>Index podílových fondů</w:t>
      </w:r>
      <w:r>
        <w:rPr>
          <w:rFonts w:ascii="Arial" w:eastAsia="Times New Roman" w:hAnsi="Arial" w:cs="Arial"/>
          <w:sz w:val="20"/>
          <w:szCs w:val="20"/>
        </w:rPr>
        <w:t xml:space="preserve"> reprezentuje portfolio převážně českého inves</w:t>
      </w:r>
      <w:r w:rsidR="00E32181">
        <w:rPr>
          <w:rFonts w:ascii="Arial" w:eastAsia="Times New Roman" w:hAnsi="Arial" w:cs="Arial"/>
          <w:sz w:val="20"/>
          <w:szCs w:val="20"/>
        </w:rPr>
        <w:t xml:space="preserve">tora. U akciových fondů </w:t>
      </w:r>
      <w:r w:rsidR="0071058C">
        <w:rPr>
          <w:rFonts w:ascii="Arial" w:eastAsia="Times New Roman" w:hAnsi="Arial" w:cs="Arial"/>
          <w:sz w:val="20"/>
          <w:szCs w:val="20"/>
        </w:rPr>
        <w:t xml:space="preserve">nebere </w:t>
      </w:r>
      <w:r w:rsidR="0071058C" w:rsidRPr="0071058C">
        <w:rPr>
          <w:rFonts w:ascii="Arial" w:eastAsia="Times New Roman" w:hAnsi="Arial" w:cs="Arial"/>
          <w:sz w:val="20"/>
          <w:szCs w:val="20"/>
        </w:rPr>
        <w:t>v potaz úzké regionální či sektorové zaměření</w:t>
      </w:r>
      <w:r w:rsidR="0071058C">
        <w:rPr>
          <w:rFonts w:ascii="Arial" w:eastAsia="Times New Roman" w:hAnsi="Arial" w:cs="Arial"/>
          <w:sz w:val="20"/>
          <w:szCs w:val="20"/>
        </w:rPr>
        <w:t>, ale</w:t>
      </w:r>
      <w:r w:rsidR="00E32181">
        <w:rPr>
          <w:rFonts w:ascii="Arial" w:eastAsia="Times New Roman" w:hAnsi="Arial" w:cs="Arial"/>
          <w:sz w:val="20"/>
          <w:szCs w:val="20"/>
        </w:rPr>
        <w:t xml:space="preserve"> zaměřuje</w:t>
      </w:r>
      <w:r>
        <w:rPr>
          <w:rFonts w:ascii="Arial" w:eastAsia="Times New Roman" w:hAnsi="Arial" w:cs="Arial"/>
          <w:sz w:val="20"/>
          <w:szCs w:val="20"/>
        </w:rPr>
        <w:t xml:space="preserve"> se na globální akciový trh. Složení fondů v akciovém indexu reflektuje portfolio běžného českého investora investujícího do akciových fondů. Podobné je to také u komoditních fondů, kde index reflektuje výkonnost fondů investujících převážně do tradičních komodi</w:t>
      </w:r>
      <w:r w:rsidR="00E32181">
        <w:rPr>
          <w:rFonts w:ascii="Arial" w:eastAsia="Times New Roman" w:hAnsi="Arial" w:cs="Arial"/>
          <w:sz w:val="20"/>
          <w:szCs w:val="20"/>
        </w:rPr>
        <w:t>t. U dluhopisových fondů klade index</w:t>
      </w:r>
      <w:r>
        <w:rPr>
          <w:rFonts w:ascii="Arial" w:eastAsia="Times New Roman" w:hAnsi="Arial" w:cs="Arial"/>
          <w:sz w:val="20"/>
          <w:szCs w:val="20"/>
        </w:rPr>
        <w:t xml:space="preserve"> větší důraz na české a evropské dluhopisové fondy</w:t>
      </w:r>
      <w:r w:rsidR="00E32181">
        <w:rPr>
          <w:rFonts w:ascii="Arial" w:eastAsia="Times New Roman" w:hAnsi="Arial" w:cs="Arial"/>
          <w:sz w:val="20"/>
          <w:szCs w:val="20"/>
        </w:rPr>
        <w:t>, ale ve výkonnosti zohledňuje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="00E32181">
        <w:rPr>
          <w:rFonts w:ascii="Arial" w:eastAsia="Times New Roman" w:hAnsi="Arial" w:cs="Arial"/>
          <w:sz w:val="20"/>
          <w:szCs w:val="20"/>
        </w:rPr>
        <w:t xml:space="preserve">i dluhopisové fondy investující </w:t>
      </w:r>
      <w:r>
        <w:rPr>
          <w:rFonts w:ascii="Arial" w:eastAsia="Times New Roman" w:hAnsi="Arial" w:cs="Arial"/>
          <w:sz w:val="20"/>
          <w:szCs w:val="20"/>
        </w:rPr>
        <w:t>do státních dluhopisů různých ekonomik a také dluhopisové fondy zaměřující na rizikovější dluhopisy, ale již s menší v</w:t>
      </w:r>
      <w:r w:rsidR="00E32181">
        <w:rPr>
          <w:rFonts w:ascii="Arial" w:eastAsia="Times New Roman" w:hAnsi="Arial" w:cs="Arial"/>
          <w:sz w:val="20"/>
          <w:szCs w:val="20"/>
        </w:rPr>
        <w:t>a</w:t>
      </w:r>
      <w:r>
        <w:rPr>
          <w:rFonts w:ascii="Arial" w:eastAsia="Times New Roman" w:hAnsi="Arial" w:cs="Arial"/>
          <w:sz w:val="20"/>
          <w:szCs w:val="20"/>
        </w:rPr>
        <w:t xml:space="preserve">hou. U peněžních fondů </w:t>
      </w:r>
      <w:r w:rsidR="00E32181">
        <w:rPr>
          <w:rFonts w:ascii="Arial" w:eastAsia="Times New Roman" w:hAnsi="Arial" w:cs="Arial"/>
          <w:sz w:val="20"/>
          <w:szCs w:val="20"/>
        </w:rPr>
        <w:t>a nemovitostních fondů je sledována</w:t>
      </w:r>
      <w:r>
        <w:rPr>
          <w:rFonts w:ascii="Arial" w:eastAsia="Times New Roman" w:hAnsi="Arial" w:cs="Arial"/>
          <w:sz w:val="20"/>
          <w:szCs w:val="20"/>
        </w:rPr>
        <w:t xml:space="preserve"> pouze výkonnost českých podílových fondů.</w:t>
      </w:r>
    </w:p>
    <w:p w14:paraId="7CEC62BD" w14:textId="5F5C84A3" w:rsidR="00265810" w:rsidRDefault="00265810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64BF3F06" w14:textId="2006EBEB" w:rsidR="003805E6" w:rsidRPr="00957DEA" w:rsidRDefault="003805E6" w:rsidP="00A12A99">
      <w:pPr>
        <w:jc w:val="both"/>
        <w:rPr>
          <w:rFonts w:ascii="Arial" w:hAnsi="Arial" w:cs="Arial"/>
          <w:sz w:val="20"/>
          <w:szCs w:val="20"/>
        </w:rPr>
      </w:pPr>
      <w:r w:rsidRPr="00957DEA">
        <w:rPr>
          <w:rFonts w:ascii="Arial" w:hAnsi="Arial" w:cs="Arial"/>
          <w:b/>
          <w:sz w:val="20"/>
          <w:szCs w:val="20"/>
        </w:rPr>
        <w:t>Proč je dobré</w:t>
      </w:r>
      <w:r w:rsidR="00355B3D">
        <w:rPr>
          <w:rFonts w:ascii="Arial" w:hAnsi="Arial" w:cs="Arial"/>
          <w:b/>
          <w:sz w:val="20"/>
          <w:szCs w:val="20"/>
        </w:rPr>
        <w:t xml:space="preserve"> tento </w:t>
      </w:r>
      <w:r w:rsidRPr="00957DEA">
        <w:rPr>
          <w:rFonts w:ascii="Arial" w:hAnsi="Arial" w:cs="Arial"/>
          <w:b/>
          <w:sz w:val="20"/>
          <w:szCs w:val="20"/>
        </w:rPr>
        <w:t xml:space="preserve">index sledovat: </w:t>
      </w:r>
      <w:r w:rsidRPr="00957DEA">
        <w:rPr>
          <w:rFonts w:ascii="Arial" w:hAnsi="Arial" w:cs="Arial"/>
          <w:sz w:val="20"/>
          <w:szCs w:val="20"/>
        </w:rPr>
        <w:t xml:space="preserve">Čeští investoři mají v podílových fondech zainvestován majetek ve výši zhruba 557 miliard korun. Fondy jsou velmi využívanou platformou pro dlouhodobé investování, zejména při vytváření rezerv pro období </w:t>
      </w:r>
      <w:proofErr w:type="spellStart"/>
      <w:r w:rsidRPr="00957DEA">
        <w:rPr>
          <w:rFonts w:ascii="Arial" w:hAnsi="Arial" w:cs="Arial"/>
          <w:sz w:val="20"/>
          <w:szCs w:val="20"/>
        </w:rPr>
        <w:t>postaktivního</w:t>
      </w:r>
      <w:proofErr w:type="spellEnd"/>
      <w:r w:rsidRPr="00957DEA">
        <w:rPr>
          <w:rFonts w:ascii="Arial" w:hAnsi="Arial" w:cs="Arial"/>
          <w:sz w:val="20"/>
          <w:szCs w:val="20"/>
        </w:rPr>
        <w:t xml:space="preserve"> věku (60+). Index ukazuje, jak se vede fondům dle jednotlivých tříd investičních aktiv. Investoři si mohou mimo jiné srovnávat,  jak si jimi vybrané fondy vedou v porovnání s průměrem trhu.</w:t>
      </w:r>
    </w:p>
    <w:p w14:paraId="3C780D18" w14:textId="5825F29D" w:rsidR="00D60D98" w:rsidRDefault="00D60D98" w:rsidP="00A12A99">
      <w:pPr>
        <w:jc w:val="both"/>
        <w:rPr>
          <w:sz w:val="20"/>
        </w:rPr>
      </w:pPr>
    </w:p>
    <w:p w14:paraId="42D95A89" w14:textId="77777777" w:rsidR="00D60D98" w:rsidRDefault="00D60D98" w:rsidP="00A12A99">
      <w:pPr>
        <w:jc w:val="both"/>
        <w:rPr>
          <w:sz w:val="20"/>
        </w:rPr>
      </w:pPr>
    </w:p>
    <w:p w14:paraId="30A655D4" w14:textId="253E2C1A" w:rsidR="00D60D98" w:rsidRDefault="00D60D98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5D2E985E" w14:textId="77777777" w:rsidR="00957DEA" w:rsidRPr="00D60D98" w:rsidRDefault="00957DEA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7C1907C0" w14:textId="77777777" w:rsidR="00D60D98" w:rsidRDefault="00D60D98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  <w:r w:rsidRPr="00D60D98">
        <w:rPr>
          <w:rFonts w:ascii="Arial" w:eastAsia="Calibri" w:hAnsi="Arial" w:cs="Arial"/>
          <w:b/>
          <w:bCs/>
          <w:noProof/>
          <w:sz w:val="20"/>
          <w:szCs w:val="20"/>
        </w:rPr>
        <w:t>Kontakt pro média:</w:t>
      </w:r>
    </w:p>
    <w:p w14:paraId="259AB6B0" w14:textId="6E4F87C8" w:rsidR="00D60D98" w:rsidRPr="00957DEA" w:rsidRDefault="00D60D98" w:rsidP="00A12A99">
      <w:pPr>
        <w:jc w:val="both"/>
        <w:rPr>
          <w:rFonts w:ascii="Arial" w:eastAsia="Calibri" w:hAnsi="Arial" w:cs="Arial"/>
          <w:bCs/>
          <w:noProof/>
          <w:sz w:val="20"/>
          <w:szCs w:val="20"/>
          <w:lang w:bidi="ar-SA"/>
        </w:rPr>
      </w:pPr>
      <w:r w:rsidRPr="00957DEA">
        <w:rPr>
          <w:sz w:val="20"/>
        </w:rPr>
        <w:br/>
      </w:r>
      <w:r w:rsidRPr="00957DEA">
        <w:rPr>
          <w:rFonts w:ascii="Arial" w:eastAsia="Calibri" w:hAnsi="Arial" w:cs="Arial"/>
          <w:bCs/>
          <w:noProof/>
          <w:sz w:val="20"/>
          <w:szCs w:val="20"/>
        </w:rPr>
        <w:t>Tereza Kunová</w:t>
      </w:r>
      <w:bookmarkStart w:id="0" w:name="_GoBack"/>
      <w:bookmarkEnd w:id="0"/>
    </w:p>
    <w:p w14:paraId="25594E3F" w14:textId="18C1D62A" w:rsidR="00E05804" w:rsidRDefault="00E744BC" w:rsidP="00E32181">
      <w:pPr>
        <w:pStyle w:val="Bezmezer"/>
        <w:rPr>
          <w:rFonts w:ascii="Arial" w:eastAsia="Calibri" w:hAnsi="Arial" w:cs="Arial"/>
          <w:bCs/>
          <w:noProof/>
          <w:sz w:val="20"/>
          <w:szCs w:val="20"/>
        </w:rPr>
      </w:pPr>
      <w:r>
        <w:rPr>
          <w:rFonts w:ascii="Arial" w:eastAsia="Calibri" w:hAnsi="Arial" w:cs="Arial"/>
          <w:noProof/>
          <w:sz w:val="20"/>
          <w:szCs w:val="20"/>
        </w:rPr>
        <w:t>s</w:t>
      </w:r>
      <w:r w:rsidR="00D60D98" w:rsidRPr="00957DEA">
        <w:rPr>
          <w:rFonts w:ascii="Arial" w:eastAsia="Calibri" w:hAnsi="Arial" w:cs="Arial"/>
          <w:noProof/>
          <w:sz w:val="20"/>
          <w:szCs w:val="20"/>
        </w:rPr>
        <w:t xml:space="preserve">pecialistka PR a </w:t>
      </w:r>
      <w:r w:rsidR="00D60D98" w:rsidRPr="00E32181">
        <w:rPr>
          <w:rFonts w:ascii="Arial" w:eastAsia="Calibri" w:hAnsi="Arial" w:cs="Arial"/>
          <w:bCs/>
          <w:noProof/>
          <w:sz w:val="20"/>
          <w:szCs w:val="20"/>
        </w:rPr>
        <w:t>externí komunikace</w:t>
      </w:r>
    </w:p>
    <w:p w14:paraId="55796197" w14:textId="78D27FE1" w:rsidR="00E32181" w:rsidRPr="00E05804" w:rsidRDefault="00E744BC" w:rsidP="00E32181">
      <w:pPr>
        <w:pStyle w:val="Bezmezer"/>
        <w:rPr>
          <w:rFonts w:ascii="Arial" w:eastAsia="Calibri" w:hAnsi="Arial" w:cs="Arial"/>
          <w:bCs/>
          <w:noProof/>
          <w:sz w:val="20"/>
          <w:szCs w:val="20"/>
        </w:rPr>
      </w:pPr>
      <w:r>
        <w:rPr>
          <w:rFonts w:ascii="Arial" w:eastAsia="Calibri" w:hAnsi="Arial" w:cs="Arial"/>
          <w:bCs/>
          <w:noProof/>
          <w:sz w:val="20"/>
          <w:szCs w:val="20"/>
        </w:rPr>
        <w:t>m</w:t>
      </w:r>
      <w:r w:rsidR="008D397B" w:rsidRPr="00E32181">
        <w:rPr>
          <w:rFonts w:ascii="Arial" w:eastAsia="Calibri" w:hAnsi="Arial" w:cs="Arial"/>
          <w:bCs/>
          <w:noProof/>
          <w:sz w:val="20"/>
          <w:szCs w:val="20"/>
        </w:rPr>
        <w:t>obil: +420</w:t>
      </w:r>
      <w:r w:rsidR="008D397B" w:rsidRPr="00E32181">
        <w:rPr>
          <w:rFonts w:ascii="Arial" w:eastAsia="Calibri" w:hAnsi="Arial" w:cs="Arial"/>
          <w:noProof/>
          <w:sz w:val="20"/>
          <w:szCs w:val="20"/>
        </w:rPr>
        <w:t> 731 537</w:t>
      </w:r>
      <w:r w:rsidR="00E32181">
        <w:rPr>
          <w:rFonts w:ascii="Arial" w:eastAsia="Calibri" w:hAnsi="Arial" w:cs="Arial"/>
          <w:noProof/>
          <w:sz w:val="20"/>
          <w:szCs w:val="20"/>
        </w:rPr>
        <w:t> </w:t>
      </w:r>
      <w:r w:rsidR="008D397B" w:rsidRPr="00E32181">
        <w:rPr>
          <w:rFonts w:ascii="Arial" w:eastAsia="Calibri" w:hAnsi="Arial" w:cs="Arial"/>
          <w:noProof/>
          <w:sz w:val="20"/>
          <w:szCs w:val="20"/>
        </w:rPr>
        <w:t>716</w:t>
      </w:r>
    </w:p>
    <w:p w14:paraId="7F1C61B2" w14:textId="6E1D3B29" w:rsidR="008D397B" w:rsidRPr="00E32181" w:rsidRDefault="00E744BC" w:rsidP="00E32181">
      <w:pPr>
        <w:pStyle w:val="Bezmezer"/>
        <w:rPr>
          <w:rFonts w:ascii="Arial" w:eastAsia="Calibri" w:hAnsi="Arial" w:cs="Arial"/>
          <w:bCs/>
          <w:noProof/>
          <w:sz w:val="20"/>
          <w:szCs w:val="20"/>
        </w:rPr>
      </w:pPr>
      <w:r>
        <w:rPr>
          <w:rFonts w:ascii="Arial" w:eastAsia="Calibri" w:hAnsi="Arial" w:cs="Arial"/>
          <w:noProof/>
          <w:sz w:val="20"/>
          <w:szCs w:val="20"/>
        </w:rPr>
        <w:t>e</w:t>
      </w:r>
      <w:r w:rsidR="008D397B" w:rsidRPr="00E32181">
        <w:rPr>
          <w:rFonts w:ascii="Arial" w:eastAsia="Calibri" w:hAnsi="Arial" w:cs="Arial"/>
          <w:noProof/>
          <w:sz w:val="20"/>
          <w:szCs w:val="20"/>
        </w:rPr>
        <w:t xml:space="preserve">-mail: </w:t>
      </w:r>
      <w:hyperlink r:id="rId25" w:history="1">
        <w:r w:rsidR="008D397B" w:rsidRPr="00E32181">
          <w:rPr>
            <w:rStyle w:val="Hypertextovodkaz"/>
            <w:rFonts w:ascii="Arial" w:eastAsia="Calibri" w:hAnsi="Arial" w:cs="Arial"/>
            <w:noProof/>
            <w:sz w:val="20"/>
            <w:szCs w:val="20"/>
          </w:rPr>
          <w:t>tereza.kunova@bcas.cz</w:t>
        </w:r>
      </w:hyperlink>
      <w:r w:rsidR="008D397B" w:rsidRPr="00E32181">
        <w:rPr>
          <w:rFonts w:ascii="Arial" w:eastAsia="Calibri" w:hAnsi="Arial" w:cs="Arial"/>
          <w:noProof/>
          <w:sz w:val="20"/>
          <w:szCs w:val="20"/>
        </w:rPr>
        <w:t xml:space="preserve"> </w:t>
      </w:r>
    </w:p>
    <w:p w14:paraId="025F1B2F" w14:textId="5313D60C" w:rsidR="00D60D98" w:rsidRPr="009F59EE" w:rsidRDefault="00D60D98" w:rsidP="00A12A99">
      <w:pPr>
        <w:jc w:val="both"/>
        <w:rPr>
          <w:sz w:val="20"/>
        </w:rPr>
      </w:pPr>
    </w:p>
    <w:sectPr w:rsidR="00D60D98" w:rsidRPr="009F59EE" w:rsidSect="001675AF">
      <w:type w:val="continuous"/>
      <w:pgSz w:w="11910" w:h="16840"/>
      <w:pgMar w:top="960" w:right="740" w:bottom="2127" w:left="720" w:header="708" w:footer="1136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0AB8C1" w14:textId="77777777" w:rsidR="008F36F5" w:rsidRDefault="008F36F5">
      <w:r>
        <w:separator/>
      </w:r>
    </w:p>
  </w:endnote>
  <w:endnote w:type="continuationSeparator" w:id="0">
    <w:p w14:paraId="7312AB83" w14:textId="77777777" w:rsidR="008F36F5" w:rsidRDefault="008F3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015TEELig">
    <w:altName w:val="Times New Roman"/>
    <w:charset w:val="EE"/>
    <w:family w:val="auto"/>
    <w:pitch w:val="variable"/>
    <w:sig w:usb0="00000001" w:usb1="00002048" w:usb2="00000000" w:usb3="00000000" w:csb0="00000083" w:csb1="00000000"/>
  </w:font>
  <w:font w:name="F015TEEMed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E9966" w14:textId="77777777" w:rsidR="00D80B6D" w:rsidRDefault="00D80B6D">
    <w:pPr>
      <w:pStyle w:val="Zpa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1D50D1F" wp14:editId="456544FD">
              <wp:simplePos x="0" y="0"/>
              <wp:positionH relativeFrom="margin">
                <wp:align>right</wp:align>
              </wp:positionH>
              <wp:positionV relativeFrom="page">
                <wp:posOffset>10411460</wp:posOffset>
              </wp:positionV>
              <wp:extent cx="1507490" cy="193040"/>
              <wp:effectExtent l="0" t="0" r="16510" b="16510"/>
              <wp:wrapNone/>
              <wp:docPr id="1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74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FC45A8" w14:textId="16B40CAC" w:rsidR="00D80B6D" w:rsidRPr="00081616" w:rsidRDefault="008F36F5" w:rsidP="00081616">
                          <w:pPr>
                            <w:pStyle w:val="Zkladntext"/>
                            <w:spacing w:before="16"/>
                            <w:ind w:left="20"/>
                            <w:jc w:val="righ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hyperlink r:id="rId1" w:history="1">
                            <w:r w:rsidR="00081616" w:rsidRPr="00081616">
                              <w:rPr>
                                <w:rStyle w:val="Hypertextovodkaz"/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u w:val="none"/>
                              </w:rPr>
                              <w:t>www.realityspolu.cz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D50D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5pt;margin-top:819.8pt;width:118.7pt;height:15.2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" filled="f" stroked="f">
              <v:textbox inset="0,0,0,0">
                <w:txbxContent>
                  <w:p w14:paraId="38FC45A8" w14:textId="16B40CAC" w:rsidR="00D80B6D" w:rsidRPr="00081616" w:rsidRDefault="001A613B" w:rsidP="00081616">
                    <w:pPr>
                      <w:pStyle w:val="Zkladntext"/>
                      <w:spacing w:before="16"/>
                      <w:ind w:left="20"/>
                      <w:jc w:val="right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</w:rPr>
                    </w:pPr>
                    <w:hyperlink r:id="rId2" w:history="1">
                      <w:r w:rsidR="00081616" w:rsidRPr="00081616">
                        <w:rPr>
                          <w:rStyle w:val="Hypertextovodkaz"/>
                          <w:rFonts w:ascii="Arial" w:hAnsi="Arial" w:cs="Arial"/>
                          <w:b/>
                          <w:color w:val="FFFFFF" w:themeColor="background1"/>
                          <w:sz w:val="20"/>
                          <w:u w:val="none"/>
                        </w:rPr>
                        <w:t>www.realityspolu.cz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91478DF" wp14:editId="016DF07C">
              <wp:simplePos x="0" y="0"/>
              <wp:positionH relativeFrom="margin">
                <wp:align>center</wp:align>
              </wp:positionH>
              <wp:positionV relativeFrom="page">
                <wp:posOffset>10408920</wp:posOffset>
              </wp:positionV>
              <wp:extent cx="1105535" cy="193040"/>
              <wp:effectExtent l="0" t="0" r="18415" b="16510"/>
              <wp:wrapNone/>
              <wp:docPr id="1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61A37" w14:textId="77777777" w:rsidR="00D80B6D" w:rsidRPr="00E95698" w:rsidRDefault="008F36F5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3">
                            <w:r w:rsidR="00D80B6D" w:rsidRPr="00E9569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www.okpointy.cz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478DF" id="Text Box 2" o:spid="_x0000_s1027" type="#_x0000_t202" style="position:absolute;margin-left:0;margin-top:819.6pt;width:87.05pt;height:15.2pt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NAsgIAALI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" filled="f" stroked="f">
              <v:textbox inset="0,0,0,0">
                <w:txbxContent>
                  <w:p w14:paraId="11E61A37" w14:textId="77777777" w:rsidR="00D80B6D" w:rsidRPr="00E95698" w:rsidRDefault="001A613B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4">
                      <w:r w:rsidR="00D80B6D" w:rsidRPr="00E9569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www.okpointy.cz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1AF86FB" wp14:editId="75DA4564">
              <wp:simplePos x="0" y="0"/>
              <wp:positionH relativeFrom="margin">
                <wp:align>left</wp:align>
              </wp:positionH>
              <wp:positionV relativeFrom="page">
                <wp:posOffset>10408920</wp:posOffset>
              </wp:positionV>
              <wp:extent cx="833755" cy="193040"/>
              <wp:effectExtent l="0" t="0" r="4445" b="16510"/>
              <wp:wrapNone/>
              <wp:docPr id="1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75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644D1" w14:textId="77777777" w:rsidR="00D80B6D" w:rsidRPr="00943B58" w:rsidRDefault="008F36F5" w:rsidP="00943B5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5">
                            <w:r w:rsidR="00D80B6D" w:rsidRPr="00943B5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www.bcas.cz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AF86FB" id="Text Box 3" o:spid="_x0000_s1028" type="#_x0000_t202" style="position:absolute;margin-left:0;margin-top:819.6pt;width:65.65pt;height:15.2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+a5swIAALE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" filled="f" stroked="f">
              <v:textbox inset="0,0,0,0">
                <w:txbxContent>
                  <w:p w14:paraId="663644D1" w14:textId="77777777" w:rsidR="00D80B6D" w:rsidRPr="00943B58" w:rsidRDefault="001A613B" w:rsidP="00943B5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6">
                      <w:r w:rsidR="00D80B6D" w:rsidRPr="00943B5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www.bcas.cz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1A4FC99" wp14:editId="417B4962">
              <wp:simplePos x="0" y="0"/>
              <wp:positionH relativeFrom="page">
                <wp:align>left</wp:align>
              </wp:positionH>
              <wp:positionV relativeFrom="page">
                <wp:posOffset>10349230</wp:posOffset>
              </wp:positionV>
              <wp:extent cx="7560310" cy="319405"/>
              <wp:effectExtent l="0" t="0" r="2540" b="4445"/>
              <wp:wrapNone/>
              <wp:docPr id="2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19405"/>
                      </a:xfrm>
                      <a:prstGeom prst="rect">
                        <a:avLst/>
                      </a:prstGeom>
                      <a:solidFill>
                        <a:srgbClr val="CD171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6853E3" id="Rectangle 4" o:spid="_x0000_s1026" style="position:absolute;margin-left:0;margin-top:814.9pt;width:595.3pt;height:25.15pt;z-index:-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" fillcolor="#cd1719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A20D6" w14:textId="77777777" w:rsidR="00D80B6D" w:rsidRDefault="00D80B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4C53E" w14:textId="0E45F0AC" w:rsidR="00D31127" w:rsidRPr="001675AF" w:rsidRDefault="00D31127" w:rsidP="001675AF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36B16" w14:textId="77777777" w:rsidR="00D80B6D" w:rsidRDefault="00D80B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825088" w14:textId="77777777" w:rsidR="008F36F5" w:rsidRDefault="008F36F5">
      <w:r>
        <w:separator/>
      </w:r>
    </w:p>
  </w:footnote>
  <w:footnote w:type="continuationSeparator" w:id="0">
    <w:p w14:paraId="2A5A37EF" w14:textId="77777777" w:rsidR="008F36F5" w:rsidRDefault="008F36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04A61" w14:textId="77777777" w:rsidR="00D80B6D" w:rsidRPr="00E95698" w:rsidRDefault="00D80B6D" w:rsidP="00E95698">
    <w:pPr>
      <w:tabs>
        <w:tab w:val="left" w:pos="8633"/>
      </w:tabs>
      <w:spacing w:before="80"/>
      <w:ind w:firstLine="2880"/>
      <w:rPr>
        <w:rFonts w:ascii="Arial" w:hAnsi="Arial" w:cs="Arial"/>
        <w:sz w:val="52"/>
      </w:rPr>
    </w:pPr>
    <w:r w:rsidRPr="00E95698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DCED20" wp14:editId="6981B8FE">
              <wp:simplePos x="0" y="0"/>
              <wp:positionH relativeFrom="page">
                <wp:posOffset>1962785</wp:posOffset>
              </wp:positionH>
              <wp:positionV relativeFrom="paragraph">
                <wp:posOffset>42545</wp:posOffset>
              </wp:positionV>
              <wp:extent cx="0" cy="450850"/>
              <wp:effectExtent l="8255" t="12065" r="10795" b="13335"/>
              <wp:wrapNone/>
              <wp:docPr id="112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AC1C4D" id="Line 8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55pt,3.35pt" to="154.5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" strokecolor="#cd1719" strokeweight="1pt">
              <w10:wrap anchorx="page"/>
            </v:line>
          </w:pict>
        </mc:Fallback>
      </mc:AlternateContent>
    </w:r>
    <w:r w:rsidRPr="00E95698">
      <w:rPr>
        <w:noProof/>
        <w:sz w:val="20"/>
        <w:lang w:bidi="ar-SA"/>
      </w:rPr>
      <w:drawing>
        <wp:anchor distT="0" distB="0" distL="0" distR="0" simplePos="0" relativeHeight="251659264" behindDoc="0" locked="0" layoutInCell="1" allowOverlap="1" wp14:anchorId="30A2D658" wp14:editId="7205C149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200150" cy="450850"/>
          <wp:effectExtent l="0" t="0" r="0" b="6350"/>
          <wp:wrapNone/>
          <wp:docPr id="2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95698">
      <w:rPr>
        <w:rFonts w:ascii="Arial" w:hAnsi="Arial" w:cs="Arial"/>
        <w:color w:val="1D1D1B"/>
        <w:sz w:val="48"/>
      </w:rPr>
      <w:t xml:space="preserve">BROKER CONSULTING </w:t>
    </w:r>
    <w:r w:rsidRPr="00E95698">
      <w:rPr>
        <w:rFonts w:ascii="Arial" w:hAnsi="Arial" w:cs="Arial"/>
        <w:color w:val="CD1719"/>
        <w:sz w:val="52"/>
      </w:rPr>
      <w:t>INDEX</w:t>
    </w:r>
  </w:p>
  <w:p w14:paraId="2B920E62" w14:textId="77777777" w:rsidR="00D80B6D" w:rsidRDefault="00D80B6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39CAA" w14:textId="77777777" w:rsidR="00D80B6D" w:rsidRDefault="00D80B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68EBE" w14:textId="080E7B52" w:rsidR="00B65A3B" w:rsidRDefault="00B65A3B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51072" behindDoc="0" locked="0" layoutInCell="1" allowOverlap="1" wp14:anchorId="31BAF93D" wp14:editId="6CF85B52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FEE69E" w14:textId="77777777" w:rsidR="00B65A3B" w:rsidRPr="00B65A3B" w:rsidRDefault="00B65A3B" w:rsidP="00B65A3B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ED4418B" wp14:editId="7FE32292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11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D45A71" id="Line 3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49024" behindDoc="0" locked="0" layoutInCell="1" allowOverlap="1" wp14:anchorId="47B23A44" wp14:editId="1B722D07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2AE1FBD7" w14:textId="2E9D9ACF" w:rsidR="00B65A3B" w:rsidRDefault="009F2CEE" w:rsidP="009F2CEE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>
      <w:rPr>
        <w:rFonts w:ascii="Arial" w:hAnsi="Arial" w:cs="Arial"/>
        <w:color w:val="E52713"/>
        <w:sz w:val="28"/>
        <w:szCs w:val="28"/>
      </w:rPr>
      <w:t>PODÍLOVÝCH FONDŮ</w:t>
    </w:r>
  </w:p>
  <w:p w14:paraId="6F48BC81" w14:textId="77777777" w:rsidR="00A02308" w:rsidRPr="00B65A3B" w:rsidRDefault="00A02308" w:rsidP="009F2CEE">
    <w:pPr>
      <w:spacing w:before="85"/>
      <w:ind w:left="1440" w:firstLine="720"/>
      <w:rPr>
        <w:rFonts w:ascii="Arial" w:hAnsi="Arial" w:cs="Arial"/>
        <w:sz w:val="28"/>
        <w:szCs w:val="28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8B739" w14:textId="77777777" w:rsidR="009F59EE" w:rsidRDefault="009F59EE" w:rsidP="009F59EE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63360" behindDoc="0" locked="0" layoutInCell="1" allowOverlap="1" wp14:anchorId="5B141BE4" wp14:editId="2D7EF3BD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79D881" w14:textId="77777777" w:rsidR="009F59EE" w:rsidRPr="00B65A3B" w:rsidRDefault="009F59EE" w:rsidP="009F59EE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596170" wp14:editId="51FC0657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2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59852D"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61312" behindDoc="0" locked="0" layoutInCell="1" allowOverlap="1" wp14:anchorId="4C8C0CCC" wp14:editId="33D3DC1B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6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07739BB1" w14:textId="6D5E6F51" w:rsidR="00D80B6D" w:rsidRPr="009F59EE" w:rsidRDefault="009F59EE" w:rsidP="009F59EE">
    <w:pPr>
      <w:spacing w:before="85"/>
      <w:ind w:left="1440" w:firstLine="720"/>
      <w:rPr>
        <w:rFonts w:ascii="Arial" w:hAnsi="Arial" w:cs="Arial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 w:rsidR="009F2CEE">
      <w:rPr>
        <w:rFonts w:ascii="Arial" w:hAnsi="Arial" w:cs="Arial"/>
        <w:color w:val="E52713"/>
        <w:sz w:val="28"/>
        <w:szCs w:val="28"/>
      </w:rPr>
      <w:t>PODÍLOVÝCH FONDŮ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7C0F06"/>
    <w:multiLevelType w:val="hybridMultilevel"/>
    <w:tmpl w:val="31B0B806"/>
    <w:lvl w:ilvl="0" w:tplc="3356DF0A">
      <w:numFmt w:val="bullet"/>
      <w:lvlText w:val=""/>
      <w:lvlJc w:val="left"/>
      <w:pPr>
        <w:ind w:left="341" w:hanging="211"/>
      </w:pPr>
      <w:rPr>
        <w:rFonts w:ascii="Wingdings" w:eastAsia="Wingdings" w:hAnsi="Wingdings" w:cs="Wingdings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813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1286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1760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2233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2707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3180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3654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127" w:hanging="211"/>
      </w:pPr>
      <w:rPr>
        <w:rFonts w:hint="default"/>
        <w:lang w:val="cs-CZ" w:eastAsia="cs-CZ" w:bidi="cs-CZ"/>
      </w:rPr>
    </w:lvl>
  </w:abstractNum>
  <w:abstractNum w:abstractNumId="1" w15:restartNumberingAfterBreak="0">
    <w:nsid w:val="5C917C90"/>
    <w:multiLevelType w:val="hybridMultilevel"/>
    <w:tmpl w:val="40D804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27"/>
    <w:rsid w:val="00003FF5"/>
    <w:rsid w:val="00020EC7"/>
    <w:rsid w:val="00026F23"/>
    <w:rsid w:val="000277AC"/>
    <w:rsid w:val="0003028F"/>
    <w:rsid w:val="00032D62"/>
    <w:rsid w:val="00032D94"/>
    <w:rsid w:val="000374D7"/>
    <w:rsid w:val="00037DAF"/>
    <w:rsid w:val="000400E4"/>
    <w:rsid w:val="0005423A"/>
    <w:rsid w:val="00054A18"/>
    <w:rsid w:val="000600DC"/>
    <w:rsid w:val="0006012F"/>
    <w:rsid w:val="000611E3"/>
    <w:rsid w:val="000663B6"/>
    <w:rsid w:val="00070DAC"/>
    <w:rsid w:val="00073AD9"/>
    <w:rsid w:val="000766E7"/>
    <w:rsid w:val="00081616"/>
    <w:rsid w:val="000853D4"/>
    <w:rsid w:val="00090CF3"/>
    <w:rsid w:val="0009776B"/>
    <w:rsid w:val="000A60B9"/>
    <w:rsid w:val="000B060E"/>
    <w:rsid w:val="000C5411"/>
    <w:rsid w:val="000D14E2"/>
    <w:rsid w:val="000E1085"/>
    <w:rsid w:val="000E3D86"/>
    <w:rsid w:val="000E672C"/>
    <w:rsid w:val="000E79A9"/>
    <w:rsid w:val="000F5AB4"/>
    <w:rsid w:val="000F6249"/>
    <w:rsid w:val="001068FC"/>
    <w:rsid w:val="001103A6"/>
    <w:rsid w:val="00111C28"/>
    <w:rsid w:val="00114C29"/>
    <w:rsid w:val="001152A6"/>
    <w:rsid w:val="00117FB4"/>
    <w:rsid w:val="00120F6A"/>
    <w:rsid w:val="00122CD1"/>
    <w:rsid w:val="001253CC"/>
    <w:rsid w:val="0013044E"/>
    <w:rsid w:val="00131A69"/>
    <w:rsid w:val="00136D8D"/>
    <w:rsid w:val="00137003"/>
    <w:rsid w:val="0013717C"/>
    <w:rsid w:val="00145B8B"/>
    <w:rsid w:val="001464F4"/>
    <w:rsid w:val="00156082"/>
    <w:rsid w:val="00157FA9"/>
    <w:rsid w:val="00161879"/>
    <w:rsid w:val="00162672"/>
    <w:rsid w:val="00164CE5"/>
    <w:rsid w:val="001675AF"/>
    <w:rsid w:val="0017084B"/>
    <w:rsid w:val="001767A5"/>
    <w:rsid w:val="00180D72"/>
    <w:rsid w:val="00192716"/>
    <w:rsid w:val="0019453C"/>
    <w:rsid w:val="00197879"/>
    <w:rsid w:val="001A54DD"/>
    <w:rsid w:val="001A5E76"/>
    <w:rsid w:val="001A613B"/>
    <w:rsid w:val="001B088B"/>
    <w:rsid w:val="001B21B5"/>
    <w:rsid w:val="001B501B"/>
    <w:rsid w:val="001D015A"/>
    <w:rsid w:val="001D3DFC"/>
    <w:rsid w:val="001D5D27"/>
    <w:rsid w:val="001E4209"/>
    <w:rsid w:val="001F7194"/>
    <w:rsid w:val="001F71BA"/>
    <w:rsid w:val="002141AF"/>
    <w:rsid w:val="002217AA"/>
    <w:rsid w:val="002368F3"/>
    <w:rsid w:val="002368FB"/>
    <w:rsid w:val="00241313"/>
    <w:rsid w:val="0025264B"/>
    <w:rsid w:val="0025428A"/>
    <w:rsid w:val="002601CA"/>
    <w:rsid w:val="00265810"/>
    <w:rsid w:val="0026621E"/>
    <w:rsid w:val="00270DB3"/>
    <w:rsid w:val="00276C57"/>
    <w:rsid w:val="002831A1"/>
    <w:rsid w:val="00295407"/>
    <w:rsid w:val="00297CEA"/>
    <w:rsid w:val="002A4BC3"/>
    <w:rsid w:val="002A5439"/>
    <w:rsid w:val="002A7937"/>
    <w:rsid w:val="002B03FE"/>
    <w:rsid w:val="002B43B8"/>
    <w:rsid w:val="002C01FF"/>
    <w:rsid w:val="002C35D8"/>
    <w:rsid w:val="002C582E"/>
    <w:rsid w:val="002D2A18"/>
    <w:rsid w:val="002D539D"/>
    <w:rsid w:val="002D7A2E"/>
    <w:rsid w:val="002F002B"/>
    <w:rsid w:val="002F3074"/>
    <w:rsid w:val="002F485A"/>
    <w:rsid w:val="002F7EC2"/>
    <w:rsid w:val="00307229"/>
    <w:rsid w:val="00307E95"/>
    <w:rsid w:val="00310DBC"/>
    <w:rsid w:val="003128F8"/>
    <w:rsid w:val="003247B0"/>
    <w:rsid w:val="00330918"/>
    <w:rsid w:val="003326F9"/>
    <w:rsid w:val="00334048"/>
    <w:rsid w:val="0034220D"/>
    <w:rsid w:val="00342F85"/>
    <w:rsid w:val="00347557"/>
    <w:rsid w:val="00347D68"/>
    <w:rsid w:val="00352515"/>
    <w:rsid w:val="00355366"/>
    <w:rsid w:val="00355B3D"/>
    <w:rsid w:val="00355D3E"/>
    <w:rsid w:val="003606E0"/>
    <w:rsid w:val="003629B6"/>
    <w:rsid w:val="003721AD"/>
    <w:rsid w:val="003805E6"/>
    <w:rsid w:val="00383DC5"/>
    <w:rsid w:val="003842CE"/>
    <w:rsid w:val="00385EED"/>
    <w:rsid w:val="00390B58"/>
    <w:rsid w:val="003A4F52"/>
    <w:rsid w:val="003A5757"/>
    <w:rsid w:val="003A6435"/>
    <w:rsid w:val="003B0E4F"/>
    <w:rsid w:val="003B46D1"/>
    <w:rsid w:val="003C0CBE"/>
    <w:rsid w:val="003D10B1"/>
    <w:rsid w:val="003D1987"/>
    <w:rsid w:val="003D2036"/>
    <w:rsid w:val="003E64E9"/>
    <w:rsid w:val="003E7356"/>
    <w:rsid w:val="003F0400"/>
    <w:rsid w:val="003F1100"/>
    <w:rsid w:val="003F652F"/>
    <w:rsid w:val="003F79EC"/>
    <w:rsid w:val="00403571"/>
    <w:rsid w:val="00407541"/>
    <w:rsid w:val="00413BEC"/>
    <w:rsid w:val="00417787"/>
    <w:rsid w:val="00421847"/>
    <w:rsid w:val="0042193A"/>
    <w:rsid w:val="00421BEC"/>
    <w:rsid w:val="00423383"/>
    <w:rsid w:val="00425687"/>
    <w:rsid w:val="004313F1"/>
    <w:rsid w:val="00445D0A"/>
    <w:rsid w:val="00454843"/>
    <w:rsid w:val="004627B9"/>
    <w:rsid w:val="004632E5"/>
    <w:rsid w:val="004766EC"/>
    <w:rsid w:val="0048788A"/>
    <w:rsid w:val="00497374"/>
    <w:rsid w:val="004B1CE6"/>
    <w:rsid w:val="004B5797"/>
    <w:rsid w:val="004C398C"/>
    <w:rsid w:val="004C3F71"/>
    <w:rsid w:val="004C7DDE"/>
    <w:rsid w:val="004E18FD"/>
    <w:rsid w:val="004E55FE"/>
    <w:rsid w:val="004E7AEB"/>
    <w:rsid w:val="004E7E0B"/>
    <w:rsid w:val="00500F93"/>
    <w:rsid w:val="005051FB"/>
    <w:rsid w:val="00505697"/>
    <w:rsid w:val="0050659B"/>
    <w:rsid w:val="00507504"/>
    <w:rsid w:val="00512B46"/>
    <w:rsid w:val="005153F7"/>
    <w:rsid w:val="005218FE"/>
    <w:rsid w:val="005224C1"/>
    <w:rsid w:val="00526D02"/>
    <w:rsid w:val="0053153F"/>
    <w:rsid w:val="00536954"/>
    <w:rsid w:val="00540606"/>
    <w:rsid w:val="00541870"/>
    <w:rsid w:val="005436EC"/>
    <w:rsid w:val="00544A37"/>
    <w:rsid w:val="0055263D"/>
    <w:rsid w:val="005575DE"/>
    <w:rsid w:val="005663AE"/>
    <w:rsid w:val="00576F53"/>
    <w:rsid w:val="00577D19"/>
    <w:rsid w:val="005842ED"/>
    <w:rsid w:val="005966D4"/>
    <w:rsid w:val="005A3473"/>
    <w:rsid w:val="005A37E5"/>
    <w:rsid w:val="005A481B"/>
    <w:rsid w:val="005A5BBA"/>
    <w:rsid w:val="005A5F08"/>
    <w:rsid w:val="005B24EB"/>
    <w:rsid w:val="005B31D7"/>
    <w:rsid w:val="005C0189"/>
    <w:rsid w:val="005C22F8"/>
    <w:rsid w:val="005C5B9E"/>
    <w:rsid w:val="005D34CC"/>
    <w:rsid w:val="005E4D88"/>
    <w:rsid w:val="005E51C5"/>
    <w:rsid w:val="005E7952"/>
    <w:rsid w:val="005F0E46"/>
    <w:rsid w:val="005F1DB3"/>
    <w:rsid w:val="005F2623"/>
    <w:rsid w:val="005F6C1E"/>
    <w:rsid w:val="005F7090"/>
    <w:rsid w:val="00603538"/>
    <w:rsid w:val="0061103B"/>
    <w:rsid w:val="0061253F"/>
    <w:rsid w:val="006135FD"/>
    <w:rsid w:val="006203C4"/>
    <w:rsid w:val="0062480B"/>
    <w:rsid w:val="0062747C"/>
    <w:rsid w:val="006307A5"/>
    <w:rsid w:val="00630C84"/>
    <w:rsid w:val="00631E38"/>
    <w:rsid w:val="00631E80"/>
    <w:rsid w:val="006337CD"/>
    <w:rsid w:val="00633E13"/>
    <w:rsid w:val="00637BCA"/>
    <w:rsid w:val="0064160C"/>
    <w:rsid w:val="00654E3E"/>
    <w:rsid w:val="0065659A"/>
    <w:rsid w:val="0066135D"/>
    <w:rsid w:val="00667012"/>
    <w:rsid w:val="00667776"/>
    <w:rsid w:val="00670237"/>
    <w:rsid w:val="0067414D"/>
    <w:rsid w:val="00676757"/>
    <w:rsid w:val="006768F0"/>
    <w:rsid w:val="00677078"/>
    <w:rsid w:val="0068195B"/>
    <w:rsid w:val="00683626"/>
    <w:rsid w:val="00685FBC"/>
    <w:rsid w:val="0068617E"/>
    <w:rsid w:val="00686364"/>
    <w:rsid w:val="00687F4F"/>
    <w:rsid w:val="0069177B"/>
    <w:rsid w:val="006939E4"/>
    <w:rsid w:val="00697EB5"/>
    <w:rsid w:val="006A2F6C"/>
    <w:rsid w:val="006A3BE2"/>
    <w:rsid w:val="006A4030"/>
    <w:rsid w:val="006A48F1"/>
    <w:rsid w:val="006A6681"/>
    <w:rsid w:val="006C61E8"/>
    <w:rsid w:val="006D65EC"/>
    <w:rsid w:val="006E26DC"/>
    <w:rsid w:val="006F052D"/>
    <w:rsid w:val="006F32FB"/>
    <w:rsid w:val="00705D83"/>
    <w:rsid w:val="0071058C"/>
    <w:rsid w:val="0072112F"/>
    <w:rsid w:val="00732F8D"/>
    <w:rsid w:val="0073328E"/>
    <w:rsid w:val="0073706E"/>
    <w:rsid w:val="007373A6"/>
    <w:rsid w:val="0073790D"/>
    <w:rsid w:val="00737D83"/>
    <w:rsid w:val="0074449D"/>
    <w:rsid w:val="00750BD4"/>
    <w:rsid w:val="00757D8B"/>
    <w:rsid w:val="00761868"/>
    <w:rsid w:val="00761D9B"/>
    <w:rsid w:val="00771B91"/>
    <w:rsid w:val="00771DFE"/>
    <w:rsid w:val="00776CBE"/>
    <w:rsid w:val="007824F4"/>
    <w:rsid w:val="00784109"/>
    <w:rsid w:val="00785FC5"/>
    <w:rsid w:val="0078631B"/>
    <w:rsid w:val="00786BA5"/>
    <w:rsid w:val="007905D5"/>
    <w:rsid w:val="00791A2B"/>
    <w:rsid w:val="00792EE9"/>
    <w:rsid w:val="0079572A"/>
    <w:rsid w:val="007A0849"/>
    <w:rsid w:val="007A1121"/>
    <w:rsid w:val="007A1122"/>
    <w:rsid w:val="007A15A6"/>
    <w:rsid w:val="007A5987"/>
    <w:rsid w:val="007B026B"/>
    <w:rsid w:val="007B048D"/>
    <w:rsid w:val="007B232E"/>
    <w:rsid w:val="007B358E"/>
    <w:rsid w:val="007B435F"/>
    <w:rsid w:val="007B4E88"/>
    <w:rsid w:val="007B6899"/>
    <w:rsid w:val="007C7B64"/>
    <w:rsid w:val="007D29E5"/>
    <w:rsid w:val="007E1FBA"/>
    <w:rsid w:val="007E5614"/>
    <w:rsid w:val="008005EB"/>
    <w:rsid w:val="00807CDD"/>
    <w:rsid w:val="00812E77"/>
    <w:rsid w:val="0081387C"/>
    <w:rsid w:val="0081466F"/>
    <w:rsid w:val="00821B36"/>
    <w:rsid w:val="008242F9"/>
    <w:rsid w:val="0083053E"/>
    <w:rsid w:val="00831B5E"/>
    <w:rsid w:val="00833A44"/>
    <w:rsid w:val="00833ECF"/>
    <w:rsid w:val="00835880"/>
    <w:rsid w:val="0084178F"/>
    <w:rsid w:val="00845A34"/>
    <w:rsid w:val="00846F99"/>
    <w:rsid w:val="00851C45"/>
    <w:rsid w:val="00863B54"/>
    <w:rsid w:val="00870F82"/>
    <w:rsid w:val="0088035D"/>
    <w:rsid w:val="0088046D"/>
    <w:rsid w:val="0088326D"/>
    <w:rsid w:val="00883A3E"/>
    <w:rsid w:val="00883FFA"/>
    <w:rsid w:val="00885B2F"/>
    <w:rsid w:val="00886F0E"/>
    <w:rsid w:val="00890117"/>
    <w:rsid w:val="00891790"/>
    <w:rsid w:val="008926E5"/>
    <w:rsid w:val="008926F3"/>
    <w:rsid w:val="00892C78"/>
    <w:rsid w:val="00893577"/>
    <w:rsid w:val="00895B78"/>
    <w:rsid w:val="008A04D3"/>
    <w:rsid w:val="008A14E4"/>
    <w:rsid w:val="008A2132"/>
    <w:rsid w:val="008A6F1B"/>
    <w:rsid w:val="008B480A"/>
    <w:rsid w:val="008C0E53"/>
    <w:rsid w:val="008C1795"/>
    <w:rsid w:val="008C4B0D"/>
    <w:rsid w:val="008C6335"/>
    <w:rsid w:val="008D397B"/>
    <w:rsid w:val="008E065B"/>
    <w:rsid w:val="008E19F3"/>
    <w:rsid w:val="008E2945"/>
    <w:rsid w:val="008F241C"/>
    <w:rsid w:val="008F36F5"/>
    <w:rsid w:val="008F6AAF"/>
    <w:rsid w:val="00906176"/>
    <w:rsid w:val="00906E67"/>
    <w:rsid w:val="00915ADA"/>
    <w:rsid w:val="00915DB2"/>
    <w:rsid w:val="009222C9"/>
    <w:rsid w:val="00932625"/>
    <w:rsid w:val="00934023"/>
    <w:rsid w:val="009344C2"/>
    <w:rsid w:val="00935552"/>
    <w:rsid w:val="00941B52"/>
    <w:rsid w:val="009439C3"/>
    <w:rsid w:val="0094705C"/>
    <w:rsid w:val="00947476"/>
    <w:rsid w:val="00957B41"/>
    <w:rsid w:val="00957DEA"/>
    <w:rsid w:val="00977040"/>
    <w:rsid w:val="0098121D"/>
    <w:rsid w:val="00982987"/>
    <w:rsid w:val="0098362A"/>
    <w:rsid w:val="00991554"/>
    <w:rsid w:val="009A69B1"/>
    <w:rsid w:val="009A71FE"/>
    <w:rsid w:val="009B043D"/>
    <w:rsid w:val="009C0ECA"/>
    <w:rsid w:val="009C0F81"/>
    <w:rsid w:val="009C45BA"/>
    <w:rsid w:val="009D05AD"/>
    <w:rsid w:val="009D2821"/>
    <w:rsid w:val="009D2ECE"/>
    <w:rsid w:val="009D68F9"/>
    <w:rsid w:val="009E0062"/>
    <w:rsid w:val="009E317D"/>
    <w:rsid w:val="009E3B52"/>
    <w:rsid w:val="009F2CB2"/>
    <w:rsid w:val="009F2CEE"/>
    <w:rsid w:val="009F59EE"/>
    <w:rsid w:val="009F5B6E"/>
    <w:rsid w:val="00A0060A"/>
    <w:rsid w:val="00A02308"/>
    <w:rsid w:val="00A025BA"/>
    <w:rsid w:val="00A069E2"/>
    <w:rsid w:val="00A11C0F"/>
    <w:rsid w:val="00A11C90"/>
    <w:rsid w:val="00A12A99"/>
    <w:rsid w:val="00A13346"/>
    <w:rsid w:val="00A15E33"/>
    <w:rsid w:val="00A2214C"/>
    <w:rsid w:val="00A23DCC"/>
    <w:rsid w:val="00A30D93"/>
    <w:rsid w:val="00A31FAC"/>
    <w:rsid w:val="00A36D79"/>
    <w:rsid w:val="00A36E5B"/>
    <w:rsid w:val="00A37B91"/>
    <w:rsid w:val="00A37D04"/>
    <w:rsid w:val="00A40B94"/>
    <w:rsid w:val="00A4618A"/>
    <w:rsid w:val="00A55879"/>
    <w:rsid w:val="00A55E01"/>
    <w:rsid w:val="00A55E85"/>
    <w:rsid w:val="00A61996"/>
    <w:rsid w:val="00A726DE"/>
    <w:rsid w:val="00A75776"/>
    <w:rsid w:val="00A77932"/>
    <w:rsid w:val="00A7796E"/>
    <w:rsid w:val="00A77CA3"/>
    <w:rsid w:val="00A80480"/>
    <w:rsid w:val="00A82DA1"/>
    <w:rsid w:val="00A84486"/>
    <w:rsid w:val="00A9461D"/>
    <w:rsid w:val="00AA1259"/>
    <w:rsid w:val="00AA218A"/>
    <w:rsid w:val="00AB5142"/>
    <w:rsid w:val="00AC614D"/>
    <w:rsid w:val="00AE548F"/>
    <w:rsid w:val="00B00BCA"/>
    <w:rsid w:val="00B058E3"/>
    <w:rsid w:val="00B0678D"/>
    <w:rsid w:val="00B11974"/>
    <w:rsid w:val="00B12CF8"/>
    <w:rsid w:val="00B15519"/>
    <w:rsid w:val="00B244B9"/>
    <w:rsid w:val="00B27178"/>
    <w:rsid w:val="00B36BED"/>
    <w:rsid w:val="00B41CE5"/>
    <w:rsid w:val="00B42E81"/>
    <w:rsid w:val="00B43ABC"/>
    <w:rsid w:val="00B47199"/>
    <w:rsid w:val="00B51125"/>
    <w:rsid w:val="00B52CDF"/>
    <w:rsid w:val="00B62371"/>
    <w:rsid w:val="00B646D6"/>
    <w:rsid w:val="00B65A3B"/>
    <w:rsid w:val="00B731F5"/>
    <w:rsid w:val="00B75627"/>
    <w:rsid w:val="00B7769E"/>
    <w:rsid w:val="00B80A35"/>
    <w:rsid w:val="00B87498"/>
    <w:rsid w:val="00B90112"/>
    <w:rsid w:val="00B90487"/>
    <w:rsid w:val="00B927D5"/>
    <w:rsid w:val="00B95BB2"/>
    <w:rsid w:val="00B95EBA"/>
    <w:rsid w:val="00B97868"/>
    <w:rsid w:val="00BA1FA3"/>
    <w:rsid w:val="00BA23D8"/>
    <w:rsid w:val="00BA7246"/>
    <w:rsid w:val="00BA7889"/>
    <w:rsid w:val="00BB1CB8"/>
    <w:rsid w:val="00BB3F93"/>
    <w:rsid w:val="00BB4D49"/>
    <w:rsid w:val="00BB524F"/>
    <w:rsid w:val="00BB6439"/>
    <w:rsid w:val="00BB675F"/>
    <w:rsid w:val="00BC3FF4"/>
    <w:rsid w:val="00BD17B0"/>
    <w:rsid w:val="00BD3970"/>
    <w:rsid w:val="00BD5735"/>
    <w:rsid w:val="00BD5A47"/>
    <w:rsid w:val="00BE1DA6"/>
    <w:rsid w:val="00BE4FDB"/>
    <w:rsid w:val="00BF4A15"/>
    <w:rsid w:val="00BF6A33"/>
    <w:rsid w:val="00BF7A45"/>
    <w:rsid w:val="00C20A13"/>
    <w:rsid w:val="00C23E32"/>
    <w:rsid w:val="00C31207"/>
    <w:rsid w:val="00C36515"/>
    <w:rsid w:val="00C42FAF"/>
    <w:rsid w:val="00C54507"/>
    <w:rsid w:val="00C57D56"/>
    <w:rsid w:val="00C60B08"/>
    <w:rsid w:val="00C864DC"/>
    <w:rsid w:val="00C878E5"/>
    <w:rsid w:val="00CA1722"/>
    <w:rsid w:val="00CA4711"/>
    <w:rsid w:val="00CA6621"/>
    <w:rsid w:val="00CB18B1"/>
    <w:rsid w:val="00CB2780"/>
    <w:rsid w:val="00CB38CA"/>
    <w:rsid w:val="00CB6F2B"/>
    <w:rsid w:val="00CC1067"/>
    <w:rsid w:val="00CC580E"/>
    <w:rsid w:val="00CC5BA3"/>
    <w:rsid w:val="00CC727D"/>
    <w:rsid w:val="00CD3324"/>
    <w:rsid w:val="00CE6C6E"/>
    <w:rsid w:val="00D01832"/>
    <w:rsid w:val="00D118CC"/>
    <w:rsid w:val="00D21C96"/>
    <w:rsid w:val="00D21E1C"/>
    <w:rsid w:val="00D30854"/>
    <w:rsid w:val="00D31127"/>
    <w:rsid w:val="00D32EE1"/>
    <w:rsid w:val="00D33258"/>
    <w:rsid w:val="00D453BF"/>
    <w:rsid w:val="00D45C7A"/>
    <w:rsid w:val="00D50703"/>
    <w:rsid w:val="00D60D98"/>
    <w:rsid w:val="00D750F3"/>
    <w:rsid w:val="00D76C6E"/>
    <w:rsid w:val="00D80B6D"/>
    <w:rsid w:val="00D8513A"/>
    <w:rsid w:val="00D85BBB"/>
    <w:rsid w:val="00D94CEA"/>
    <w:rsid w:val="00D9690A"/>
    <w:rsid w:val="00DA13A4"/>
    <w:rsid w:val="00DA7B87"/>
    <w:rsid w:val="00DB37EF"/>
    <w:rsid w:val="00DB63D9"/>
    <w:rsid w:val="00DB7E77"/>
    <w:rsid w:val="00DC30D0"/>
    <w:rsid w:val="00DC3F71"/>
    <w:rsid w:val="00DD4BDD"/>
    <w:rsid w:val="00DE5847"/>
    <w:rsid w:val="00DE69CC"/>
    <w:rsid w:val="00DF04DA"/>
    <w:rsid w:val="00DF6AE1"/>
    <w:rsid w:val="00E00DC6"/>
    <w:rsid w:val="00E02292"/>
    <w:rsid w:val="00E05804"/>
    <w:rsid w:val="00E058A3"/>
    <w:rsid w:val="00E151F3"/>
    <w:rsid w:val="00E15A82"/>
    <w:rsid w:val="00E17539"/>
    <w:rsid w:val="00E32181"/>
    <w:rsid w:val="00E42296"/>
    <w:rsid w:val="00E57F9B"/>
    <w:rsid w:val="00E6319B"/>
    <w:rsid w:val="00E64D70"/>
    <w:rsid w:val="00E6726D"/>
    <w:rsid w:val="00E67581"/>
    <w:rsid w:val="00E744BC"/>
    <w:rsid w:val="00E81433"/>
    <w:rsid w:val="00E81C95"/>
    <w:rsid w:val="00E852A3"/>
    <w:rsid w:val="00E855B1"/>
    <w:rsid w:val="00E85B77"/>
    <w:rsid w:val="00E909E2"/>
    <w:rsid w:val="00E92A9E"/>
    <w:rsid w:val="00E97A43"/>
    <w:rsid w:val="00EA0C1C"/>
    <w:rsid w:val="00EA3BA2"/>
    <w:rsid w:val="00EA477A"/>
    <w:rsid w:val="00EB6810"/>
    <w:rsid w:val="00EC2121"/>
    <w:rsid w:val="00EC3BD3"/>
    <w:rsid w:val="00EC73D3"/>
    <w:rsid w:val="00EC7F0E"/>
    <w:rsid w:val="00ED2D1F"/>
    <w:rsid w:val="00ED58E9"/>
    <w:rsid w:val="00ED79D6"/>
    <w:rsid w:val="00EE1831"/>
    <w:rsid w:val="00EF2F7C"/>
    <w:rsid w:val="00F00576"/>
    <w:rsid w:val="00F03F85"/>
    <w:rsid w:val="00F1156B"/>
    <w:rsid w:val="00F123DF"/>
    <w:rsid w:val="00F14982"/>
    <w:rsid w:val="00F17CF8"/>
    <w:rsid w:val="00F225DC"/>
    <w:rsid w:val="00F23006"/>
    <w:rsid w:val="00F2598D"/>
    <w:rsid w:val="00F336A2"/>
    <w:rsid w:val="00F360BC"/>
    <w:rsid w:val="00F42045"/>
    <w:rsid w:val="00F4472C"/>
    <w:rsid w:val="00F44AEB"/>
    <w:rsid w:val="00F45620"/>
    <w:rsid w:val="00F53DEC"/>
    <w:rsid w:val="00F5470D"/>
    <w:rsid w:val="00F569B4"/>
    <w:rsid w:val="00F63CCA"/>
    <w:rsid w:val="00F64000"/>
    <w:rsid w:val="00F7238C"/>
    <w:rsid w:val="00F852D9"/>
    <w:rsid w:val="00F87177"/>
    <w:rsid w:val="00F9173C"/>
    <w:rsid w:val="00F9256E"/>
    <w:rsid w:val="00F967A1"/>
    <w:rsid w:val="00F96EED"/>
    <w:rsid w:val="00FB18D0"/>
    <w:rsid w:val="00FB2ED6"/>
    <w:rsid w:val="00FC2522"/>
    <w:rsid w:val="00FC31B6"/>
    <w:rsid w:val="00FC4324"/>
    <w:rsid w:val="00FC5B56"/>
    <w:rsid w:val="00FD4B12"/>
    <w:rsid w:val="00FD7D67"/>
    <w:rsid w:val="00FE4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3993B"/>
  <w15:docId w15:val="{19EBBF94-DEBD-48A3-A240-2A3F6A43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F015TEELig" w:eastAsia="F015TEELig" w:hAnsi="F015TEELig" w:cs="F015TEELig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30"/>
      <w:outlineLvl w:val="0"/>
    </w:pPr>
    <w:rPr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7"/>
      <w:ind w:left="2851"/>
      <w:outlineLvl w:val="1"/>
    </w:pPr>
    <w:rPr>
      <w:rFonts w:ascii="F015TEEMed" w:eastAsia="F015TEEMed" w:hAnsi="F015TEEMed" w:cs="F015TEEMed"/>
      <w:sz w:val="28"/>
      <w:szCs w:val="28"/>
    </w:rPr>
  </w:style>
  <w:style w:type="paragraph" w:styleId="Nadpis3">
    <w:name w:val="heading 3"/>
    <w:basedOn w:val="Normln"/>
    <w:uiPriority w:val="1"/>
    <w:qFormat/>
    <w:pPr>
      <w:ind w:left="161"/>
      <w:jc w:val="center"/>
      <w:outlineLvl w:val="2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</w:style>
  <w:style w:type="paragraph" w:styleId="Odstavecseseznamem">
    <w:name w:val="List Paragraph"/>
    <w:basedOn w:val="Normln"/>
    <w:uiPriority w:val="1"/>
    <w:qFormat/>
    <w:pPr>
      <w:ind w:left="341" w:right="38" w:hanging="211"/>
    </w:pPr>
  </w:style>
  <w:style w:type="paragraph" w:customStyle="1" w:styleId="TableParagraph">
    <w:name w:val="Table Paragraph"/>
    <w:basedOn w:val="Normln"/>
    <w:uiPriority w:val="1"/>
    <w:qFormat/>
    <w:pPr>
      <w:spacing w:before="8" w:line="178" w:lineRule="exact"/>
      <w:ind w:left="56"/>
      <w:jc w:val="center"/>
    </w:pPr>
  </w:style>
  <w:style w:type="paragraph" w:styleId="Normlnweb">
    <w:name w:val="Normal (Web)"/>
    <w:basedOn w:val="Normln"/>
    <w:uiPriority w:val="99"/>
    <w:semiHidden/>
    <w:unhideWhenUsed/>
    <w:rsid w:val="009E31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0374D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D80B6D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80B6D"/>
    <w:rPr>
      <w:rFonts w:eastAsiaTheme="minorEastAsia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80B6D"/>
    <w:rPr>
      <w:rFonts w:ascii="F015TEELig" w:eastAsia="F015TEELig" w:hAnsi="F015TEELig" w:cs="F015TEELig"/>
      <w:lang w:val="cs-CZ" w:eastAsia="cs-CZ" w:bidi="cs-CZ"/>
    </w:rPr>
  </w:style>
  <w:style w:type="character" w:customStyle="1" w:styleId="dn">
    <w:name w:val="Žádný"/>
    <w:rsid w:val="00D80B6D"/>
    <w:rPr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09776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9776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9776B"/>
    <w:rPr>
      <w:rFonts w:ascii="F015TEELig" w:eastAsia="F015TEELig" w:hAnsi="F015TEELig" w:cs="F015TEELig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776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776B"/>
    <w:rPr>
      <w:rFonts w:ascii="F015TEELig" w:eastAsia="F015TEELig" w:hAnsi="F015TEELig" w:cs="F015TEELig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776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76B"/>
    <w:rPr>
      <w:rFonts w:ascii="Segoe UI" w:eastAsia="F015TEELig" w:hAnsi="Segoe UI" w:cs="Segoe UI"/>
      <w:sz w:val="18"/>
      <w:szCs w:val="18"/>
      <w:lang w:val="cs-CZ" w:eastAsia="cs-CZ" w:bidi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76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Broker.Consulting/" TargetMode="External"/><Relationship Id="rId18" Type="http://schemas.openxmlformats.org/officeDocument/2006/relationships/footer" Target="footer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realityspolu.cz" TargetMode="External"/><Relationship Id="rId17" Type="http://schemas.openxmlformats.org/officeDocument/2006/relationships/header" Target="header1.xml"/><Relationship Id="rId25" Type="http://schemas.openxmlformats.org/officeDocument/2006/relationships/hyperlink" Target="mailto:tereza.kunova@bcas.cz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10668151/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point.tv" TargetMode="Externa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okpointy/" TargetMode="External"/><Relationship Id="rId23" Type="http://schemas.openxmlformats.org/officeDocument/2006/relationships/header" Target="header4.xml"/><Relationship Id="rId10" Type="http://schemas.openxmlformats.org/officeDocument/2006/relationships/hyperlink" Target="http://okpointy.cz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bcas.cz" TargetMode="External"/><Relationship Id="rId14" Type="http://schemas.openxmlformats.org/officeDocument/2006/relationships/hyperlink" Target="https://www.linkedin.com/company/786541/" TargetMode="External"/><Relationship Id="rId22" Type="http://schemas.openxmlformats.org/officeDocument/2006/relationships/footer" Target="footer3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kpointy.cz/" TargetMode="External"/><Relationship Id="rId2" Type="http://schemas.openxmlformats.org/officeDocument/2006/relationships/hyperlink" Target="http://www.realityspolu.cz" TargetMode="External"/><Relationship Id="rId1" Type="http://schemas.openxmlformats.org/officeDocument/2006/relationships/hyperlink" Target="http://www.realityspolu.cz" TargetMode="External"/><Relationship Id="rId6" Type="http://schemas.openxmlformats.org/officeDocument/2006/relationships/hyperlink" Target="http://www.bcas.cz/" TargetMode="External"/><Relationship Id="rId5" Type="http://schemas.openxmlformats.org/officeDocument/2006/relationships/hyperlink" Target="http://www.bcas.cz/" TargetMode="External"/><Relationship Id="rId4" Type="http://schemas.openxmlformats.org/officeDocument/2006/relationships/hyperlink" Target="http://www.okpointy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A5F239-BA8A-47FC-8F31-BE2055C50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1126</TotalTime>
  <Pages>3</Pages>
  <Words>1035</Words>
  <Characters>6112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Viola Baštýřová</dc:creator>
  <cp:lastModifiedBy>Tereza Kunová</cp:lastModifiedBy>
  <cp:revision>30</cp:revision>
  <dcterms:created xsi:type="dcterms:W3CDTF">2021-12-08T10:57:00Z</dcterms:created>
  <dcterms:modified xsi:type="dcterms:W3CDTF">2022-04-19T06:55:00Z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2019-08-12T00:00:00Z</vt:filetime>
  </property>
</Properties>
</file>