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Navštivte také náš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7C7B64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2B03FE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5BA4F391" w14:textId="656467DE" w:rsidR="00EC73D3" w:rsidRPr="00E42296" w:rsidRDefault="00ED2D1F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E42296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E42296">
        <w:rPr>
          <w:rFonts w:ascii="Arial" w:hAnsi="Arial" w:cs="Arial"/>
          <w:b/>
          <w:sz w:val="28"/>
          <w:szCs w:val="28"/>
        </w:rPr>
        <w:t>podílových fondů</w:t>
      </w:r>
      <w:r w:rsidR="00EC73D3" w:rsidRPr="00E42296">
        <w:rPr>
          <w:rFonts w:ascii="Arial" w:hAnsi="Arial" w:cs="Arial"/>
          <w:b/>
          <w:sz w:val="28"/>
          <w:szCs w:val="28"/>
        </w:rPr>
        <w:t>:</w:t>
      </w:r>
    </w:p>
    <w:p w14:paraId="1BDD7373" w14:textId="3D3CEF63" w:rsidR="00BF6A33" w:rsidRPr="00E42296" w:rsidRDefault="00E42296" w:rsidP="00685FBC">
      <w:pPr>
        <w:jc w:val="center"/>
        <w:rPr>
          <w:rFonts w:ascii="Arial" w:hAnsi="Arial" w:cs="Arial"/>
          <w:b/>
          <w:sz w:val="28"/>
          <w:szCs w:val="28"/>
        </w:rPr>
      </w:pPr>
      <w:r w:rsidRPr="00E42296">
        <w:rPr>
          <w:rFonts w:ascii="Arial" w:hAnsi="Arial" w:cs="Arial"/>
          <w:b/>
          <w:sz w:val="28"/>
          <w:szCs w:val="28"/>
        </w:rPr>
        <w:t xml:space="preserve">Největší nárůst zaznamenaly v únoru komoditní fondy, připsaly si 9,30 %. </w:t>
      </w:r>
      <w:r>
        <w:rPr>
          <w:rFonts w:ascii="Arial" w:hAnsi="Arial" w:cs="Arial"/>
          <w:b/>
          <w:sz w:val="28"/>
          <w:szCs w:val="28"/>
        </w:rPr>
        <w:t>Se ztrátou -1,38 % naopak skončily akciové fondy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Default="00697EB5" w:rsidP="0088046D">
      <w:pPr>
        <w:jc w:val="both"/>
        <w:rPr>
          <w:rFonts w:ascii="Arial" w:hAnsi="Arial" w:cs="Arial"/>
          <w:i/>
          <w:sz w:val="20"/>
          <w:szCs w:val="20"/>
        </w:rPr>
      </w:pPr>
    </w:p>
    <w:p w14:paraId="350AA95A" w14:textId="64195407" w:rsidR="00A84486" w:rsidRDefault="00197879" w:rsidP="0088046D">
      <w:pPr>
        <w:jc w:val="both"/>
        <w:rPr>
          <w:rFonts w:ascii="Arial" w:hAnsi="Arial" w:cs="Arial"/>
          <w:sz w:val="20"/>
          <w:szCs w:val="20"/>
        </w:rPr>
      </w:pPr>
      <w:r w:rsidRPr="00197879">
        <w:rPr>
          <w:rFonts w:ascii="Arial" w:hAnsi="Arial" w:cs="Arial"/>
          <w:i/>
          <w:sz w:val="20"/>
          <w:szCs w:val="20"/>
        </w:rPr>
        <w:t xml:space="preserve">Praha </w:t>
      </w:r>
      <w:r w:rsidR="001B088B">
        <w:rPr>
          <w:rFonts w:ascii="Arial" w:hAnsi="Arial" w:cs="Arial"/>
          <w:i/>
          <w:sz w:val="20"/>
          <w:szCs w:val="20"/>
        </w:rPr>
        <w:t>1</w:t>
      </w:r>
      <w:r w:rsidR="00120F6A">
        <w:rPr>
          <w:rFonts w:ascii="Arial" w:hAnsi="Arial" w:cs="Arial"/>
          <w:i/>
          <w:sz w:val="20"/>
          <w:szCs w:val="20"/>
        </w:rPr>
        <w:t>4</w:t>
      </w:r>
      <w:r w:rsidR="007C7B64">
        <w:rPr>
          <w:rFonts w:ascii="Arial" w:hAnsi="Arial" w:cs="Arial"/>
          <w:i/>
          <w:sz w:val="20"/>
          <w:szCs w:val="20"/>
        </w:rPr>
        <w:t xml:space="preserve">. </w:t>
      </w:r>
      <w:r w:rsidR="00A84486">
        <w:rPr>
          <w:rFonts w:ascii="Arial" w:hAnsi="Arial" w:cs="Arial"/>
          <w:i/>
          <w:sz w:val="20"/>
          <w:szCs w:val="20"/>
        </w:rPr>
        <w:t>března</w:t>
      </w:r>
      <w:r w:rsidR="006203C4">
        <w:rPr>
          <w:rFonts w:ascii="Arial" w:hAnsi="Arial" w:cs="Arial"/>
          <w:i/>
          <w:sz w:val="20"/>
          <w:szCs w:val="20"/>
        </w:rPr>
        <w:t xml:space="preserve"> 2022</w:t>
      </w:r>
      <w:r w:rsidRPr="00197879">
        <w:rPr>
          <w:rFonts w:ascii="Arial" w:hAnsi="Arial" w:cs="Arial"/>
          <w:i/>
          <w:sz w:val="20"/>
          <w:szCs w:val="20"/>
        </w:rPr>
        <w:t xml:space="preserve"> </w:t>
      </w:r>
      <w:r w:rsidRPr="005D34CC">
        <w:rPr>
          <w:rFonts w:ascii="Arial" w:hAnsi="Arial" w:cs="Arial"/>
          <w:sz w:val="20"/>
          <w:szCs w:val="20"/>
        </w:rPr>
        <w:t>–</w:t>
      </w:r>
      <w:r w:rsidR="00AB5142">
        <w:rPr>
          <w:rFonts w:ascii="Arial" w:hAnsi="Arial" w:cs="Arial"/>
          <w:sz w:val="20"/>
          <w:szCs w:val="20"/>
        </w:rPr>
        <w:t xml:space="preserve"> </w:t>
      </w:r>
      <w:r w:rsidR="00A37D04" w:rsidRPr="002601CA">
        <w:rPr>
          <w:rFonts w:ascii="Arial" w:hAnsi="Arial" w:cs="Arial"/>
          <w:b/>
          <w:sz w:val="20"/>
          <w:szCs w:val="20"/>
        </w:rPr>
        <w:t xml:space="preserve">Po silném začátku roku zažily akciové fondy v únoru </w:t>
      </w:r>
      <w:r w:rsidR="002601CA">
        <w:rPr>
          <w:rFonts w:ascii="Arial" w:hAnsi="Arial" w:cs="Arial"/>
          <w:b/>
          <w:sz w:val="20"/>
          <w:szCs w:val="20"/>
        </w:rPr>
        <w:t xml:space="preserve">značný </w:t>
      </w:r>
      <w:r w:rsidR="00A37D04" w:rsidRPr="002601CA">
        <w:rPr>
          <w:rFonts w:ascii="Arial" w:hAnsi="Arial" w:cs="Arial"/>
          <w:b/>
          <w:sz w:val="20"/>
          <w:szCs w:val="20"/>
        </w:rPr>
        <w:t xml:space="preserve">pokles. </w:t>
      </w:r>
      <w:r w:rsidR="002601CA">
        <w:rPr>
          <w:rFonts w:ascii="Arial" w:hAnsi="Arial" w:cs="Arial"/>
          <w:b/>
          <w:sz w:val="20"/>
          <w:szCs w:val="20"/>
        </w:rPr>
        <w:t>V důsledku</w:t>
      </w:r>
      <w:r w:rsidR="00A37D04" w:rsidRPr="002601CA">
        <w:rPr>
          <w:rFonts w:ascii="Arial" w:hAnsi="Arial" w:cs="Arial"/>
          <w:b/>
          <w:sz w:val="20"/>
          <w:szCs w:val="20"/>
        </w:rPr>
        <w:t xml:space="preserve"> zvýšené volatility a nejistoty na trzích si tak odepsaly -1,38 %. </w:t>
      </w:r>
      <w:r w:rsidR="002601CA" w:rsidRPr="002601CA">
        <w:rPr>
          <w:rFonts w:ascii="Arial" w:hAnsi="Arial" w:cs="Arial"/>
          <w:b/>
          <w:sz w:val="20"/>
          <w:szCs w:val="20"/>
        </w:rPr>
        <w:t xml:space="preserve">Meziměsíční ztrátu -0,98 % vykázaly také dluhopisové fondy, kterým se </w:t>
      </w:r>
      <w:r w:rsidR="00E42296" w:rsidRPr="002601CA">
        <w:rPr>
          <w:rFonts w:ascii="Arial" w:hAnsi="Arial" w:cs="Arial"/>
          <w:b/>
          <w:sz w:val="20"/>
          <w:szCs w:val="20"/>
        </w:rPr>
        <w:t xml:space="preserve">dlouhodobě nedaří </w:t>
      </w:r>
      <w:r w:rsidR="002601CA" w:rsidRPr="002601CA">
        <w:rPr>
          <w:rFonts w:ascii="Arial" w:hAnsi="Arial" w:cs="Arial"/>
          <w:b/>
          <w:sz w:val="20"/>
          <w:szCs w:val="20"/>
        </w:rPr>
        <w:t xml:space="preserve">kvůli zvyšování úrokových sazeb. </w:t>
      </w:r>
      <w:r w:rsidR="00E42296">
        <w:rPr>
          <w:rFonts w:ascii="Arial" w:hAnsi="Arial" w:cs="Arial"/>
          <w:b/>
          <w:sz w:val="20"/>
          <w:szCs w:val="20"/>
        </w:rPr>
        <w:t>Značný ú</w:t>
      </w:r>
      <w:r w:rsidR="002601CA" w:rsidRPr="002601CA">
        <w:rPr>
          <w:rFonts w:ascii="Arial" w:hAnsi="Arial" w:cs="Arial"/>
          <w:b/>
          <w:sz w:val="20"/>
          <w:szCs w:val="20"/>
        </w:rPr>
        <w:t xml:space="preserve">spěch v únoru zaznamenaly komoditní fondy, které v porovnání s lednem vystoupaly až na 9,30 %. Mírný růst, 0,30 %, si udržely </w:t>
      </w:r>
      <w:r w:rsidR="002601CA">
        <w:rPr>
          <w:rFonts w:ascii="Arial" w:hAnsi="Arial" w:cs="Arial"/>
          <w:b/>
          <w:sz w:val="20"/>
          <w:szCs w:val="20"/>
        </w:rPr>
        <w:t>také</w:t>
      </w:r>
      <w:r w:rsidR="002601CA" w:rsidRPr="002601CA">
        <w:rPr>
          <w:rFonts w:ascii="Arial" w:hAnsi="Arial" w:cs="Arial"/>
          <w:b/>
          <w:sz w:val="20"/>
          <w:szCs w:val="20"/>
        </w:rPr>
        <w:t xml:space="preserve"> fondy peněžního trhu </w:t>
      </w:r>
      <w:r w:rsidR="002601CA">
        <w:rPr>
          <w:rFonts w:ascii="Arial" w:hAnsi="Arial" w:cs="Arial"/>
          <w:b/>
          <w:sz w:val="20"/>
          <w:szCs w:val="20"/>
        </w:rPr>
        <w:t>i</w:t>
      </w:r>
      <w:r w:rsidR="002601CA" w:rsidRPr="002601CA">
        <w:rPr>
          <w:rFonts w:ascii="Arial" w:hAnsi="Arial" w:cs="Arial"/>
          <w:b/>
          <w:sz w:val="20"/>
          <w:szCs w:val="20"/>
        </w:rPr>
        <w:t xml:space="preserve"> nemovitostní fondy, které si za únor připsaly 0,12 %.</w:t>
      </w:r>
      <w:r w:rsidR="002601CA">
        <w:rPr>
          <w:rFonts w:ascii="Arial" w:hAnsi="Arial" w:cs="Arial"/>
          <w:sz w:val="20"/>
          <w:szCs w:val="20"/>
        </w:rPr>
        <w:t xml:space="preserve"> </w:t>
      </w:r>
    </w:p>
    <w:p w14:paraId="752545DE" w14:textId="77777777" w:rsidR="002601CA" w:rsidRDefault="002601CA" w:rsidP="0088046D">
      <w:pPr>
        <w:jc w:val="both"/>
        <w:rPr>
          <w:rFonts w:ascii="Arial" w:hAnsi="Arial" w:cs="Arial"/>
          <w:sz w:val="20"/>
          <w:szCs w:val="20"/>
        </w:rPr>
      </w:pPr>
    </w:p>
    <w:p w14:paraId="1A1918DC" w14:textId="62B21106" w:rsidR="00BD5735" w:rsidRDefault="00BD5735" w:rsidP="00A84486">
      <w:pPr>
        <w:jc w:val="both"/>
        <w:rPr>
          <w:rFonts w:ascii="Arial" w:hAnsi="Arial" w:cs="Arial"/>
          <w:sz w:val="20"/>
          <w:szCs w:val="20"/>
        </w:rPr>
      </w:pPr>
    </w:p>
    <w:p w14:paraId="6F27DDC3" w14:textId="18434A44" w:rsidR="00A84486" w:rsidRPr="00233453" w:rsidRDefault="00BD5735" w:rsidP="00A8448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světových trzích se v</w:t>
      </w:r>
      <w:r w:rsidR="00A84486" w:rsidRPr="00233453">
        <w:rPr>
          <w:rFonts w:ascii="Arial" w:hAnsi="Arial" w:cs="Arial"/>
          <w:sz w:val="20"/>
          <w:szCs w:val="20"/>
        </w:rPr>
        <w:t xml:space="preserve"> současné době </w:t>
      </w:r>
      <w:r>
        <w:rPr>
          <w:rFonts w:ascii="Arial" w:hAnsi="Arial" w:cs="Arial"/>
          <w:sz w:val="20"/>
          <w:szCs w:val="20"/>
        </w:rPr>
        <w:t xml:space="preserve">začíná </w:t>
      </w:r>
      <w:r w:rsidR="001B21B5">
        <w:rPr>
          <w:rFonts w:ascii="Arial" w:hAnsi="Arial" w:cs="Arial"/>
          <w:sz w:val="20"/>
          <w:szCs w:val="20"/>
        </w:rPr>
        <w:t xml:space="preserve">silně </w:t>
      </w:r>
      <w:r>
        <w:rPr>
          <w:rFonts w:ascii="Arial" w:hAnsi="Arial" w:cs="Arial"/>
          <w:sz w:val="20"/>
          <w:szCs w:val="20"/>
        </w:rPr>
        <w:t xml:space="preserve">projevovat </w:t>
      </w:r>
      <w:r w:rsidR="00A84486" w:rsidRPr="00233453">
        <w:rPr>
          <w:rFonts w:ascii="Arial" w:hAnsi="Arial" w:cs="Arial"/>
          <w:sz w:val="20"/>
          <w:szCs w:val="20"/>
        </w:rPr>
        <w:t>zvýšen</w:t>
      </w:r>
      <w:r>
        <w:rPr>
          <w:rFonts w:ascii="Arial" w:hAnsi="Arial" w:cs="Arial"/>
          <w:sz w:val="20"/>
          <w:szCs w:val="20"/>
        </w:rPr>
        <w:t>á</w:t>
      </w:r>
      <w:r w:rsidR="00A84486" w:rsidRPr="00233453">
        <w:rPr>
          <w:rFonts w:ascii="Arial" w:hAnsi="Arial" w:cs="Arial"/>
          <w:sz w:val="20"/>
          <w:szCs w:val="20"/>
        </w:rPr>
        <w:t xml:space="preserve"> volatilit</w:t>
      </w:r>
      <w:r>
        <w:rPr>
          <w:rFonts w:ascii="Arial" w:hAnsi="Arial" w:cs="Arial"/>
          <w:sz w:val="20"/>
          <w:szCs w:val="20"/>
        </w:rPr>
        <w:t>a</w:t>
      </w:r>
      <w:r w:rsidR="00A84486" w:rsidRPr="00233453">
        <w:rPr>
          <w:rFonts w:ascii="Arial" w:hAnsi="Arial" w:cs="Arial"/>
          <w:sz w:val="20"/>
          <w:szCs w:val="20"/>
        </w:rPr>
        <w:t xml:space="preserve"> a nejistot</w:t>
      </w:r>
      <w:r w:rsidR="00BB524F">
        <w:rPr>
          <w:rFonts w:ascii="Arial" w:hAnsi="Arial" w:cs="Arial"/>
          <w:sz w:val="20"/>
          <w:szCs w:val="20"/>
        </w:rPr>
        <w:t>a</w:t>
      </w:r>
      <w:r w:rsidR="00A84486" w:rsidRPr="00233453">
        <w:rPr>
          <w:rFonts w:ascii="Arial" w:hAnsi="Arial" w:cs="Arial"/>
          <w:sz w:val="20"/>
          <w:szCs w:val="20"/>
        </w:rPr>
        <w:t xml:space="preserve">. Trhy doposud očekávaly, jak </w:t>
      </w:r>
      <w:r w:rsidR="0074449D">
        <w:rPr>
          <w:rFonts w:ascii="Arial" w:hAnsi="Arial" w:cs="Arial"/>
          <w:sz w:val="20"/>
          <w:szCs w:val="20"/>
        </w:rPr>
        <w:t xml:space="preserve">na výrazně rostoucí </w:t>
      </w:r>
      <w:r w:rsidR="0074449D" w:rsidRPr="00233453">
        <w:rPr>
          <w:rFonts w:ascii="Arial" w:hAnsi="Arial" w:cs="Arial"/>
          <w:sz w:val="20"/>
          <w:szCs w:val="20"/>
        </w:rPr>
        <w:t xml:space="preserve">inflaci </w:t>
      </w:r>
      <w:r w:rsidR="00A84486" w:rsidRPr="00233453">
        <w:rPr>
          <w:rFonts w:ascii="Arial" w:hAnsi="Arial" w:cs="Arial"/>
          <w:sz w:val="20"/>
          <w:szCs w:val="20"/>
        </w:rPr>
        <w:t xml:space="preserve">zareaguje </w:t>
      </w:r>
      <w:r w:rsidR="008A6F1B">
        <w:rPr>
          <w:rFonts w:ascii="Arial" w:hAnsi="Arial" w:cs="Arial"/>
          <w:sz w:val="20"/>
          <w:szCs w:val="20"/>
        </w:rPr>
        <w:t xml:space="preserve">americká </w:t>
      </w:r>
      <w:r>
        <w:rPr>
          <w:rFonts w:ascii="Arial" w:hAnsi="Arial" w:cs="Arial"/>
          <w:sz w:val="20"/>
          <w:szCs w:val="20"/>
        </w:rPr>
        <w:t>centrální</w:t>
      </w:r>
      <w:r w:rsidR="008A6F1B">
        <w:rPr>
          <w:rFonts w:ascii="Arial" w:hAnsi="Arial" w:cs="Arial"/>
          <w:sz w:val="20"/>
          <w:szCs w:val="20"/>
        </w:rPr>
        <w:t xml:space="preserve"> banka (FED)</w:t>
      </w:r>
      <w:r w:rsidR="0074449D">
        <w:rPr>
          <w:rFonts w:ascii="Arial" w:hAnsi="Arial" w:cs="Arial"/>
          <w:sz w:val="20"/>
          <w:szCs w:val="20"/>
        </w:rPr>
        <w:t xml:space="preserve">, </w:t>
      </w:r>
      <w:r w:rsidR="00A84486" w:rsidRPr="00233453">
        <w:rPr>
          <w:rFonts w:ascii="Arial" w:hAnsi="Arial" w:cs="Arial"/>
          <w:sz w:val="20"/>
          <w:szCs w:val="20"/>
        </w:rPr>
        <w:t xml:space="preserve">tedy </w:t>
      </w:r>
      <w:r w:rsidR="0074449D">
        <w:rPr>
          <w:rFonts w:ascii="Arial" w:hAnsi="Arial" w:cs="Arial"/>
          <w:sz w:val="20"/>
          <w:szCs w:val="20"/>
        </w:rPr>
        <w:t>do jaké míry přistoupí ke zvýšení</w:t>
      </w:r>
      <w:r w:rsidR="00A84486" w:rsidRPr="002334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úrokových sazeb. </w:t>
      </w:r>
      <w:r w:rsidR="00A84486" w:rsidRPr="00233453">
        <w:rPr>
          <w:rFonts w:ascii="Arial" w:hAnsi="Arial" w:cs="Arial"/>
          <w:sz w:val="20"/>
          <w:szCs w:val="20"/>
        </w:rPr>
        <w:t xml:space="preserve">Nejistota také </w:t>
      </w:r>
      <w:r w:rsidR="00E42296">
        <w:rPr>
          <w:rFonts w:ascii="Arial" w:hAnsi="Arial" w:cs="Arial"/>
          <w:sz w:val="20"/>
          <w:szCs w:val="20"/>
        </w:rPr>
        <w:t xml:space="preserve">v únoru </w:t>
      </w:r>
      <w:r w:rsidR="00A84486" w:rsidRPr="00233453">
        <w:rPr>
          <w:rFonts w:ascii="Arial" w:hAnsi="Arial" w:cs="Arial"/>
          <w:sz w:val="20"/>
          <w:szCs w:val="20"/>
        </w:rPr>
        <w:t xml:space="preserve">plynula ze </w:t>
      </w:r>
      <w:r w:rsidR="0048788A" w:rsidRPr="00233453">
        <w:rPr>
          <w:rFonts w:ascii="Arial" w:hAnsi="Arial" w:cs="Arial"/>
          <w:sz w:val="20"/>
          <w:szCs w:val="20"/>
        </w:rPr>
        <w:t>zhoršující</w:t>
      </w:r>
      <w:r w:rsidR="00A84486" w:rsidRPr="00233453">
        <w:rPr>
          <w:rFonts w:ascii="Arial" w:hAnsi="Arial" w:cs="Arial"/>
          <w:sz w:val="20"/>
          <w:szCs w:val="20"/>
        </w:rPr>
        <w:t xml:space="preserve"> se situace na </w:t>
      </w:r>
      <w:r w:rsidR="00BB524F">
        <w:rPr>
          <w:rFonts w:ascii="Arial" w:hAnsi="Arial" w:cs="Arial"/>
          <w:sz w:val="20"/>
          <w:szCs w:val="20"/>
        </w:rPr>
        <w:t>Ukrajině</w:t>
      </w:r>
      <w:r w:rsidR="00A84486" w:rsidRPr="00233453">
        <w:rPr>
          <w:rFonts w:ascii="Arial" w:hAnsi="Arial" w:cs="Arial"/>
          <w:sz w:val="20"/>
          <w:szCs w:val="20"/>
        </w:rPr>
        <w:t>. Tyto obavy se projevily zejména v </w:t>
      </w:r>
      <w:r w:rsidR="00A84486" w:rsidRPr="00BB524F">
        <w:rPr>
          <w:rFonts w:ascii="Arial" w:hAnsi="Arial" w:cs="Arial"/>
          <w:sz w:val="20"/>
          <w:szCs w:val="20"/>
        </w:rPr>
        <w:t>akciových fondech</w:t>
      </w:r>
      <w:r w:rsidR="00BB524F">
        <w:rPr>
          <w:rFonts w:ascii="Arial" w:hAnsi="Arial" w:cs="Arial"/>
          <w:sz w:val="20"/>
          <w:szCs w:val="20"/>
        </w:rPr>
        <w:t xml:space="preserve">, které </w:t>
      </w:r>
      <w:r w:rsidR="00A84486" w:rsidRPr="00233453">
        <w:rPr>
          <w:rFonts w:ascii="Arial" w:hAnsi="Arial" w:cs="Arial"/>
          <w:sz w:val="20"/>
          <w:szCs w:val="20"/>
        </w:rPr>
        <w:t xml:space="preserve">zaznamenaly </w:t>
      </w:r>
      <w:r w:rsidR="00E42296">
        <w:rPr>
          <w:rFonts w:ascii="Arial" w:hAnsi="Arial" w:cs="Arial"/>
          <w:sz w:val="20"/>
          <w:szCs w:val="20"/>
        </w:rPr>
        <w:t xml:space="preserve">meziměsíční </w:t>
      </w:r>
      <w:r w:rsidR="00BB524F">
        <w:rPr>
          <w:rFonts w:ascii="Arial" w:hAnsi="Arial" w:cs="Arial"/>
          <w:sz w:val="20"/>
          <w:szCs w:val="20"/>
        </w:rPr>
        <w:t xml:space="preserve">pokles </w:t>
      </w:r>
      <w:r w:rsidR="00A84486" w:rsidRPr="00233453">
        <w:rPr>
          <w:rFonts w:ascii="Arial" w:hAnsi="Arial" w:cs="Arial"/>
          <w:sz w:val="20"/>
          <w:szCs w:val="20"/>
        </w:rPr>
        <w:t xml:space="preserve">-1,38 %. </w:t>
      </w:r>
      <w:r w:rsidR="00526D02">
        <w:rPr>
          <w:rFonts w:ascii="Arial" w:hAnsi="Arial" w:cs="Arial"/>
          <w:sz w:val="20"/>
          <w:szCs w:val="20"/>
        </w:rPr>
        <w:t xml:space="preserve">Přesto si však od začátku roku udržely 3,60 %. </w:t>
      </w:r>
      <w:r w:rsidR="00A84486" w:rsidRPr="00233453">
        <w:rPr>
          <w:rFonts w:ascii="Arial" w:hAnsi="Arial" w:cs="Arial"/>
          <w:sz w:val="20"/>
          <w:szCs w:val="20"/>
        </w:rPr>
        <w:t>Nadále se očekává</w:t>
      </w:r>
      <w:r w:rsidR="00BB524F">
        <w:rPr>
          <w:rFonts w:ascii="Arial" w:hAnsi="Arial" w:cs="Arial"/>
          <w:sz w:val="20"/>
          <w:szCs w:val="20"/>
        </w:rPr>
        <w:t>,</w:t>
      </w:r>
      <w:r w:rsidR="00A84486" w:rsidRPr="00233453">
        <w:rPr>
          <w:rFonts w:ascii="Arial" w:hAnsi="Arial" w:cs="Arial"/>
          <w:sz w:val="20"/>
          <w:szCs w:val="20"/>
        </w:rPr>
        <w:t xml:space="preserve"> jak na </w:t>
      </w:r>
      <w:r w:rsidR="00BB524F" w:rsidRPr="00233453">
        <w:rPr>
          <w:rFonts w:ascii="Arial" w:hAnsi="Arial" w:cs="Arial"/>
          <w:sz w:val="20"/>
          <w:szCs w:val="20"/>
        </w:rPr>
        <w:t>sankce</w:t>
      </w:r>
      <w:r w:rsidR="00A84486" w:rsidRPr="00233453">
        <w:rPr>
          <w:rFonts w:ascii="Arial" w:hAnsi="Arial" w:cs="Arial"/>
          <w:sz w:val="20"/>
          <w:szCs w:val="20"/>
        </w:rPr>
        <w:t xml:space="preserve"> proti Rusku zareaguje trh. Probíhající válka také téměř zastavila celý </w:t>
      </w:r>
      <w:r w:rsidR="00BB524F">
        <w:rPr>
          <w:rFonts w:ascii="Arial" w:hAnsi="Arial" w:cs="Arial"/>
          <w:sz w:val="20"/>
          <w:szCs w:val="20"/>
        </w:rPr>
        <w:t xml:space="preserve">segment </w:t>
      </w:r>
      <w:r w:rsidR="00A84486" w:rsidRPr="00233453">
        <w:rPr>
          <w:rFonts w:ascii="Arial" w:hAnsi="Arial" w:cs="Arial"/>
          <w:sz w:val="20"/>
          <w:szCs w:val="20"/>
        </w:rPr>
        <w:t>automotiv</w:t>
      </w:r>
      <w:r w:rsidR="00BB524F">
        <w:rPr>
          <w:rFonts w:ascii="Arial" w:hAnsi="Arial" w:cs="Arial"/>
          <w:sz w:val="20"/>
          <w:szCs w:val="20"/>
        </w:rPr>
        <w:t>e</w:t>
      </w:r>
      <w:r w:rsidR="00A84486" w:rsidRPr="00233453">
        <w:rPr>
          <w:rFonts w:ascii="Arial" w:hAnsi="Arial" w:cs="Arial"/>
          <w:sz w:val="20"/>
          <w:szCs w:val="20"/>
        </w:rPr>
        <w:t>, jelikož některé komponenty se vyráb</w:t>
      </w:r>
      <w:r w:rsidR="00BB524F">
        <w:rPr>
          <w:rFonts w:ascii="Arial" w:hAnsi="Arial" w:cs="Arial"/>
          <w:sz w:val="20"/>
          <w:szCs w:val="20"/>
        </w:rPr>
        <w:t>ěj</w:t>
      </w:r>
      <w:r w:rsidR="00A84486" w:rsidRPr="00233453">
        <w:rPr>
          <w:rFonts w:ascii="Arial" w:hAnsi="Arial" w:cs="Arial"/>
          <w:sz w:val="20"/>
          <w:szCs w:val="20"/>
        </w:rPr>
        <w:t xml:space="preserve">í pouze na Ukrajině nebo v Rusku. </w:t>
      </w:r>
    </w:p>
    <w:p w14:paraId="2084E4E2" w14:textId="77777777" w:rsidR="00A84486" w:rsidRDefault="00A84486" w:rsidP="00A84486">
      <w:pPr>
        <w:jc w:val="both"/>
        <w:rPr>
          <w:rFonts w:ascii="Arial" w:hAnsi="Arial" w:cs="Arial"/>
          <w:sz w:val="20"/>
          <w:szCs w:val="20"/>
        </w:rPr>
      </w:pPr>
    </w:p>
    <w:p w14:paraId="6773870F" w14:textId="6C384BEE" w:rsidR="00A84486" w:rsidRPr="00233453" w:rsidRDefault="001B21B5" w:rsidP="00A84486">
      <w:pPr>
        <w:jc w:val="both"/>
        <w:rPr>
          <w:rFonts w:ascii="Arial" w:hAnsi="Arial" w:cs="Arial"/>
          <w:sz w:val="20"/>
          <w:szCs w:val="20"/>
        </w:rPr>
      </w:pPr>
      <w:r w:rsidRPr="001B21B5">
        <w:rPr>
          <w:rFonts w:ascii="Arial" w:hAnsi="Arial" w:cs="Arial"/>
          <w:i/>
          <w:sz w:val="20"/>
          <w:szCs w:val="20"/>
        </w:rPr>
        <w:t>„</w:t>
      </w:r>
      <w:r w:rsidR="00895B78" w:rsidRPr="001B21B5">
        <w:rPr>
          <w:rFonts w:ascii="Arial" w:hAnsi="Arial" w:cs="Arial"/>
          <w:i/>
          <w:sz w:val="20"/>
          <w:szCs w:val="20"/>
        </w:rPr>
        <w:t xml:space="preserve">Únorový pokles akciových fondů je třeba chápat jako přirozenou věc. Investoři by </w:t>
      </w:r>
      <w:r w:rsidRPr="001B21B5">
        <w:rPr>
          <w:rFonts w:ascii="Arial" w:hAnsi="Arial" w:cs="Arial"/>
          <w:i/>
          <w:sz w:val="20"/>
          <w:szCs w:val="20"/>
        </w:rPr>
        <w:t>tak</w:t>
      </w:r>
      <w:r w:rsidR="00895B78" w:rsidRPr="001B21B5">
        <w:rPr>
          <w:rFonts w:ascii="Arial" w:hAnsi="Arial" w:cs="Arial"/>
          <w:i/>
          <w:sz w:val="20"/>
          <w:szCs w:val="20"/>
        </w:rPr>
        <w:t xml:space="preserve"> měli být na podobnou volatilitu připraveni, dodržovat </w:t>
      </w:r>
      <w:r w:rsidRPr="001B21B5">
        <w:rPr>
          <w:rFonts w:ascii="Arial" w:hAnsi="Arial" w:cs="Arial"/>
          <w:i/>
          <w:sz w:val="20"/>
          <w:szCs w:val="20"/>
        </w:rPr>
        <w:t>disciplínu a časový horizont investice</w:t>
      </w:r>
      <w:r w:rsidR="00A84486" w:rsidRPr="001B21B5">
        <w:rPr>
          <w:rFonts w:ascii="Arial" w:hAnsi="Arial" w:cs="Arial"/>
          <w:i/>
          <w:sz w:val="20"/>
          <w:szCs w:val="20"/>
        </w:rPr>
        <w:t xml:space="preserve">. V historii již </w:t>
      </w:r>
      <w:r w:rsidR="00895B78" w:rsidRPr="001B21B5">
        <w:rPr>
          <w:rFonts w:ascii="Arial" w:hAnsi="Arial" w:cs="Arial"/>
          <w:i/>
          <w:sz w:val="20"/>
          <w:szCs w:val="20"/>
        </w:rPr>
        <w:t>na trhu došlo k</w:t>
      </w:r>
      <w:r w:rsidR="00A84486" w:rsidRPr="001B21B5">
        <w:rPr>
          <w:rFonts w:ascii="Arial" w:hAnsi="Arial" w:cs="Arial"/>
          <w:i/>
          <w:sz w:val="20"/>
          <w:szCs w:val="20"/>
        </w:rPr>
        <w:t xml:space="preserve"> </w:t>
      </w:r>
      <w:r w:rsidR="00895B78" w:rsidRPr="001B21B5">
        <w:rPr>
          <w:rFonts w:ascii="Arial" w:hAnsi="Arial" w:cs="Arial"/>
          <w:i/>
          <w:sz w:val="20"/>
          <w:szCs w:val="20"/>
        </w:rPr>
        <w:t>celé řadě korekcí</w:t>
      </w:r>
      <w:r w:rsidR="00A84486" w:rsidRPr="001B21B5">
        <w:rPr>
          <w:rFonts w:ascii="Arial" w:hAnsi="Arial" w:cs="Arial"/>
          <w:i/>
          <w:sz w:val="20"/>
          <w:szCs w:val="20"/>
        </w:rPr>
        <w:t xml:space="preserve">, které </w:t>
      </w:r>
      <w:r w:rsidR="00895B78" w:rsidRPr="001B21B5">
        <w:rPr>
          <w:rFonts w:ascii="Arial" w:hAnsi="Arial" w:cs="Arial"/>
          <w:i/>
          <w:sz w:val="20"/>
          <w:szCs w:val="20"/>
        </w:rPr>
        <w:t>z krátkodobého hlediska vypadaly vždy katastrofálně. P</w:t>
      </w:r>
      <w:r w:rsidR="00A84486" w:rsidRPr="001B21B5">
        <w:rPr>
          <w:rFonts w:ascii="Arial" w:hAnsi="Arial" w:cs="Arial"/>
          <w:i/>
          <w:sz w:val="20"/>
          <w:szCs w:val="20"/>
        </w:rPr>
        <w:t xml:space="preserve">ři </w:t>
      </w:r>
      <w:r w:rsidR="00895B78" w:rsidRPr="001B21B5">
        <w:rPr>
          <w:rFonts w:ascii="Arial" w:hAnsi="Arial" w:cs="Arial"/>
          <w:i/>
          <w:sz w:val="20"/>
          <w:szCs w:val="20"/>
        </w:rPr>
        <w:t xml:space="preserve">pohledu na dlouhodobý vývoj </w:t>
      </w:r>
      <w:r w:rsidR="00A84486" w:rsidRPr="001B21B5">
        <w:rPr>
          <w:rFonts w:ascii="Arial" w:hAnsi="Arial" w:cs="Arial"/>
          <w:i/>
          <w:sz w:val="20"/>
          <w:szCs w:val="20"/>
        </w:rPr>
        <w:t>lze</w:t>
      </w:r>
      <w:r w:rsidR="00895B78" w:rsidRPr="001B21B5">
        <w:rPr>
          <w:rFonts w:ascii="Arial" w:hAnsi="Arial" w:cs="Arial"/>
          <w:i/>
          <w:sz w:val="20"/>
          <w:szCs w:val="20"/>
        </w:rPr>
        <w:t xml:space="preserve"> ovšem</w:t>
      </w:r>
      <w:r w:rsidR="00A84486" w:rsidRPr="001B21B5">
        <w:rPr>
          <w:rFonts w:ascii="Arial" w:hAnsi="Arial" w:cs="Arial"/>
          <w:i/>
          <w:sz w:val="20"/>
          <w:szCs w:val="20"/>
        </w:rPr>
        <w:t xml:space="preserve"> korekci považovat </w:t>
      </w:r>
      <w:r w:rsidRPr="001B21B5">
        <w:rPr>
          <w:rFonts w:ascii="Arial" w:hAnsi="Arial" w:cs="Arial"/>
          <w:i/>
          <w:sz w:val="20"/>
          <w:szCs w:val="20"/>
        </w:rPr>
        <w:t xml:space="preserve">za </w:t>
      </w:r>
      <w:r w:rsidR="00A84486" w:rsidRPr="001B21B5">
        <w:rPr>
          <w:rFonts w:ascii="Arial" w:hAnsi="Arial" w:cs="Arial"/>
          <w:i/>
          <w:sz w:val="20"/>
          <w:szCs w:val="20"/>
        </w:rPr>
        <w:t xml:space="preserve">téměř bezvýznamnou. </w:t>
      </w:r>
      <w:r w:rsidRPr="001B21B5">
        <w:rPr>
          <w:rFonts w:ascii="Arial" w:hAnsi="Arial" w:cs="Arial"/>
          <w:i/>
          <w:sz w:val="20"/>
          <w:szCs w:val="20"/>
        </w:rPr>
        <w:t>Pro běžného investora je zásadní vědět, že ke</w:t>
      </w:r>
      <w:r w:rsidR="00A84486" w:rsidRPr="001B21B5">
        <w:rPr>
          <w:rFonts w:ascii="Arial" w:hAnsi="Arial" w:cs="Arial"/>
          <w:i/>
          <w:sz w:val="20"/>
          <w:szCs w:val="20"/>
        </w:rPr>
        <w:t xml:space="preserve"> korekcím </w:t>
      </w:r>
      <w:r w:rsidR="00895B78" w:rsidRPr="001B21B5">
        <w:rPr>
          <w:rFonts w:ascii="Arial" w:hAnsi="Arial" w:cs="Arial"/>
          <w:i/>
          <w:sz w:val="20"/>
          <w:szCs w:val="20"/>
        </w:rPr>
        <w:t xml:space="preserve">na trhu </w:t>
      </w:r>
      <w:r w:rsidRPr="001B21B5">
        <w:rPr>
          <w:rFonts w:ascii="Arial" w:hAnsi="Arial" w:cs="Arial"/>
          <w:i/>
          <w:sz w:val="20"/>
          <w:szCs w:val="20"/>
        </w:rPr>
        <w:t xml:space="preserve">může a bude </w:t>
      </w:r>
      <w:r w:rsidR="00A84486" w:rsidRPr="001B21B5">
        <w:rPr>
          <w:rFonts w:ascii="Arial" w:hAnsi="Arial" w:cs="Arial"/>
          <w:i/>
          <w:sz w:val="20"/>
          <w:szCs w:val="20"/>
        </w:rPr>
        <w:t>docházet z jakýchkoliv důvodů</w:t>
      </w:r>
      <w:r w:rsidRPr="001B21B5">
        <w:rPr>
          <w:rFonts w:ascii="Arial" w:hAnsi="Arial" w:cs="Arial"/>
          <w:i/>
          <w:sz w:val="20"/>
          <w:szCs w:val="20"/>
        </w:rPr>
        <w:t>, válečné konflikty bohužel nevyjímaje,“</w:t>
      </w:r>
      <w:r>
        <w:rPr>
          <w:rFonts w:ascii="Arial" w:hAnsi="Arial" w:cs="Arial"/>
          <w:sz w:val="20"/>
          <w:szCs w:val="20"/>
        </w:rPr>
        <w:t xml:space="preserve"> říká</w:t>
      </w:r>
      <w:r w:rsidRPr="001B21B5">
        <w:t xml:space="preserve"> </w:t>
      </w:r>
      <w:r w:rsidRPr="00A37D04">
        <w:rPr>
          <w:rFonts w:ascii="Arial" w:hAnsi="Arial" w:cs="Arial"/>
          <w:b/>
          <w:sz w:val="20"/>
          <w:szCs w:val="20"/>
        </w:rPr>
        <w:t>Dominik Šulta, analytik konzervativních investic společnosti Broker Consulting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8FBE560" w14:textId="77777777" w:rsidR="00A84486" w:rsidRDefault="00A84486" w:rsidP="00A84486">
      <w:pPr>
        <w:jc w:val="both"/>
        <w:rPr>
          <w:rFonts w:ascii="Arial" w:hAnsi="Arial" w:cs="Arial"/>
          <w:sz w:val="20"/>
          <w:szCs w:val="20"/>
        </w:rPr>
      </w:pPr>
    </w:p>
    <w:p w14:paraId="56114927" w14:textId="6CC973D2" w:rsidR="00A84486" w:rsidRPr="00233453" w:rsidRDefault="001B21B5" w:rsidP="00A8448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Největší nárůst si v únoru připsaly komoditní fondy, a to 9,30 %. </w:t>
      </w:r>
      <w:r w:rsidR="00A84486" w:rsidRPr="00233453">
        <w:rPr>
          <w:rFonts w:ascii="Arial" w:hAnsi="Arial" w:cs="Arial"/>
          <w:sz w:val="20"/>
          <w:szCs w:val="20"/>
        </w:rPr>
        <w:t xml:space="preserve">Ceny </w:t>
      </w:r>
      <w:r w:rsidR="00A84486" w:rsidRPr="001B21B5">
        <w:rPr>
          <w:rFonts w:ascii="Arial" w:hAnsi="Arial" w:cs="Arial"/>
          <w:sz w:val="20"/>
          <w:szCs w:val="20"/>
        </w:rPr>
        <w:t xml:space="preserve">komodit </w:t>
      </w:r>
      <w:r w:rsidR="00157FA9">
        <w:rPr>
          <w:rFonts w:ascii="Arial" w:hAnsi="Arial" w:cs="Arial"/>
          <w:sz w:val="20"/>
          <w:szCs w:val="20"/>
        </w:rPr>
        <w:t>šplhají</w:t>
      </w:r>
      <w:r>
        <w:rPr>
          <w:rFonts w:ascii="Arial" w:hAnsi="Arial" w:cs="Arial"/>
          <w:sz w:val="20"/>
          <w:szCs w:val="20"/>
        </w:rPr>
        <w:t xml:space="preserve"> neustále nahoru </w:t>
      </w:r>
      <w:r w:rsidR="00A84486" w:rsidRPr="00233453">
        <w:rPr>
          <w:rFonts w:ascii="Arial" w:hAnsi="Arial" w:cs="Arial"/>
          <w:sz w:val="20"/>
          <w:szCs w:val="20"/>
        </w:rPr>
        <w:t>v obavách, že Rusko přestane</w:t>
      </w:r>
      <w:r w:rsidR="00157FA9">
        <w:rPr>
          <w:rFonts w:ascii="Arial" w:hAnsi="Arial" w:cs="Arial"/>
          <w:sz w:val="20"/>
          <w:szCs w:val="20"/>
        </w:rPr>
        <w:t xml:space="preserve"> dodávat do Evropy plyn a ropu. Únorové zdražování </w:t>
      </w:r>
      <w:r w:rsidR="00157FA9" w:rsidRPr="00233453">
        <w:rPr>
          <w:rFonts w:ascii="Arial" w:hAnsi="Arial" w:cs="Arial"/>
          <w:sz w:val="20"/>
          <w:szCs w:val="20"/>
        </w:rPr>
        <w:t>pohonných hmot</w:t>
      </w:r>
      <w:r w:rsidR="00157FA9">
        <w:rPr>
          <w:rFonts w:ascii="Arial" w:hAnsi="Arial" w:cs="Arial"/>
          <w:sz w:val="20"/>
          <w:szCs w:val="20"/>
        </w:rPr>
        <w:t xml:space="preserve"> pokračuje v březnu ještě rychlejším tempem. Lze tak očekávat, že každým dnem budou ceny benzínu </w:t>
      </w:r>
      <w:r w:rsidR="007A0849">
        <w:rPr>
          <w:rFonts w:ascii="Arial" w:hAnsi="Arial" w:cs="Arial"/>
          <w:sz w:val="20"/>
          <w:szCs w:val="20"/>
        </w:rPr>
        <w:t>a</w:t>
      </w:r>
      <w:r w:rsidR="00157FA9">
        <w:rPr>
          <w:rFonts w:ascii="Arial" w:hAnsi="Arial" w:cs="Arial"/>
          <w:sz w:val="20"/>
          <w:szCs w:val="20"/>
        </w:rPr>
        <w:t xml:space="preserve"> nafty</w:t>
      </w:r>
      <w:r w:rsidR="00157FA9" w:rsidRPr="00233453">
        <w:rPr>
          <w:rFonts w:ascii="Arial" w:hAnsi="Arial" w:cs="Arial"/>
          <w:sz w:val="20"/>
          <w:szCs w:val="20"/>
        </w:rPr>
        <w:t xml:space="preserve"> dosahovat nového maxima</w:t>
      </w:r>
      <w:r w:rsidR="00157FA9">
        <w:rPr>
          <w:rFonts w:ascii="Arial" w:hAnsi="Arial" w:cs="Arial"/>
          <w:sz w:val="20"/>
          <w:szCs w:val="20"/>
        </w:rPr>
        <w:t xml:space="preserve"> </w:t>
      </w:r>
      <w:r w:rsidR="00A84486" w:rsidRPr="00233453">
        <w:rPr>
          <w:rFonts w:ascii="Arial" w:hAnsi="Arial" w:cs="Arial"/>
          <w:sz w:val="20"/>
          <w:szCs w:val="20"/>
        </w:rPr>
        <w:t>vzhledem k tomu, že vláda nepl</w:t>
      </w:r>
      <w:r w:rsidR="00157FA9">
        <w:rPr>
          <w:rFonts w:ascii="Arial" w:hAnsi="Arial" w:cs="Arial"/>
          <w:sz w:val="20"/>
          <w:szCs w:val="20"/>
        </w:rPr>
        <w:t xml:space="preserve">ánuje </w:t>
      </w:r>
      <w:r w:rsidR="007A0849">
        <w:rPr>
          <w:rFonts w:ascii="Arial" w:hAnsi="Arial" w:cs="Arial"/>
          <w:sz w:val="20"/>
          <w:szCs w:val="20"/>
        </w:rPr>
        <w:t xml:space="preserve">zastropovat </w:t>
      </w:r>
      <w:r w:rsidR="00157FA9">
        <w:rPr>
          <w:rFonts w:ascii="Arial" w:hAnsi="Arial" w:cs="Arial"/>
          <w:sz w:val="20"/>
          <w:szCs w:val="20"/>
        </w:rPr>
        <w:t xml:space="preserve">čerpacím stanicím </w:t>
      </w:r>
      <w:r w:rsidR="007A0849">
        <w:rPr>
          <w:rFonts w:ascii="Arial" w:hAnsi="Arial" w:cs="Arial"/>
          <w:sz w:val="20"/>
          <w:szCs w:val="20"/>
        </w:rPr>
        <w:t>ceny</w:t>
      </w:r>
      <w:r w:rsidR="00A84486" w:rsidRPr="00233453">
        <w:rPr>
          <w:rFonts w:ascii="Arial" w:hAnsi="Arial" w:cs="Arial"/>
          <w:sz w:val="20"/>
          <w:szCs w:val="20"/>
        </w:rPr>
        <w:t xml:space="preserve"> </w:t>
      </w:r>
      <w:r w:rsidR="00157FA9">
        <w:rPr>
          <w:rFonts w:ascii="Arial" w:hAnsi="Arial" w:cs="Arial"/>
          <w:sz w:val="20"/>
          <w:szCs w:val="20"/>
        </w:rPr>
        <w:t>těchto pohonných hmot.</w:t>
      </w:r>
      <w:r w:rsidR="00915DB2">
        <w:rPr>
          <w:rFonts w:ascii="Arial" w:hAnsi="Arial" w:cs="Arial"/>
          <w:sz w:val="20"/>
          <w:szCs w:val="20"/>
        </w:rPr>
        <w:t xml:space="preserve"> Lze také předpokládat, že jejich zdražování povede</w:t>
      </w:r>
      <w:r w:rsidR="007A0849">
        <w:rPr>
          <w:rFonts w:ascii="Arial" w:hAnsi="Arial" w:cs="Arial"/>
          <w:sz w:val="20"/>
          <w:szCs w:val="20"/>
        </w:rPr>
        <w:t xml:space="preserve"> i</w:t>
      </w:r>
      <w:r w:rsidR="00915DB2">
        <w:rPr>
          <w:rFonts w:ascii="Arial" w:hAnsi="Arial" w:cs="Arial"/>
          <w:sz w:val="20"/>
          <w:szCs w:val="20"/>
        </w:rPr>
        <w:t xml:space="preserve"> k rychlejšímu zdražování veškerých výrobků, jejichž ceny už v posledních měsících </w:t>
      </w:r>
      <w:r w:rsidR="007A0849">
        <w:rPr>
          <w:rFonts w:ascii="Arial" w:hAnsi="Arial" w:cs="Arial"/>
          <w:sz w:val="20"/>
          <w:szCs w:val="20"/>
        </w:rPr>
        <w:t xml:space="preserve">beztak </w:t>
      </w:r>
      <w:r w:rsidR="00915DB2">
        <w:rPr>
          <w:rFonts w:ascii="Arial" w:hAnsi="Arial" w:cs="Arial"/>
          <w:sz w:val="20"/>
          <w:szCs w:val="20"/>
        </w:rPr>
        <w:t xml:space="preserve">rostou </w:t>
      </w:r>
      <w:r w:rsidR="00A84486" w:rsidRPr="00233453">
        <w:rPr>
          <w:rFonts w:ascii="Arial" w:hAnsi="Arial" w:cs="Arial"/>
          <w:sz w:val="20"/>
          <w:szCs w:val="20"/>
        </w:rPr>
        <w:t xml:space="preserve">kvůli </w:t>
      </w:r>
      <w:r w:rsidR="00915DB2">
        <w:rPr>
          <w:rFonts w:ascii="Arial" w:hAnsi="Arial" w:cs="Arial"/>
          <w:sz w:val="20"/>
          <w:szCs w:val="20"/>
        </w:rPr>
        <w:t>vysoké</w:t>
      </w:r>
      <w:r w:rsidR="00A84486" w:rsidRPr="00233453">
        <w:rPr>
          <w:rFonts w:ascii="Arial" w:hAnsi="Arial" w:cs="Arial"/>
          <w:sz w:val="20"/>
          <w:szCs w:val="20"/>
        </w:rPr>
        <w:t xml:space="preserve"> inflaci. Prudce </w:t>
      </w:r>
      <w:r w:rsidR="00915DB2">
        <w:rPr>
          <w:rFonts w:ascii="Arial" w:hAnsi="Arial" w:cs="Arial"/>
          <w:sz w:val="20"/>
          <w:szCs w:val="20"/>
        </w:rPr>
        <w:t>se zvyšuje i</w:t>
      </w:r>
      <w:r w:rsidR="00A84486" w:rsidRPr="00233453">
        <w:rPr>
          <w:rFonts w:ascii="Arial" w:hAnsi="Arial" w:cs="Arial"/>
          <w:sz w:val="20"/>
          <w:szCs w:val="20"/>
        </w:rPr>
        <w:t xml:space="preserve"> cena zemědě</w:t>
      </w:r>
      <w:r w:rsidR="00915DB2">
        <w:rPr>
          <w:rFonts w:ascii="Arial" w:hAnsi="Arial" w:cs="Arial"/>
          <w:sz w:val="20"/>
          <w:szCs w:val="20"/>
        </w:rPr>
        <w:t xml:space="preserve">lských komodit, a s největší pravděpodobností tak přispěje k nárůstu cen </w:t>
      </w:r>
      <w:r w:rsidR="00A84486" w:rsidRPr="00233453">
        <w:rPr>
          <w:rFonts w:ascii="Arial" w:hAnsi="Arial" w:cs="Arial"/>
          <w:sz w:val="20"/>
          <w:szCs w:val="20"/>
        </w:rPr>
        <w:t>zemědělských produktů. Od začátku</w:t>
      </w:r>
      <w:r w:rsidR="00915DB2">
        <w:rPr>
          <w:rFonts w:ascii="Arial" w:hAnsi="Arial" w:cs="Arial"/>
          <w:sz w:val="20"/>
          <w:szCs w:val="20"/>
        </w:rPr>
        <w:t xml:space="preserve"> letošního</w:t>
      </w:r>
      <w:r w:rsidR="00A84486" w:rsidRPr="00233453">
        <w:rPr>
          <w:rFonts w:ascii="Arial" w:hAnsi="Arial" w:cs="Arial"/>
          <w:sz w:val="20"/>
          <w:szCs w:val="20"/>
        </w:rPr>
        <w:t xml:space="preserve"> roku</w:t>
      </w:r>
      <w:r w:rsidR="00E42296">
        <w:rPr>
          <w:rFonts w:ascii="Arial" w:hAnsi="Arial" w:cs="Arial"/>
          <w:sz w:val="20"/>
          <w:szCs w:val="20"/>
        </w:rPr>
        <w:t xml:space="preserve"> přitom komoditní fondy</w:t>
      </w:r>
      <w:r w:rsidR="00915DB2">
        <w:rPr>
          <w:rFonts w:ascii="Arial" w:hAnsi="Arial" w:cs="Arial"/>
          <w:sz w:val="20"/>
          <w:szCs w:val="20"/>
        </w:rPr>
        <w:t xml:space="preserve"> vzrostly </w:t>
      </w:r>
      <w:r w:rsidR="00A84486" w:rsidRPr="00233453">
        <w:rPr>
          <w:rFonts w:ascii="Arial" w:hAnsi="Arial" w:cs="Arial"/>
          <w:sz w:val="20"/>
          <w:szCs w:val="20"/>
        </w:rPr>
        <w:t>o</w:t>
      </w:r>
      <w:r w:rsidR="00A37D04">
        <w:rPr>
          <w:rFonts w:ascii="Arial" w:hAnsi="Arial" w:cs="Arial"/>
          <w:sz w:val="20"/>
          <w:szCs w:val="20"/>
        </w:rPr>
        <w:t xml:space="preserve"> bezmála 61 %.</w:t>
      </w:r>
      <w:r w:rsidR="007A0849">
        <w:rPr>
          <w:rFonts w:ascii="Arial" w:hAnsi="Arial" w:cs="Arial"/>
          <w:sz w:val="20"/>
          <w:szCs w:val="20"/>
        </w:rPr>
        <w:t xml:space="preserve"> </w:t>
      </w:r>
    </w:p>
    <w:p w14:paraId="7B4C2B02" w14:textId="77777777" w:rsidR="00A84486" w:rsidRDefault="00A84486" w:rsidP="00A84486">
      <w:pPr>
        <w:jc w:val="both"/>
        <w:rPr>
          <w:rFonts w:ascii="Arial" w:hAnsi="Arial" w:cs="Arial"/>
          <w:b/>
          <w:sz w:val="20"/>
          <w:szCs w:val="20"/>
        </w:rPr>
      </w:pPr>
    </w:p>
    <w:p w14:paraId="1A4A098E" w14:textId="77777777" w:rsidR="00526D02" w:rsidRDefault="00A84486" w:rsidP="00A84486">
      <w:pPr>
        <w:jc w:val="both"/>
        <w:rPr>
          <w:rFonts w:ascii="Arial" w:hAnsi="Arial" w:cs="Arial"/>
          <w:sz w:val="20"/>
          <w:szCs w:val="20"/>
        </w:rPr>
      </w:pPr>
      <w:r w:rsidRPr="00526D02">
        <w:rPr>
          <w:rFonts w:ascii="Arial" w:hAnsi="Arial" w:cs="Arial"/>
          <w:sz w:val="20"/>
          <w:szCs w:val="20"/>
        </w:rPr>
        <w:t>Fondy peněžního trhy a nemovitostí fondy</w:t>
      </w:r>
      <w:r w:rsidR="00526D02">
        <w:rPr>
          <w:rFonts w:ascii="Arial" w:hAnsi="Arial" w:cs="Arial"/>
          <w:sz w:val="20"/>
          <w:szCs w:val="20"/>
        </w:rPr>
        <w:t>,</w:t>
      </w:r>
      <w:r w:rsidRPr="004C0D28">
        <w:rPr>
          <w:rFonts w:ascii="Arial" w:hAnsi="Arial" w:cs="Arial"/>
          <w:b/>
          <w:sz w:val="20"/>
          <w:szCs w:val="20"/>
        </w:rPr>
        <w:t xml:space="preserve"> </w:t>
      </w:r>
      <w:r w:rsidR="00526D02">
        <w:rPr>
          <w:rFonts w:ascii="Arial" w:hAnsi="Arial" w:cs="Arial"/>
          <w:sz w:val="20"/>
          <w:szCs w:val="20"/>
        </w:rPr>
        <w:t>na rozdíl od fondů akciových, pro</w:t>
      </w:r>
      <w:r w:rsidR="00526D02" w:rsidRPr="00233453">
        <w:rPr>
          <w:rFonts w:ascii="Arial" w:hAnsi="Arial" w:cs="Arial"/>
          <w:sz w:val="20"/>
          <w:szCs w:val="20"/>
        </w:rPr>
        <w:t xml:space="preserve">zatím </w:t>
      </w:r>
      <w:r w:rsidR="00526D02">
        <w:rPr>
          <w:rFonts w:ascii="Arial" w:hAnsi="Arial" w:cs="Arial"/>
          <w:sz w:val="20"/>
          <w:szCs w:val="20"/>
        </w:rPr>
        <w:t xml:space="preserve">na současnou situaci nezareagovaly poklesem a naopak se drží </w:t>
      </w:r>
      <w:r w:rsidRPr="00233453">
        <w:rPr>
          <w:rFonts w:ascii="Arial" w:hAnsi="Arial" w:cs="Arial"/>
          <w:sz w:val="20"/>
          <w:szCs w:val="20"/>
        </w:rPr>
        <w:t>v</w:t>
      </w:r>
      <w:r w:rsidR="00526D02">
        <w:rPr>
          <w:rFonts w:ascii="Arial" w:hAnsi="Arial" w:cs="Arial"/>
          <w:sz w:val="20"/>
          <w:szCs w:val="20"/>
        </w:rPr>
        <w:t xml:space="preserve"> mírném pozitivním růstu. Za únor si tak připsaly 0,30 %, resp. 0,12 %. </w:t>
      </w:r>
    </w:p>
    <w:p w14:paraId="7A4C71EB" w14:textId="77777777" w:rsidR="007A0849" w:rsidRDefault="007A0849" w:rsidP="00A84486">
      <w:pPr>
        <w:jc w:val="both"/>
        <w:rPr>
          <w:rFonts w:ascii="Arial" w:hAnsi="Arial" w:cs="Arial"/>
          <w:sz w:val="20"/>
          <w:szCs w:val="20"/>
        </w:rPr>
      </w:pPr>
    </w:p>
    <w:p w14:paraId="70303CEC" w14:textId="65CBDDDC" w:rsidR="00A84486" w:rsidRDefault="007A0849" w:rsidP="00A8448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Naproti tomu d</w:t>
      </w:r>
      <w:r w:rsidR="00A84486" w:rsidRPr="00526D02">
        <w:rPr>
          <w:rFonts w:ascii="Arial" w:hAnsi="Arial" w:cs="Arial"/>
          <w:sz w:val="20"/>
          <w:szCs w:val="20"/>
        </w:rPr>
        <w:t>luhopisové fondy</w:t>
      </w:r>
      <w:r w:rsidR="00526D02">
        <w:rPr>
          <w:rFonts w:ascii="Arial" w:hAnsi="Arial" w:cs="Arial"/>
          <w:sz w:val="20"/>
          <w:szCs w:val="20"/>
        </w:rPr>
        <w:t xml:space="preserve"> ve druhém měsíci letošního roku </w:t>
      </w:r>
      <w:r>
        <w:rPr>
          <w:rFonts w:ascii="Arial" w:hAnsi="Arial" w:cs="Arial"/>
          <w:sz w:val="20"/>
          <w:szCs w:val="20"/>
        </w:rPr>
        <w:t>pokračovaly ve ztrátě</w:t>
      </w:r>
      <w:r w:rsidR="00526D02">
        <w:rPr>
          <w:rFonts w:ascii="Arial" w:hAnsi="Arial" w:cs="Arial"/>
          <w:sz w:val="20"/>
          <w:szCs w:val="20"/>
        </w:rPr>
        <w:t xml:space="preserve">, a to na úroveň -0,98 %. Jejich pokles je důsledkem </w:t>
      </w:r>
      <w:r w:rsidR="00A84486" w:rsidRPr="00233453">
        <w:rPr>
          <w:rFonts w:ascii="Arial" w:hAnsi="Arial" w:cs="Arial"/>
          <w:sz w:val="20"/>
          <w:szCs w:val="20"/>
        </w:rPr>
        <w:t xml:space="preserve">předešlému </w:t>
      </w:r>
      <w:bookmarkStart w:id="0" w:name="_GoBack"/>
      <w:bookmarkEnd w:id="0"/>
      <w:r w:rsidR="00A84486" w:rsidRPr="00233453">
        <w:rPr>
          <w:rFonts w:ascii="Arial" w:hAnsi="Arial" w:cs="Arial"/>
          <w:sz w:val="20"/>
          <w:szCs w:val="20"/>
        </w:rPr>
        <w:t>zvyšování úrokových sazeb</w:t>
      </w:r>
      <w:r w:rsidR="00526D02">
        <w:rPr>
          <w:rFonts w:ascii="Arial" w:hAnsi="Arial" w:cs="Arial"/>
          <w:sz w:val="20"/>
          <w:szCs w:val="20"/>
        </w:rPr>
        <w:t>. Celkově už od začátku roku</w:t>
      </w:r>
      <w:r w:rsidR="0048788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odepsaly</w:t>
      </w:r>
      <w:r w:rsidR="0048788A">
        <w:rPr>
          <w:rFonts w:ascii="Arial" w:hAnsi="Arial" w:cs="Arial"/>
          <w:sz w:val="20"/>
          <w:szCs w:val="20"/>
        </w:rPr>
        <w:t xml:space="preserve"> -3,58 %</w:t>
      </w:r>
      <w:r w:rsidR="00A84486" w:rsidRPr="00233453">
        <w:rPr>
          <w:rFonts w:ascii="Arial" w:hAnsi="Arial" w:cs="Arial"/>
          <w:sz w:val="20"/>
          <w:szCs w:val="20"/>
        </w:rPr>
        <w:t>.</w:t>
      </w:r>
    </w:p>
    <w:p w14:paraId="00477C7E" w14:textId="77777777" w:rsidR="0048788A" w:rsidRDefault="0048788A" w:rsidP="00A84486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3"/>
        <w:gridCol w:w="1464"/>
        <w:gridCol w:w="1379"/>
        <w:gridCol w:w="1386"/>
        <w:gridCol w:w="1464"/>
        <w:gridCol w:w="1402"/>
      </w:tblGrid>
      <w:tr w:rsidR="0048788A" w:rsidRPr="00334E02" w14:paraId="76CE3657" w14:textId="77777777" w:rsidTr="0048788A">
        <w:trPr>
          <w:trHeight w:val="322"/>
        </w:trPr>
        <w:tc>
          <w:tcPr>
            <w:tcW w:w="1033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0000"/>
            <w:vAlign w:val="center"/>
            <w:hideMark/>
          </w:tcPr>
          <w:p w14:paraId="5BC02EBF" w14:textId="77777777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</w:tc>
      </w:tr>
      <w:tr w:rsidR="0048788A" w:rsidRPr="00334E02" w14:paraId="43AA2195" w14:textId="77777777" w:rsidTr="0048788A">
        <w:trPr>
          <w:trHeight w:val="298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007A974" w14:textId="77777777" w:rsidR="0048788A" w:rsidRPr="00334E02" w:rsidRDefault="0048788A" w:rsidP="00B024DE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0FCBF1A" w14:textId="77777777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B3C1ADE" w14:textId="77777777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YTD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F47CF9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od začátku roku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DF88FE" w14:textId="77777777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9976A03" w14:textId="77777777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0CAEB1A" w14:textId="77777777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48788A" w:rsidRPr="00334E02" w14:paraId="290FC088" w14:textId="77777777" w:rsidTr="0048788A">
        <w:trPr>
          <w:trHeight w:val="298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72280" w14:textId="77777777" w:rsidR="0048788A" w:rsidRPr="00334E02" w:rsidRDefault="0048788A" w:rsidP="00B024D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Akciové fondy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36C62" w14:textId="38220528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-1,38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1A407" w14:textId="32FADDF8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3,60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E4B67" w14:textId="217A69FC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1,42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F845C" w14:textId="42B3D8DB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22,67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5A460" w14:textId="249673D1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30,97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8788A" w:rsidRPr="00334E02" w14:paraId="5700274C" w14:textId="77777777" w:rsidTr="0048788A">
        <w:trPr>
          <w:trHeight w:val="298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9EA16" w14:textId="77777777" w:rsidR="0048788A" w:rsidRPr="00334E02" w:rsidRDefault="0048788A" w:rsidP="00B024D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Dluhopisové fondy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62F2E" w14:textId="0C2C9EF5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-0,98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C9B60" w14:textId="5D2231F5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-3,58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19D67" w14:textId="70409C05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-7,43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02A19" w14:textId="089323C7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-5,23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BC4F7" w14:textId="3AE5F0F8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-9,88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8788A" w:rsidRPr="00334E02" w14:paraId="3034503E" w14:textId="77777777" w:rsidTr="0048788A">
        <w:trPr>
          <w:trHeight w:val="298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07A48" w14:textId="77777777" w:rsidR="0048788A" w:rsidRPr="00334E02" w:rsidRDefault="0048788A" w:rsidP="00B024D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Fondy peněžního trhu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FF6AC" w14:textId="26DAE529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0,30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6E826" w14:textId="03E36D0F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-0,76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4AE1A" w14:textId="79AE63D9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-4,30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81369" w14:textId="0FD03115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-0,48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DD4F33" w14:textId="225A1DFB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-1,97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8788A" w:rsidRPr="00334E02" w14:paraId="0D90F7DB" w14:textId="77777777" w:rsidTr="0048788A">
        <w:trPr>
          <w:trHeight w:val="298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7168A" w14:textId="77777777" w:rsidR="0048788A" w:rsidRPr="002601CA" w:rsidRDefault="0048788A" w:rsidP="00B024D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2601C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Komoditní fondy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898ED" w14:textId="36962CAA" w:rsidR="0048788A" w:rsidRPr="002601CA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9,30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FB269" w14:textId="46DB7EE3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60,94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C38B7" w14:textId="32397BBC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35,71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8A4C4" w14:textId="40F7B76A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52,21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5B657" w14:textId="763CEF63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46,82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  <w:tr w:rsidR="0048788A" w:rsidRPr="00334E02" w14:paraId="2971039A" w14:textId="77777777" w:rsidTr="0048788A">
        <w:trPr>
          <w:trHeight w:val="298"/>
        </w:trPr>
        <w:tc>
          <w:tcPr>
            <w:tcW w:w="3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154A5" w14:textId="77777777" w:rsidR="0048788A" w:rsidRPr="00334E02" w:rsidRDefault="0048788A" w:rsidP="00B024DE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Nemovitostní fondy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8E761" w14:textId="3A3C3646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0,12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138DF" w14:textId="6D9FAB45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0,26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FAB89" w14:textId="6FB56ED4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3,46</w:t>
            </w:r>
            <w:r w:rsidR="00E4229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48F85" w14:textId="7A442D9A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10,93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2B89B" w14:textId="1AB89491" w:rsidR="0048788A" w:rsidRPr="00334E02" w:rsidRDefault="0048788A" w:rsidP="00B024D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20,83</w:t>
            </w:r>
            <w:r w:rsidR="002601C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334E0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%</w:t>
            </w:r>
          </w:p>
        </w:tc>
      </w:tr>
    </w:tbl>
    <w:p w14:paraId="19408878" w14:textId="77777777" w:rsidR="0048788A" w:rsidRPr="00233453" w:rsidRDefault="0048788A" w:rsidP="00A84486">
      <w:pPr>
        <w:jc w:val="both"/>
        <w:rPr>
          <w:rFonts w:ascii="Arial" w:hAnsi="Arial" w:cs="Arial"/>
          <w:sz w:val="20"/>
          <w:szCs w:val="20"/>
        </w:rPr>
      </w:pPr>
    </w:p>
    <w:p w14:paraId="488A85B8" w14:textId="3E74653C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2B6ED2B9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www.bcas.cz/onas/pro-media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613E4D1" w14:textId="73E088E9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77777777" w:rsidR="00833ECF" w:rsidRDefault="00833ECF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66844AE4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</w:t>
      </w:r>
      <w:r>
        <w:rPr>
          <w:rFonts w:ascii="Arial" w:eastAsia="Times New Roman" w:hAnsi="Arial" w:cs="Arial"/>
          <w:sz w:val="20"/>
          <w:szCs w:val="20"/>
        </w:rPr>
        <w:lastRenderedPageBreak/>
        <w:t>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>Čeští investoři mají v podílových fondech zainvestován majetek ve výši zhruba 557 miliard korun. Fondy jsou velmi využívanou platformou pro dlouhodobé investování, zejména při vytváření rezerv pro období postaktivního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25594E3F" w14:textId="77777777" w:rsidR="00E05804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3F97DBB" w:rsidR="00E32181" w:rsidRPr="00E05804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0BABB" w14:textId="77777777" w:rsidR="002B03FE" w:rsidRDefault="002B03FE">
      <w:r>
        <w:separator/>
      </w:r>
    </w:p>
  </w:endnote>
  <w:endnote w:type="continuationSeparator" w:id="0">
    <w:p w14:paraId="5194A062" w14:textId="77777777" w:rsidR="002B03FE" w:rsidRDefault="002B0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B03FE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B03FE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B03FE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CEB65" w14:textId="77777777" w:rsidR="002B03FE" w:rsidRDefault="002B03FE">
      <w:r>
        <w:separator/>
      </w:r>
    </w:p>
  </w:footnote>
  <w:footnote w:type="continuationSeparator" w:id="0">
    <w:p w14:paraId="4114DE96" w14:textId="77777777" w:rsidR="002B03FE" w:rsidRDefault="002B03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FF5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012F"/>
    <w:rsid w:val="000611E3"/>
    <w:rsid w:val="000663B6"/>
    <w:rsid w:val="00070DAC"/>
    <w:rsid w:val="00073AD9"/>
    <w:rsid w:val="000766E7"/>
    <w:rsid w:val="00081616"/>
    <w:rsid w:val="000853D4"/>
    <w:rsid w:val="00090CF3"/>
    <w:rsid w:val="0009776B"/>
    <w:rsid w:val="000A60B9"/>
    <w:rsid w:val="000B060E"/>
    <w:rsid w:val="000D14E2"/>
    <w:rsid w:val="000E1085"/>
    <w:rsid w:val="000E3D86"/>
    <w:rsid w:val="000E672C"/>
    <w:rsid w:val="000E79A9"/>
    <w:rsid w:val="000F5AB4"/>
    <w:rsid w:val="000F6249"/>
    <w:rsid w:val="001068FC"/>
    <w:rsid w:val="001103A6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57FA9"/>
    <w:rsid w:val="00161879"/>
    <w:rsid w:val="00162672"/>
    <w:rsid w:val="00164CE5"/>
    <w:rsid w:val="001675AF"/>
    <w:rsid w:val="0017084B"/>
    <w:rsid w:val="001767A5"/>
    <w:rsid w:val="00180D72"/>
    <w:rsid w:val="00192716"/>
    <w:rsid w:val="0019453C"/>
    <w:rsid w:val="00197879"/>
    <w:rsid w:val="001A54DD"/>
    <w:rsid w:val="001A5E76"/>
    <w:rsid w:val="001A613B"/>
    <w:rsid w:val="001B088B"/>
    <w:rsid w:val="001B21B5"/>
    <w:rsid w:val="001B501B"/>
    <w:rsid w:val="001D015A"/>
    <w:rsid w:val="001D3DFC"/>
    <w:rsid w:val="001D5D27"/>
    <w:rsid w:val="001E4209"/>
    <w:rsid w:val="001F7194"/>
    <w:rsid w:val="001F71BA"/>
    <w:rsid w:val="002141AF"/>
    <w:rsid w:val="002217AA"/>
    <w:rsid w:val="002368F3"/>
    <w:rsid w:val="002368FB"/>
    <w:rsid w:val="00241313"/>
    <w:rsid w:val="0025264B"/>
    <w:rsid w:val="0025428A"/>
    <w:rsid w:val="002601CA"/>
    <w:rsid w:val="00265810"/>
    <w:rsid w:val="0026621E"/>
    <w:rsid w:val="00270DB3"/>
    <w:rsid w:val="00276C57"/>
    <w:rsid w:val="002831A1"/>
    <w:rsid w:val="00295407"/>
    <w:rsid w:val="00297CEA"/>
    <w:rsid w:val="002A4BC3"/>
    <w:rsid w:val="002A5439"/>
    <w:rsid w:val="002A7937"/>
    <w:rsid w:val="002B03FE"/>
    <w:rsid w:val="002B43B8"/>
    <w:rsid w:val="002C35D8"/>
    <w:rsid w:val="002D2A18"/>
    <w:rsid w:val="002D539D"/>
    <w:rsid w:val="002D7A2E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26F9"/>
    <w:rsid w:val="00334048"/>
    <w:rsid w:val="0034220D"/>
    <w:rsid w:val="00342F85"/>
    <w:rsid w:val="00347557"/>
    <w:rsid w:val="00347D68"/>
    <w:rsid w:val="00352515"/>
    <w:rsid w:val="00355366"/>
    <w:rsid w:val="00355D3E"/>
    <w:rsid w:val="003606E0"/>
    <w:rsid w:val="003629B6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64E9"/>
    <w:rsid w:val="003E7356"/>
    <w:rsid w:val="003F0400"/>
    <w:rsid w:val="003F1100"/>
    <w:rsid w:val="003F652F"/>
    <w:rsid w:val="003F79EC"/>
    <w:rsid w:val="00403571"/>
    <w:rsid w:val="00407541"/>
    <w:rsid w:val="00413BEC"/>
    <w:rsid w:val="00417787"/>
    <w:rsid w:val="00421847"/>
    <w:rsid w:val="0042193A"/>
    <w:rsid w:val="00421BEC"/>
    <w:rsid w:val="00423383"/>
    <w:rsid w:val="00425687"/>
    <w:rsid w:val="004313F1"/>
    <w:rsid w:val="00445D0A"/>
    <w:rsid w:val="00454843"/>
    <w:rsid w:val="004627B9"/>
    <w:rsid w:val="004632E5"/>
    <w:rsid w:val="004766EC"/>
    <w:rsid w:val="0048788A"/>
    <w:rsid w:val="00497374"/>
    <w:rsid w:val="004B1CE6"/>
    <w:rsid w:val="004B5797"/>
    <w:rsid w:val="004C398C"/>
    <w:rsid w:val="004C3F71"/>
    <w:rsid w:val="004C7DDE"/>
    <w:rsid w:val="004E18FD"/>
    <w:rsid w:val="004E55FE"/>
    <w:rsid w:val="004E7AEB"/>
    <w:rsid w:val="004E7E0B"/>
    <w:rsid w:val="00500F93"/>
    <w:rsid w:val="005051FB"/>
    <w:rsid w:val="00505697"/>
    <w:rsid w:val="0050659B"/>
    <w:rsid w:val="00512B46"/>
    <w:rsid w:val="005153F7"/>
    <w:rsid w:val="005218FE"/>
    <w:rsid w:val="005224C1"/>
    <w:rsid w:val="00526D02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5BBA"/>
    <w:rsid w:val="005A5F08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3538"/>
    <w:rsid w:val="0061103B"/>
    <w:rsid w:val="0061253F"/>
    <w:rsid w:val="006135FD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4E3E"/>
    <w:rsid w:val="0065659A"/>
    <w:rsid w:val="0066135D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177B"/>
    <w:rsid w:val="006939E4"/>
    <w:rsid w:val="00697EB5"/>
    <w:rsid w:val="006A2F6C"/>
    <w:rsid w:val="006A3BE2"/>
    <w:rsid w:val="006A4030"/>
    <w:rsid w:val="006A48F1"/>
    <w:rsid w:val="006A6681"/>
    <w:rsid w:val="006C61E8"/>
    <w:rsid w:val="006D65EC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4449D"/>
    <w:rsid w:val="00750BD4"/>
    <w:rsid w:val="00757D8B"/>
    <w:rsid w:val="00761868"/>
    <w:rsid w:val="00761D9B"/>
    <w:rsid w:val="00771B91"/>
    <w:rsid w:val="00771DFE"/>
    <w:rsid w:val="00776CBE"/>
    <w:rsid w:val="007824F4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232E"/>
    <w:rsid w:val="007B358E"/>
    <w:rsid w:val="007B435F"/>
    <w:rsid w:val="007B4E88"/>
    <w:rsid w:val="007B6899"/>
    <w:rsid w:val="007C7B64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5880"/>
    <w:rsid w:val="0084178F"/>
    <w:rsid w:val="00845A34"/>
    <w:rsid w:val="00846F99"/>
    <w:rsid w:val="00851C45"/>
    <w:rsid w:val="00863B54"/>
    <w:rsid w:val="00870F82"/>
    <w:rsid w:val="0088035D"/>
    <w:rsid w:val="0088046D"/>
    <w:rsid w:val="0088326D"/>
    <w:rsid w:val="00883A3E"/>
    <w:rsid w:val="00885B2F"/>
    <w:rsid w:val="00886F0E"/>
    <w:rsid w:val="00890117"/>
    <w:rsid w:val="008926E5"/>
    <w:rsid w:val="008926F3"/>
    <w:rsid w:val="00892C78"/>
    <w:rsid w:val="00893577"/>
    <w:rsid w:val="00895B78"/>
    <w:rsid w:val="008A04D3"/>
    <w:rsid w:val="008A14E4"/>
    <w:rsid w:val="008A2132"/>
    <w:rsid w:val="008A6F1B"/>
    <w:rsid w:val="008B480A"/>
    <w:rsid w:val="008C0E53"/>
    <w:rsid w:val="008C1795"/>
    <w:rsid w:val="008C4B0D"/>
    <w:rsid w:val="008C6335"/>
    <w:rsid w:val="008D397B"/>
    <w:rsid w:val="008E065B"/>
    <w:rsid w:val="008E19F3"/>
    <w:rsid w:val="008E2945"/>
    <w:rsid w:val="008F241C"/>
    <w:rsid w:val="008F6AAF"/>
    <w:rsid w:val="00906176"/>
    <w:rsid w:val="00906E67"/>
    <w:rsid w:val="00915ADA"/>
    <w:rsid w:val="00915DB2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77040"/>
    <w:rsid w:val="0098121D"/>
    <w:rsid w:val="00982987"/>
    <w:rsid w:val="0098362A"/>
    <w:rsid w:val="00991554"/>
    <w:rsid w:val="009A69B1"/>
    <w:rsid w:val="009A71FE"/>
    <w:rsid w:val="009C0ECA"/>
    <w:rsid w:val="009C0F81"/>
    <w:rsid w:val="009C45BA"/>
    <w:rsid w:val="009D05AD"/>
    <w:rsid w:val="009D2821"/>
    <w:rsid w:val="009D2ECE"/>
    <w:rsid w:val="009D68F9"/>
    <w:rsid w:val="009E0062"/>
    <w:rsid w:val="009E317D"/>
    <w:rsid w:val="009E3B52"/>
    <w:rsid w:val="009F2CB2"/>
    <w:rsid w:val="009F2CEE"/>
    <w:rsid w:val="009F59EE"/>
    <w:rsid w:val="009F5B6E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2214C"/>
    <w:rsid w:val="00A23DCC"/>
    <w:rsid w:val="00A30D93"/>
    <w:rsid w:val="00A31FAC"/>
    <w:rsid w:val="00A36D79"/>
    <w:rsid w:val="00A36E5B"/>
    <w:rsid w:val="00A37B91"/>
    <w:rsid w:val="00A37D04"/>
    <w:rsid w:val="00A40B94"/>
    <w:rsid w:val="00A4618A"/>
    <w:rsid w:val="00A55E01"/>
    <w:rsid w:val="00A55E85"/>
    <w:rsid w:val="00A61996"/>
    <w:rsid w:val="00A726DE"/>
    <w:rsid w:val="00A75776"/>
    <w:rsid w:val="00A77932"/>
    <w:rsid w:val="00A7796E"/>
    <w:rsid w:val="00A77CA3"/>
    <w:rsid w:val="00A80480"/>
    <w:rsid w:val="00A82DA1"/>
    <w:rsid w:val="00A84486"/>
    <w:rsid w:val="00A9461D"/>
    <w:rsid w:val="00AA1259"/>
    <w:rsid w:val="00AA218A"/>
    <w:rsid w:val="00AB5142"/>
    <w:rsid w:val="00AC614D"/>
    <w:rsid w:val="00AE548F"/>
    <w:rsid w:val="00B00BCA"/>
    <w:rsid w:val="00B058E3"/>
    <w:rsid w:val="00B0678D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27D5"/>
    <w:rsid w:val="00B95BB2"/>
    <w:rsid w:val="00B95EBA"/>
    <w:rsid w:val="00B97868"/>
    <w:rsid w:val="00BA1FA3"/>
    <w:rsid w:val="00BA23D8"/>
    <w:rsid w:val="00BA7889"/>
    <w:rsid w:val="00BB1CB8"/>
    <w:rsid w:val="00BB3F93"/>
    <w:rsid w:val="00BB4D49"/>
    <w:rsid w:val="00BB524F"/>
    <w:rsid w:val="00BB6439"/>
    <w:rsid w:val="00BB675F"/>
    <w:rsid w:val="00BC3FF4"/>
    <w:rsid w:val="00BD17B0"/>
    <w:rsid w:val="00BD3970"/>
    <w:rsid w:val="00BD5735"/>
    <w:rsid w:val="00BD5A47"/>
    <w:rsid w:val="00BE1DA6"/>
    <w:rsid w:val="00BE4FDB"/>
    <w:rsid w:val="00BF4A15"/>
    <w:rsid w:val="00BF6A33"/>
    <w:rsid w:val="00BF7A45"/>
    <w:rsid w:val="00C20A13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A662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2EE1"/>
    <w:rsid w:val="00D33258"/>
    <w:rsid w:val="00D453BF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DE69CC"/>
    <w:rsid w:val="00DF04DA"/>
    <w:rsid w:val="00E00DC6"/>
    <w:rsid w:val="00E02292"/>
    <w:rsid w:val="00E05804"/>
    <w:rsid w:val="00E058A3"/>
    <w:rsid w:val="00E151F3"/>
    <w:rsid w:val="00E15A82"/>
    <w:rsid w:val="00E17539"/>
    <w:rsid w:val="00E32181"/>
    <w:rsid w:val="00E42296"/>
    <w:rsid w:val="00E57F9B"/>
    <w:rsid w:val="00E6319B"/>
    <w:rsid w:val="00E64D70"/>
    <w:rsid w:val="00E6726D"/>
    <w:rsid w:val="00E67581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3BA2"/>
    <w:rsid w:val="00EA477A"/>
    <w:rsid w:val="00EC2121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03F85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3DEC"/>
    <w:rsid w:val="00F5470D"/>
    <w:rsid w:val="00F569B4"/>
    <w:rsid w:val="00F63CCA"/>
    <w:rsid w:val="00F64000"/>
    <w:rsid w:val="00F7238C"/>
    <w:rsid w:val="00F852D9"/>
    <w:rsid w:val="00F87177"/>
    <w:rsid w:val="00F9173C"/>
    <w:rsid w:val="00F9256E"/>
    <w:rsid w:val="00F96EED"/>
    <w:rsid w:val="00FB18D0"/>
    <w:rsid w:val="00FB2ED6"/>
    <w:rsid w:val="00FC2522"/>
    <w:rsid w:val="00FC31B6"/>
    <w:rsid w:val="00FC4324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68F31-E9B2-44A1-A7C9-83FC3F8E0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3</Pages>
  <Words>976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23</cp:revision>
  <dcterms:created xsi:type="dcterms:W3CDTF">2021-12-08T10:57:00Z</dcterms:created>
  <dcterms:modified xsi:type="dcterms:W3CDTF">2022-03-14T09:52:00Z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